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r w:rsidDel="00000000" w:rsidR="00000000" w:rsidRPr="00000000">
        <w:rPr>
          <w:rtl w:val="0"/>
        </w:rPr>
        <w:t xml:space="preserve">Requirements Task Exam Information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purpose of the exam is to test that you have achieved the learning objectives of this task. To succeed in the exam, please pay attention to the learning objectives. The following examples, though not necessarily all-inclusive, may help call your attention to the ways in which we may explore your achievement during the individual exam.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a market intent, be able to identify what it conveys about the requirements -- and what it does not convey about the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 able to articulate the audience and purpose of all deliverables documents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a requirement expressed formally or informally, be able to identify the type of requirement, e.g. functional, operational, -ility, etc.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requirement documents, or portions there of, be able to identify the strengths and weaknesses of what has been provided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Given requirements, expressed formally or informally, or portions thereof, be able to articulate key conflicts or ambiguities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Given requirements, expressed formally or informally, or portions thereof, be able to articulate high-priority questions to ask of the stakeholders to further refine the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Express requirements in the form of user stories.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Formalize ideas expressed informally into proper form for formal documentation.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Articulate what your team tested, why you tested it, and how you tested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Explain the software development discipline your team chose, what the discipline is, how it is intended to work, and why your team chose 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Explain the roles of your team members and your process and how it implemented the discipline your team chose.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Articulate what tools your team used to support your process, how they work, why they were used, and how they helped facilitate the process.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Describe conflicting perspectives from different stakeholders and how your team resolved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Describe a situation involving conflict within your team and how your team resolved it.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Articulate the requirement that your team found most time-consuming to capture correctly and how the process could have been improved to make this more efficient and confident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