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6F7685A2" w:rsidR="006519C5" w:rsidRDefault="006519C5">
      <w:r>
        <w:t xml:space="preserve">Lab </w:t>
      </w:r>
      <w:r w:rsidR="00720498">
        <w:t>2</w:t>
      </w:r>
      <w:r>
        <w:t xml:space="preserve"> HW</w:t>
      </w:r>
    </w:p>
    <w:p w14:paraId="6CC9043E" w14:textId="6D056481" w:rsidR="006519C5" w:rsidRDefault="006519C5">
      <w:r>
        <w:t>1/</w:t>
      </w:r>
      <w:r w:rsidR="00720498">
        <w:t>29</w:t>
      </w:r>
      <w:r>
        <w:t>/2024</w:t>
      </w:r>
    </w:p>
    <w:p w14:paraId="0B40412E" w14:textId="77777777" w:rsidR="006519C5" w:rsidRDefault="006519C5"/>
    <w:p w14:paraId="21122301" w14:textId="2175CA81" w:rsidR="006519C5" w:rsidRPr="006519C5" w:rsidRDefault="006519C5">
      <w:r>
        <w:rPr>
          <w:b/>
          <w:bCs/>
        </w:rPr>
        <w:t>Part A</w:t>
      </w:r>
    </w:p>
    <w:p w14:paraId="3C293BE1" w14:textId="77777777" w:rsidR="006519C5" w:rsidRDefault="006519C5">
      <w:pPr>
        <w:rPr>
          <w:b/>
          <w:bCs/>
        </w:rPr>
      </w:pPr>
    </w:p>
    <w:p w14:paraId="3724CDFD" w14:textId="07203606" w:rsidR="006519C5" w:rsidRDefault="00720498" w:rsidP="006519C5">
      <w:pPr>
        <w:pStyle w:val="ListParagraph"/>
        <w:numPr>
          <w:ilvl w:val="0"/>
          <w:numId w:val="1"/>
        </w:numPr>
        <w:rPr>
          <w:b/>
          <w:bCs/>
        </w:rPr>
      </w:pPr>
      <w:r>
        <w:rPr>
          <w:b/>
          <w:bCs/>
        </w:rPr>
        <w:t>Doubling times for r = 0.1 and 0.2? Would it change with different N</w:t>
      </w:r>
      <w:r w:rsidRPr="00720498">
        <w:rPr>
          <w:b/>
          <w:bCs/>
          <w:vertAlign w:val="subscript"/>
        </w:rPr>
        <w:t>0</w:t>
      </w:r>
      <w:r>
        <w:rPr>
          <w:b/>
          <w:bCs/>
        </w:rPr>
        <w:t>? What drives doubling time?</w:t>
      </w:r>
    </w:p>
    <w:p w14:paraId="12A1F28C" w14:textId="5CD5B974" w:rsidR="00720498" w:rsidRPr="00720498" w:rsidRDefault="00000000" w:rsidP="00720498">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double</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2</m:t>
                      </m:r>
                    </m:e>
                  </m:d>
                </m:e>
              </m:func>
            </m:num>
            <m:den>
              <m:r>
                <w:rPr>
                  <w:rFonts w:ascii="Cambria Math" w:hAnsi="Cambria Math"/>
                </w:rPr>
                <m:t>r</m:t>
              </m:r>
            </m:den>
          </m:f>
        </m:oMath>
      </m:oMathPara>
    </w:p>
    <w:p w14:paraId="180B514D" w14:textId="03170447" w:rsidR="00720498" w:rsidRPr="00720498" w:rsidRDefault="00000000" w:rsidP="00720498">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double</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2</m:t>
                      </m:r>
                    </m:e>
                  </m:d>
                </m:e>
              </m:func>
            </m:num>
            <m:den>
              <m:r>
                <w:rPr>
                  <w:rFonts w:ascii="Cambria Math" w:hAnsi="Cambria Math"/>
                </w:rPr>
                <m:t>0.1</m:t>
              </m:r>
            </m:den>
          </m:f>
          <m:r>
            <w:rPr>
              <w:rFonts w:ascii="Cambria Math" w:hAnsi="Cambria Math"/>
            </w:rPr>
            <m:t>=6.93 years</m:t>
          </m:r>
        </m:oMath>
      </m:oMathPara>
    </w:p>
    <w:p w14:paraId="053AC799" w14:textId="4BC3F5B3" w:rsidR="00720498" w:rsidRPr="00720498" w:rsidRDefault="00000000" w:rsidP="00720498">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double</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2</m:t>
                      </m:r>
                    </m:e>
                  </m:d>
                </m:e>
              </m:func>
            </m:num>
            <m:den>
              <m:r>
                <w:rPr>
                  <w:rFonts w:ascii="Cambria Math" w:hAnsi="Cambria Math"/>
                </w:rPr>
                <m:t>0.2</m:t>
              </m:r>
            </m:den>
          </m:f>
          <m:r>
            <w:rPr>
              <w:rFonts w:ascii="Cambria Math" w:hAnsi="Cambria Math"/>
            </w:rPr>
            <m:t>=3.47 years</m:t>
          </m:r>
        </m:oMath>
      </m:oMathPara>
    </w:p>
    <w:p w14:paraId="175DC5D4" w14:textId="77777777" w:rsidR="00720498" w:rsidRPr="00720498" w:rsidRDefault="00720498" w:rsidP="00720498">
      <w:pPr>
        <w:pStyle w:val="ListParagraph"/>
      </w:pPr>
    </w:p>
    <w:p w14:paraId="14FDF0E6" w14:textId="73EF23D5" w:rsidR="006519C5" w:rsidRDefault="00720498" w:rsidP="006519C5">
      <w:pPr>
        <w:pStyle w:val="ListParagraph"/>
      </w:pPr>
      <w:r>
        <w:t>The doubling time when r = 0.1 is 6.93 years. When r = 0.2, the population doubles sooner (3.47 years)</w:t>
      </w:r>
      <w:r w:rsidR="006519C5">
        <w:t>.</w:t>
      </w:r>
      <w:r>
        <w:t xml:space="preserve"> Since N and N0 are not involved in calculating doubling time, we can say that these doubling times do not depend on the starting size of the population. Thus, it is driven entirely by r, the intrinsic rate of increase, determined from the demographic rates of the population.</w:t>
      </w:r>
    </w:p>
    <w:p w14:paraId="2705D1B2" w14:textId="6C13F0A7" w:rsidR="006519C5" w:rsidRPr="006519C5" w:rsidRDefault="00720498" w:rsidP="006519C5">
      <w:pPr>
        <w:pStyle w:val="ListParagraph"/>
        <w:numPr>
          <w:ilvl w:val="0"/>
          <w:numId w:val="1"/>
        </w:numPr>
        <w:rPr>
          <w:b/>
          <w:bCs/>
        </w:rPr>
      </w:pPr>
      <w:r>
        <w:rPr>
          <w:b/>
          <w:bCs/>
        </w:rPr>
        <w:t>Explain the exponential growth model as if to a layman</w:t>
      </w:r>
    </w:p>
    <w:p w14:paraId="49DC8199" w14:textId="19327CAA" w:rsidR="006519C5" w:rsidRDefault="00720498" w:rsidP="006519C5">
      <w:pPr>
        <w:pStyle w:val="ListParagraph"/>
      </w:pPr>
      <w:r>
        <w:t>Exponential growth models are one way of understanding how a population or group, which could range from fish in a river to money in a bank account, changes over time. We might think of a simple linear growth model, for example, which might say that the population grows by a flat amount of 100 fish every year.  If you start with two fish, after five years you will have 502 fish. An exponential growth model is subtly different: instead of growing a flat amount, the population grows a constant proportion. For example, say our population of fish tripes every year. If you start with two fish, after five years you will have 486 fish.</w:t>
      </w:r>
    </w:p>
    <w:p w14:paraId="165FF615" w14:textId="77777777" w:rsidR="006519C5" w:rsidRDefault="006519C5" w:rsidP="006519C5">
      <w:pPr>
        <w:pStyle w:val="ListParagraph"/>
      </w:pPr>
    </w:p>
    <w:p w14:paraId="3EFA35AE" w14:textId="77777777" w:rsidR="006519C5" w:rsidRDefault="006519C5">
      <w:pPr>
        <w:rPr>
          <w:b/>
          <w:bCs/>
        </w:rPr>
      </w:pPr>
      <w:r>
        <w:rPr>
          <w:b/>
          <w:bCs/>
        </w:rPr>
        <w:br w:type="page"/>
      </w:r>
    </w:p>
    <w:p w14:paraId="53569519" w14:textId="090925C2" w:rsidR="006519C5" w:rsidRPr="006519C5" w:rsidRDefault="006519C5" w:rsidP="006519C5">
      <w:r>
        <w:rPr>
          <w:b/>
          <w:bCs/>
        </w:rPr>
        <w:lastRenderedPageBreak/>
        <w:t>Part B</w:t>
      </w:r>
    </w:p>
    <w:p w14:paraId="3BA2D186" w14:textId="77777777" w:rsidR="006519C5" w:rsidRDefault="006519C5" w:rsidP="006519C5">
      <w:pPr>
        <w:rPr>
          <w:b/>
          <w:bCs/>
        </w:rPr>
      </w:pPr>
    </w:p>
    <w:p w14:paraId="1410AD19" w14:textId="380C0591" w:rsidR="00604F31" w:rsidRPr="00604F31" w:rsidRDefault="00604F31" w:rsidP="00604F31">
      <w:pPr>
        <w:pStyle w:val="ListParagraph"/>
        <w:numPr>
          <w:ilvl w:val="0"/>
          <w:numId w:val="1"/>
        </w:numPr>
        <w:rPr>
          <w:b/>
          <w:bCs/>
        </w:rPr>
      </w:pPr>
      <w:r>
        <w:rPr>
          <w:b/>
          <w:bCs/>
        </w:rPr>
        <w:t>Plot population trajectory for six scenarios, describe how Z affects shape of curve.</w:t>
      </w:r>
    </w:p>
    <w:p w14:paraId="5A486445" w14:textId="77777777" w:rsidR="006519C5" w:rsidRDefault="006519C5" w:rsidP="006519C5">
      <w:pPr>
        <w:pStyle w:val="ListParagraph"/>
      </w:pPr>
    </w:p>
    <w:p w14:paraId="491C4B72" w14:textId="77777777" w:rsidR="00604F31" w:rsidRDefault="00604F31" w:rsidP="00604F31">
      <w:pPr>
        <w:pStyle w:val="ListParagraph"/>
        <w:keepNext/>
      </w:pPr>
      <w:r w:rsidRPr="00604F31">
        <w:rPr>
          <w:noProof/>
        </w:rPr>
        <w:drawing>
          <wp:inline distT="0" distB="0" distL="0" distR="0" wp14:anchorId="55C89D87" wp14:editId="7B4530CE">
            <wp:extent cx="4688958" cy="5235415"/>
            <wp:effectExtent l="0" t="0" r="0" b="0"/>
            <wp:docPr id="87884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3178" name=""/>
                    <pic:cNvPicPr/>
                  </pic:nvPicPr>
                  <pic:blipFill>
                    <a:blip r:embed="rId8"/>
                    <a:stretch>
                      <a:fillRect/>
                    </a:stretch>
                  </pic:blipFill>
                  <pic:spPr>
                    <a:xfrm>
                      <a:off x="0" y="0"/>
                      <a:ext cx="4721614" cy="5271876"/>
                    </a:xfrm>
                    <a:prstGeom prst="rect">
                      <a:avLst/>
                    </a:prstGeom>
                  </pic:spPr>
                </pic:pic>
              </a:graphicData>
            </a:graphic>
          </wp:inline>
        </w:drawing>
      </w:r>
    </w:p>
    <w:p w14:paraId="74480A78" w14:textId="7772966B" w:rsidR="006519C5" w:rsidRDefault="00604F31" w:rsidP="00604F31">
      <w:pPr>
        <w:pStyle w:val="Caption"/>
      </w:pPr>
      <w:r>
        <w:t xml:space="preserve">Figure </w:t>
      </w:r>
      <w:fldSimple w:instr=" SEQ Figure \* ARABIC ">
        <w:r>
          <w:rPr>
            <w:noProof/>
          </w:rPr>
          <w:t>1</w:t>
        </w:r>
      </w:fldSimple>
      <w:r>
        <w:t>: Plot of population size (N) in number of individuals vs. time (t) in years. Six different scenarios are displayed, according to different values of the instant mortality rate (Z). It is readily apparent that higher values of Z, which correspond with higher mortality rates, result in steeper slopes and a quicker population crash. If Z were negative, this would correspond to “negative mortality”, or births, so the curve would show exponential growth instead of exponential decline.</w:t>
      </w:r>
    </w:p>
    <w:p w14:paraId="36A414AC" w14:textId="4557CC1D" w:rsidR="00604F31" w:rsidRDefault="00604F31" w:rsidP="00604F31">
      <w:pPr>
        <w:pStyle w:val="ListParagraph"/>
        <w:numPr>
          <w:ilvl w:val="0"/>
          <w:numId w:val="1"/>
        </w:numPr>
        <w:rPr>
          <w:b/>
          <w:bCs/>
        </w:rPr>
      </w:pPr>
      <w:r>
        <w:rPr>
          <w:b/>
          <w:bCs/>
        </w:rPr>
        <w:t>Derive half-life equation from exponential mortality model.</w:t>
      </w:r>
    </w:p>
    <w:p w14:paraId="77B8AEDE" w14:textId="7204309B" w:rsidR="00604F31" w:rsidRPr="00604F31" w:rsidRDefault="00000000" w:rsidP="00604F31">
      <w:pPr>
        <w:pStyle w:val="ListParagrap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half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-Zt</m:t>
                  </m:r>
                </m:e>
                <m:sub>
                  <m:r>
                    <w:rPr>
                      <w:rFonts w:ascii="Cambria Math" w:hAnsi="Cambria Math"/>
                    </w:rPr>
                    <m:t>half</m:t>
                  </m:r>
                </m:sub>
              </m:sSub>
            </m:sup>
          </m:sSup>
        </m:oMath>
      </m:oMathPara>
    </w:p>
    <w:p w14:paraId="4F736232" w14:textId="17105344" w:rsidR="00604F31" w:rsidRPr="00604F31" w:rsidRDefault="00604F31" w:rsidP="00604F31">
      <w:pPr>
        <w:pStyle w:val="ListParagraph"/>
        <w:rPr>
          <w:rFonts w:eastAsiaTheme="minorEastAsia"/>
        </w:rPr>
      </w:pPr>
      <m:oMathPara>
        <m:oMath>
          <m:r>
            <w:rPr>
              <w:rFonts w:ascii="Cambria Math" w:hAnsi="Cambria Math"/>
            </w:rPr>
            <m:t>0.5</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-Zt</m:t>
                  </m:r>
                </m:e>
                <m:sub>
                  <m:r>
                    <w:rPr>
                      <w:rFonts w:ascii="Cambria Math" w:hAnsi="Cambria Math"/>
                    </w:rPr>
                    <m:t>half</m:t>
                  </m:r>
                </m:sub>
              </m:sSub>
            </m:sup>
          </m:sSup>
        </m:oMath>
      </m:oMathPara>
    </w:p>
    <w:p w14:paraId="2CEA8A43" w14:textId="62A8F6CB" w:rsidR="00604F31" w:rsidRPr="00604F31" w:rsidRDefault="00604F31" w:rsidP="00604F31">
      <w:pPr>
        <w:pStyle w:val="ListParagraph"/>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-Zt</m:t>
                  </m:r>
                </m:e>
                <m:sub>
                  <m:r>
                    <w:rPr>
                      <w:rFonts w:ascii="Cambria Math" w:hAnsi="Cambria Math"/>
                    </w:rPr>
                    <m:t>half</m:t>
                  </m:r>
                </m:sub>
              </m:sSub>
            </m:sup>
          </m:sSup>
        </m:oMath>
      </m:oMathPara>
    </w:p>
    <w:p w14:paraId="60D05359" w14:textId="13EEFCF4" w:rsidR="00604F31" w:rsidRPr="00604F31" w:rsidRDefault="00604F31" w:rsidP="00604F31">
      <w:pPr>
        <w:pStyle w:val="ListParagraph"/>
        <w:rPr>
          <w:rFonts w:eastAsiaTheme="minorEastAsia"/>
        </w:rPr>
      </w:pPr>
      <m:oMathPara>
        <m:oMath>
          <m:r>
            <m:rPr>
              <m:sty m:val="p"/>
            </m:rPr>
            <w:rPr>
              <w:rFonts w:ascii="Cambria Math" w:hAnsi="Cambria Math"/>
            </w:rPr>
            <m:t>ln⁡</m:t>
          </m:r>
          <m:r>
            <w:rPr>
              <w:rFonts w:ascii="Cambria Math" w:hAnsi="Cambria Math"/>
            </w:rPr>
            <m:t>(0.5)=</m:t>
          </m:r>
          <m:sSub>
            <m:sSubPr>
              <m:ctrlPr>
                <w:rPr>
                  <w:rFonts w:ascii="Cambria Math" w:hAnsi="Cambria Math"/>
                  <w:i/>
                </w:rPr>
              </m:ctrlPr>
            </m:sSubPr>
            <m:e>
              <m:r>
                <w:rPr>
                  <w:rFonts w:ascii="Cambria Math" w:hAnsi="Cambria Math"/>
                </w:rPr>
                <m:t>-Zt</m:t>
              </m:r>
            </m:e>
            <m:sub>
              <m:r>
                <w:rPr>
                  <w:rFonts w:ascii="Cambria Math" w:hAnsi="Cambria Math"/>
                </w:rPr>
                <m:t>half</m:t>
              </m:r>
            </m:sub>
          </m:sSub>
        </m:oMath>
      </m:oMathPara>
    </w:p>
    <w:p w14:paraId="69DE081E" w14:textId="397802CC" w:rsidR="00604F31" w:rsidRPr="00604F31" w:rsidRDefault="00000000" w:rsidP="00604F31">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half</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0.5</m:t>
                      </m:r>
                    </m:e>
                  </m:d>
                </m:e>
              </m:func>
            </m:num>
            <m:den>
              <m:r>
                <w:rPr>
                  <w:rFonts w:ascii="Cambria Math" w:eastAsiaTheme="minorEastAsia" w:hAnsi="Cambria Math"/>
                </w:rPr>
                <m:t>-Z</m:t>
              </m:r>
            </m:den>
          </m:f>
        </m:oMath>
      </m:oMathPara>
    </w:p>
    <w:p w14:paraId="49BA3ED4" w14:textId="4FB9E0BA" w:rsidR="006519C5" w:rsidRDefault="006519C5">
      <w:pPr>
        <w:rPr>
          <w:b/>
          <w:bCs/>
        </w:rPr>
      </w:pPr>
    </w:p>
    <w:p w14:paraId="5C342CE1" w14:textId="0DD9DE8A" w:rsidR="00604F31" w:rsidRPr="00604F31" w:rsidRDefault="00604F31" w:rsidP="00604F31">
      <w:pPr>
        <w:pStyle w:val="ListParagraph"/>
        <w:numPr>
          <w:ilvl w:val="0"/>
          <w:numId w:val="1"/>
        </w:numPr>
        <w:rPr>
          <w:b/>
          <w:bCs/>
        </w:rPr>
      </w:pPr>
      <w:r w:rsidRPr="00604F31">
        <w:rPr>
          <w:b/>
          <w:bCs/>
        </w:rPr>
        <w:lastRenderedPageBreak/>
        <w:t>Report half-lives for the six scenario and explain the pattern.</w:t>
      </w:r>
    </w:p>
    <w:p w14:paraId="4A4DB7DA" w14:textId="77777777" w:rsidR="00604F31" w:rsidRDefault="00604F31" w:rsidP="00604F31">
      <w:pPr>
        <w:rPr>
          <w:b/>
          <w:bCs/>
        </w:rPr>
      </w:pPr>
    </w:p>
    <w:p w14:paraId="752BAD02" w14:textId="671EC7D4" w:rsidR="00604F31" w:rsidRPr="00604F31" w:rsidRDefault="00604F31" w:rsidP="00604F31">
      <w:pPr>
        <w:pStyle w:val="Caption"/>
        <w:rPr>
          <w:b/>
          <w:bCs/>
        </w:rPr>
      </w:pPr>
      <w:r>
        <w:t xml:space="preserve">Table </w:t>
      </w:r>
      <w:fldSimple w:instr=" SEQ Table \* ARABIC ">
        <w:r>
          <w:rPr>
            <w:noProof/>
          </w:rPr>
          <w:t>1</w:t>
        </w:r>
      </w:fldSimple>
      <w:r>
        <w:t>: Table of half-lives for the six mortality rates from question 3. Z is the instantaneous mortality rate. Half-lives are measured in years. The mortality rate has a significant impact on half-life (half-life is more than 13 years when Z = 0.05 and less than 0.3 when Z = 3). As mentioned in question 3, the higher values of Z cause quicker population decline, so it follows logically that there would also be shorter half-lives. The faster the decline, the sooner the half-life.</w:t>
      </w:r>
    </w:p>
    <w:tbl>
      <w:tblPr>
        <w:tblStyle w:val="TableGrid"/>
        <w:tblW w:w="0" w:type="auto"/>
        <w:tblLook w:val="04A0" w:firstRow="1" w:lastRow="0" w:firstColumn="1" w:lastColumn="0" w:noHBand="0" w:noVBand="1"/>
      </w:tblPr>
      <w:tblGrid>
        <w:gridCol w:w="642"/>
        <w:gridCol w:w="1119"/>
      </w:tblGrid>
      <w:tr w:rsidR="00604F31" w14:paraId="655F7D19" w14:textId="77777777" w:rsidTr="00604F31">
        <w:tc>
          <w:tcPr>
            <w:tcW w:w="451" w:type="dxa"/>
            <w:shd w:val="clear" w:color="auto" w:fill="BFBFBF" w:themeFill="background1" w:themeFillShade="BF"/>
          </w:tcPr>
          <w:p w14:paraId="575A7D3E" w14:textId="3102DA59" w:rsidR="00604F31" w:rsidRDefault="00604F31" w:rsidP="00604F31">
            <w:pPr>
              <w:rPr>
                <w:b/>
                <w:bCs/>
              </w:rPr>
            </w:pPr>
            <w:r>
              <w:rPr>
                <w:b/>
                <w:bCs/>
              </w:rPr>
              <w:t>Z</w:t>
            </w:r>
          </w:p>
        </w:tc>
        <w:tc>
          <w:tcPr>
            <w:tcW w:w="1119" w:type="dxa"/>
            <w:shd w:val="clear" w:color="auto" w:fill="BFBFBF" w:themeFill="background1" w:themeFillShade="BF"/>
          </w:tcPr>
          <w:p w14:paraId="45839E5F" w14:textId="34F58992" w:rsidR="00604F31" w:rsidRDefault="00604F31" w:rsidP="00604F31">
            <w:pPr>
              <w:rPr>
                <w:b/>
                <w:bCs/>
              </w:rPr>
            </w:pPr>
            <w:r>
              <w:rPr>
                <w:b/>
                <w:bCs/>
              </w:rPr>
              <w:t>Half-life</w:t>
            </w:r>
          </w:p>
        </w:tc>
      </w:tr>
      <w:tr w:rsidR="00604F31" w14:paraId="415A1B63" w14:textId="77777777" w:rsidTr="00604F31">
        <w:tc>
          <w:tcPr>
            <w:tcW w:w="451" w:type="dxa"/>
          </w:tcPr>
          <w:p w14:paraId="1B4F1914" w14:textId="63CA2C4E" w:rsidR="00604F31" w:rsidRPr="00604F31" w:rsidRDefault="00604F31" w:rsidP="00604F31">
            <w:r w:rsidRPr="00604F31">
              <w:t>0.05</w:t>
            </w:r>
          </w:p>
        </w:tc>
        <w:tc>
          <w:tcPr>
            <w:tcW w:w="1119" w:type="dxa"/>
          </w:tcPr>
          <w:p w14:paraId="4481C472" w14:textId="4FB3292F" w:rsidR="00604F31" w:rsidRPr="00604F31" w:rsidRDefault="00604F31" w:rsidP="00604F31">
            <w:r>
              <w:t>13.86</w:t>
            </w:r>
          </w:p>
        </w:tc>
      </w:tr>
      <w:tr w:rsidR="00604F31" w14:paraId="48C0CE94" w14:textId="77777777" w:rsidTr="00604F31">
        <w:tc>
          <w:tcPr>
            <w:tcW w:w="451" w:type="dxa"/>
          </w:tcPr>
          <w:p w14:paraId="38D973DD" w14:textId="7D6F4A40" w:rsidR="00604F31" w:rsidRPr="00604F31" w:rsidRDefault="00604F31" w:rsidP="00604F31">
            <w:r w:rsidRPr="00604F31">
              <w:t>0.1</w:t>
            </w:r>
          </w:p>
        </w:tc>
        <w:tc>
          <w:tcPr>
            <w:tcW w:w="1119" w:type="dxa"/>
          </w:tcPr>
          <w:p w14:paraId="093EC965" w14:textId="62EE5D87" w:rsidR="00604F31" w:rsidRPr="00604F31" w:rsidRDefault="00604F31" w:rsidP="00604F31">
            <w:r>
              <w:t>6.93</w:t>
            </w:r>
          </w:p>
        </w:tc>
      </w:tr>
      <w:tr w:rsidR="00604F31" w14:paraId="6B87795F" w14:textId="77777777" w:rsidTr="00604F31">
        <w:tc>
          <w:tcPr>
            <w:tcW w:w="451" w:type="dxa"/>
          </w:tcPr>
          <w:p w14:paraId="27C1E805" w14:textId="516D2702" w:rsidR="00604F31" w:rsidRPr="00604F31" w:rsidRDefault="00604F31" w:rsidP="00604F31">
            <w:r w:rsidRPr="00604F31">
              <w:t>0.2</w:t>
            </w:r>
          </w:p>
        </w:tc>
        <w:tc>
          <w:tcPr>
            <w:tcW w:w="1119" w:type="dxa"/>
          </w:tcPr>
          <w:p w14:paraId="54EEE301" w14:textId="2EAA6E5D" w:rsidR="00604F31" w:rsidRPr="00604F31" w:rsidRDefault="00604F31" w:rsidP="00604F31">
            <w:r>
              <w:t>3.47</w:t>
            </w:r>
          </w:p>
        </w:tc>
      </w:tr>
      <w:tr w:rsidR="00604F31" w14:paraId="5477255E" w14:textId="77777777" w:rsidTr="00604F31">
        <w:tc>
          <w:tcPr>
            <w:tcW w:w="451" w:type="dxa"/>
          </w:tcPr>
          <w:p w14:paraId="474833D0" w14:textId="69F932A2" w:rsidR="00604F31" w:rsidRPr="00604F31" w:rsidRDefault="00604F31" w:rsidP="00604F31">
            <w:r w:rsidRPr="00604F31">
              <w:t>1.0</w:t>
            </w:r>
          </w:p>
        </w:tc>
        <w:tc>
          <w:tcPr>
            <w:tcW w:w="1119" w:type="dxa"/>
          </w:tcPr>
          <w:p w14:paraId="37F8879B" w14:textId="16901A0B" w:rsidR="00604F31" w:rsidRPr="00604F31" w:rsidRDefault="00604F31" w:rsidP="00604F31">
            <w:r>
              <w:t>0.69</w:t>
            </w:r>
          </w:p>
        </w:tc>
      </w:tr>
      <w:tr w:rsidR="00604F31" w14:paraId="12E6882D" w14:textId="77777777" w:rsidTr="00604F31">
        <w:tc>
          <w:tcPr>
            <w:tcW w:w="451" w:type="dxa"/>
          </w:tcPr>
          <w:p w14:paraId="79E15BBD" w14:textId="22E537A5" w:rsidR="00604F31" w:rsidRPr="00604F31" w:rsidRDefault="00604F31" w:rsidP="00604F31">
            <w:r w:rsidRPr="00604F31">
              <w:t>2.0</w:t>
            </w:r>
          </w:p>
        </w:tc>
        <w:tc>
          <w:tcPr>
            <w:tcW w:w="1119" w:type="dxa"/>
          </w:tcPr>
          <w:p w14:paraId="558964A2" w14:textId="45CD16E6" w:rsidR="00604F31" w:rsidRPr="00604F31" w:rsidRDefault="00604F31" w:rsidP="00604F31">
            <w:r>
              <w:t>0.35</w:t>
            </w:r>
          </w:p>
        </w:tc>
      </w:tr>
      <w:tr w:rsidR="00604F31" w14:paraId="36FEE457" w14:textId="77777777" w:rsidTr="00604F31">
        <w:tc>
          <w:tcPr>
            <w:tcW w:w="451" w:type="dxa"/>
          </w:tcPr>
          <w:p w14:paraId="1A2D6BF4" w14:textId="1EFD886F" w:rsidR="00604F31" w:rsidRPr="00604F31" w:rsidRDefault="00604F31" w:rsidP="00604F31">
            <w:r w:rsidRPr="00604F31">
              <w:t>3.0</w:t>
            </w:r>
          </w:p>
        </w:tc>
        <w:tc>
          <w:tcPr>
            <w:tcW w:w="1119" w:type="dxa"/>
          </w:tcPr>
          <w:p w14:paraId="5B9324FD" w14:textId="4BCA4E90" w:rsidR="00604F31" w:rsidRPr="00604F31" w:rsidRDefault="00604F31" w:rsidP="00604F31">
            <w:r>
              <w:t>0.23</w:t>
            </w:r>
          </w:p>
        </w:tc>
      </w:tr>
    </w:tbl>
    <w:p w14:paraId="43E7F121" w14:textId="77777777" w:rsidR="00604F31" w:rsidRPr="00604F31" w:rsidRDefault="00604F31" w:rsidP="00604F31">
      <w:pPr>
        <w:rPr>
          <w:b/>
          <w:bCs/>
        </w:rPr>
      </w:pPr>
    </w:p>
    <w:p w14:paraId="2602AA87" w14:textId="7A181CCB" w:rsidR="00604F31" w:rsidRDefault="00604F31" w:rsidP="00604F31">
      <w:pPr>
        <w:pStyle w:val="ListParagraph"/>
        <w:numPr>
          <w:ilvl w:val="0"/>
          <w:numId w:val="1"/>
        </w:numPr>
        <w:rPr>
          <w:b/>
          <w:bCs/>
        </w:rPr>
      </w:pPr>
      <w:r>
        <w:rPr>
          <w:b/>
          <w:bCs/>
        </w:rPr>
        <w:t>Following questions:</w:t>
      </w:r>
    </w:p>
    <w:p w14:paraId="759083C5" w14:textId="2C796A03" w:rsidR="00604F31" w:rsidRDefault="00604F31" w:rsidP="00604F31">
      <w:pPr>
        <w:pStyle w:val="ListParagraph"/>
        <w:numPr>
          <w:ilvl w:val="1"/>
          <w:numId w:val="1"/>
        </w:numPr>
        <w:rPr>
          <w:b/>
          <w:bCs/>
        </w:rPr>
      </w:pPr>
      <w:r>
        <w:rPr>
          <w:b/>
          <w:bCs/>
        </w:rPr>
        <w:t>Calculate annual mortality if Z = 0.2 and Z = 1.0</w:t>
      </w:r>
    </w:p>
    <w:p w14:paraId="20122600" w14:textId="40D53505" w:rsidR="00604F31" w:rsidRPr="00604F31" w:rsidRDefault="00604F31" w:rsidP="00604F31">
      <w:pPr>
        <w:ind w:left="720"/>
        <w:rPr>
          <w:rFonts w:eastAsiaTheme="minorEastAsia"/>
        </w:rPr>
      </w:pPr>
      <m:oMathPara>
        <m:oMath>
          <m:r>
            <w:rPr>
              <w:rFonts w:ascii="Cambria Math" w:hAnsi="Cambria Math"/>
            </w:rPr>
            <m:t>A=1-</m:t>
          </m:r>
          <m:sSup>
            <m:sSupPr>
              <m:ctrlPr>
                <w:rPr>
                  <w:rFonts w:ascii="Cambria Math" w:hAnsi="Cambria Math"/>
                  <w:i/>
                </w:rPr>
              </m:ctrlPr>
            </m:sSupPr>
            <m:e>
              <m:r>
                <w:rPr>
                  <w:rFonts w:ascii="Cambria Math" w:hAnsi="Cambria Math"/>
                </w:rPr>
                <m:t>e</m:t>
              </m:r>
            </m:e>
            <m:sup>
              <m:r>
                <w:rPr>
                  <w:rFonts w:ascii="Cambria Math" w:hAnsi="Cambria Math"/>
                </w:rPr>
                <m:t>-0.2</m:t>
              </m:r>
            </m:sup>
          </m:sSup>
          <m:r>
            <w:rPr>
              <w:rFonts w:ascii="Cambria Math" w:hAnsi="Cambria Math"/>
            </w:rPr>
            <m:t>=0.18</m:t>
          </m:r>
        </m:oMath>
      </m:oMathPara>
    </w:p>
    <w:p w14:paraId="04448C44" w14:textId="7B5A4326" w:rsidR="00604F31" w:rsidRPr="00604F31" w:rsidRDefault="00604F31" w:rsidP="00604F31">
      <w:pPr>
        <w:ind w:left="720"/>
        <w:rPr>
          <w:b/>
          <w:bCs/>
        </w:rPr>
      </w:pPr>
      <m:oMathPara>
        <m:oMath>
          <m:r>
            <w:rPr>
              <w:rFonts w:ascii="Cambria Math" w:hAnsi="Cambria Math"/>
            </w:rPr>
            <m:t>A=1-</m:t>
          </m:r>
          <m:sSup>
            <m:sSupPr>
              <m:ctrlPr>
                <w:rPr>
                  <w:rFonts w:ascii="Cambria Math" w:hAnsi="Cambria Math"/>
                  <w:i/>
                </w:rPr>
              </m:ctrlPr>
            </m:sSupPr>
            <m:e>
              <m:r>
                <w:rPr>
                  <w:rFonts w:ascii="Cambria Math" w:hAnsi="Cambria Math"/>
                </w:rPr>
                <m:t>e</m:t>
              </m:r>
            </m:e>
            <m:sup>
              <m:r>
                <w:rPr>
                  <w:rFonts w:ascii="Cambria Math" w:hAnsi="Cambria Math"/>
                </w:rPr>
                <m:t>-1.0</m:t>
              </m:r>
            </m:sup>
          </m:sSup>
          <m:r>
            <w:rPr>
              <w:rFonts w:ascii="Cambria Math" w:hAnsi="Cambria Math"/>
            </w:rPr>
            <m:t>=0.63</m:t>
          </m:r>
        </m:oMath>
      </m:oMathPara>
    </w:p>
    <w:p w14:paraId="7D10B033" w14:textId="09323D32" w:rsidR="00604F31" w:rsidRDefault="00604F31" w:rsidP="00604F31">
      <w:pPr>
        <w:pStyle w:val="ListParagraph"/>
        <w:numPr>
          <w:ilvl w:val="1"/>
          <w:numId w:val="1"/>
        </w:numPr>
        <w:rPr>
          <w:b/>
          <w:bCs/>
        </w:rPr>
      </w:pPr>
      <w:r>
        <w:rPr>
          <w:b/>
          <w:bCs/>
        </w:rPr>
        <w:t xml:space="preserve">Describe relationship between annual and instantaneous mortality using the plot. </w:t>
      </w:r>
    </w:p>
    <w:p w14:paraId="45EDF836" w14:textId="5C2985BA" w:rsidR="00604F31" w:rsidRDefault="00604F31" w:rsidP="00604F31">
      <w:pPr>
        <w:ind w:left="1080"/>
      </w:pPr>
      <w:r>
        <w:t>The plot provided shows that Z seems to always be greater than or equal to A. Z can have a wider range than A, which is constrained between 0 and 1 (since more than 100% of the population cannot die annually). A and Z appear to be mostly interchangeable for values between 0 and 0.2, after which Z starts to be higher than A (e.g. when Z = 1, A = approximately 0.6).</w:t>
      </w:r>
    </w:p>
    <w:p w14:paraId="1509C4E1" w14:textId="7215288B" w:rsidR="00604F31" w:rsidRDefault="00604F31" w:rsidP="00604F31">
      <w:pPr>
        <w:pStyle w:val="ListParagraph"/>
        <w:numPr>
          <w:ilvl w:val="1"/>
          <w:numId w:val="1"/>
        </w:numPr>
        <w:rPr>
          <w:b/>
          <w:bCs/>
        </w:rPr>
      </w:pPr>
      <w:r>
        <w:rPr>
          <w:b/>
          <w:bCs/>
        </w:rPr>
        <w:t>Produce a similar figure.</w:t>
      </w:r>
    </w:p>
    <w:p w14:paraId="5CB5DC55" w14:textId="77777777" w:rsidR="00604F31" w:rsidRDefault="00604F31" w:rsidP="00604F31">
      <w:pPr>
        <w:keepNext/>
        <w:ind w:left="1080"/>
      </w:pPr>
      <w:r w:rsidRPr="00A47AAB">
        <w:rPr>
          <w:noProof/>
        </w:rPr>
        <w:drawing>
          <wp:inline distT="0" distB="0" distL="0" distR="0" wp14:anchorId="6ED71A09" wp14:editId="47AE3D11">
            <wp:extent cx="3700131" cy="2885863"/>
            <wp:effectExtent l="0" t="0" r="0" b="0"/>
            <wp:docPr id="37190376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03765" name="Picture 1" descr="A graph with a line&#10;&#10;Description automatically generated"/>
                    <pic:cNvPicPr/>
                  </pic:nvPicPr>
                  <pic:blipFill>
                    <a:blip r:embed="rId9"/>
                    <a:stretch>
                      <a:fillRect/>
                    </a:stretch>
                  </pic:blipFill>
                  <pic:spPr>
                    <a:xfrm>
                      <a:off x="0" y="0"/>
                      <a:ext cx="3714259" cy="2896882"/>
                    </a:xfrm>
                    <a:prstGeom prst="rect">
                      <a:avLst/>
                    </a:prstGeom>
                  </pic:spPr>
                </pic:pic>
              </a:graphicData>
            </a:graphic>
          </wp:inline>
        </w:drawing>
      </w:r>
    </w:p>
    <w:p w14:paraId="776266AC" w14:textId="365590E3" w:rsidR="00604F31" w:rsidRPr="00604F31" w:rsidRDefault="00604F31" w:rsidP="00604F31">
      <w:pPr>
        <w:pStyle w:val="Caption"/>
      </w:pPr>
      <w:r>
        <w:t xml:space="preserve">Figure </w:t>
      </w:r>
      <w:fldSimple w:instr=" SEQ Figure \* ARABIC ">
        <w:r>
          <w:rPr>
            <w:noProof/>
          </w:rPr>
          <w:t>2</w:t>
        </w:r>
      </w:fldSimple>
      <w:r>
        <w:t>: Plot comparing the annual and instantaneous rates of mortality. The solid line represents the relationship between these two rates, while the dashed line is a hypothetical 1:1 line that would be observed if the rates were consistent with each other.</w:t>
      </w:r>
    </w:p>
    <w:p w14:paraId="03ECD77A" w14:textId="77777777" w:rsidR="00604F31" w:rsidRDefault="00604F31">
      <w:pPr>
        <w:rPr>
          <w:b/>
          <w:bCs/>
        </w:rPr>
      </w:pPr>
    </w:p>
    <w:p w14:paraId="67A07ECE" w14:textId="77777777" w:rsidR="00604F31" w:rsidRDefault="00604F31">
      <w:pPr>
        <w:rPr>
          <w:b/>
          <w:bCs/>
        </w:rPr>
      </w:pPr>
    </w:p>
    <w:p w14:paraId="565B423F" w14:textId="77777777" w:rsidR="00604F31" w:rsidRDefault="00604F31">
      <w:pPr>
        <w:rPr>
          <w:b/>
          <w:bCs/>
        </w:rPr>
      </w:pPr>
    </w:p>
    <w:p w14:paraId="2F9DE2B7" w14:textId="77777777" w:rsidR="00604F31" w:rsidRDefault="00604F31">
      <w:pPr>
        <w:rPr>
          <w:b/>
          <w:bCs/>
        </w:rPr>
      </w:pPr>
    </w:p>
    <w:p w14:paraId="7FF2895E" w14:textId="77777777" w:rsidR="00604F31" w:rsidRDefault="00604F31">
      <w:pPr>
        <w:rPr>
          <w:b/>
          <w:bCs/>
        </w:rPr>
      </w:pPr>
    </w:p>
    <w:p w14:paraId="09E38C2C" w14:textId="444FF015" w:rsidR="006519C5" w:rsidRPr="006519C5" w:rsidRDefault="006519C5" w:rsidP="006519C5">
      <w:r>
        <w:rPr>
          <w:b/>
          <w:bCs/>
        </w:rPr>
        <w:t>Part C</w:t>
      </w:r>
    </w:p>
    <w:p w14:paraId="79851DB8" w14:textId="77777777" w:rsidR="006519C5" w:rsidRDefault="006519C5" w:rsidP="006519C5">
      <w:pPr>
        <w:rPr>
          <w:b/>
          <w:bCs/>
        </w:rPr>
      </w:pPr>
    </w:p>
    <w:p w14:paraId="72735287" w14:textId="2FDC6464" w:rsidR="006519C5" w:rsidRPr="00604F31" w:rsidRDefault="00604F31" w:rsidP="00DC40A1">
      <w:pPr>
        <w:pStyle w:val="ListParagraph"/>
        <w:numPr>
          <w:ilvl w:val="0"/>
          <w:numId w:val="1"/>
        </w:numPr>
      </w:pPr>
      <w:r>
        <w:rPr>
          <w:b/>
          <w:bCs/>
        </w:rPr>
        <w:t>Figure from the exercise</w:t>
      </w:r>
    </w:p>
    <w:p w14:paraId="5443BAA4" w14:textId="77777777" w:rsidR="00604F31" w:rsidRDefault="00604F31" w:rsidP="00604F31">
      <w:pPr>
        <w:keepNext/>
        <w:ind w:left="360"/>
      </w:pPr>
      <w:r>
        <w:rPr>
          <w:noProof/>
        </w:rPr>
        <w:drawing>
          <wp:inline distT="0" distB="0" distL="0" distR="0" wp14:anchorId="70EB7846" wp14:editId="454E581F">
            <wp:extent cx="5943600" cy="3751580"/>
            <wp:effectExtent l="0" t="0" r="12700" b="7620"/>
            <wp:docPr id="2084190984"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BC08DB" w14:textId="6E24A91C" w:rsidR="00604F31" w:rsidRDefault="00604F31" w:rsidP="00604F31">
      <w:pPr>
        <w:pStyle w:val="Caption"/>
      </w:pPr>
      <w:r>
        <w:t xml:space="preserve">Figure </w:t>
      </w:r>
      <w:fldSimple w:instr=" SEQ Figure \* ARABIC ">
        <w:r>
          <w:rPr>
            <w:noProof/>
          </w:rPr>
          <w:t>3</w:t>
        </w:r>
      </w:fldSimple>
      <w:r>
        <w:t>: Plot of human population (billions of people) vs. year. The blue line represents the actual population trend, while the black line is an exponential model obtained through trial and error. Key parameters of the model are an initial population size of 2.56 billion in 1950, and an intrinsic rate of increase r of 0.017. RSS = 2.35.</w:t>
      </w:r>
    </w:p>
    <w:p w14:paraId="1C20FFFE" w14:textId="76E2DE4F" w:rsidR="00604F31" w:rsidRPr="00604F31" w:rsidRDefault="00604F31" w:rsidP="00604F31">
      <w:pPr>
        <w:pStyle w:val="ListParagraph"/>
        <w:numPr>
          <w:ilvl w:val="0"/>
          <w:numId w:val="1"/>
        </w:numPr>
      </w:pPr>
      <w:r>
        <w:rPr>
          <w:b/>
          <w:bCs/>
        </w:rPr>
        <w:t xml:space="preserve">Short essay: discussion of the world population doubling time graph. </w:t>
      </w:r>
    </w:p>
    <w:p w14:paraId="1C838A22" w14:textId="7D7F0EA4" w:rsidR="00604F31" w:rsidRDefault="00604F31" w:rsidP="00604F31">
      <w:r>
        <w:t xml:space="preserve">The graph shows the doubling time of the world population at throughout time, from before 1600 to 2100. If the population were growing exponentially, doubling time would be constant regardless of population size. As can be seen in the figure, this is clearly not the case, as doubling time both decreases and increases at various points in time. Under logistic growth, doubling time would increase until the population hits half of the carrying capacity, at which point it would no longer be possible to double. However, in this case, even though the population is increasing overall, we see doubling time decrease. This indicates that the population isn’t experiencing exponential </w:t>
      </w:r>
      <w:r>
        <w:rPr>
          <w:i/>
          <w:iCs/>
        </w:rPr>
        <w:t xml:space="preserve">or </w:t>
      </w:r>
      <w:r>
        <w:t xml:space="preserve">logistic growth. This may be </w:t>
      </w:r>
      <w:proofErr w:type="gramStart"/>
      <w:r>
        <w:t>due to the fact that</w:t>
      </w:r>
      <w:proofErr w:type="gramEnd"/>
      <w:r>
        <w:t xml:space="preserve"> people generally have fewer children now than in the past, reflective of shifts in culture and medicine. Additionally, a logistic model may be unsuitable because humans </w:t>
      </w:r>
      <w:proofErr w:type="gramStart"/>
      <w:r>
        <w:t>have a tendency to</w:t>
      </w:r>
      <w:proofErr w:type="gramEnd"/>
      <w:r>
        <w:t xml:space="preserve"> “augment” or otherwise change the carrying capacity to exist in numbers that their unmodified environment couldn’t support.</w:t>
      </w:r>
    </w:p>
    <w:p w14:paraId="507F54A6" w14:textId="6074E4B4" w:rsidR="00604F31" w:rsidRDefault="00604F31" w:rsidP="00604F31">
      <w:pPr>
        <w:pStyle w:val="ListParagraph"/>
        <w:numPr>
          <w:ilvl w:val="0"/>
          <w:numId w:val="1"/>
        </w:numPr>
        <w:rPr>
          <w:b/>
          <w:bCs/>
        </w:rPr>
      </w:pPr>
      <w:r>
        <w:rPr>
          <w:b/>
          <w:bCs/>
        </w:rPr>
        <w:lastRenderedPageBreak/>
        <w:t>Hours of work</w:t>
      </w:r>
    </w:p>
    <w:p w14:paraId="0B24989E" w14:textId="0D6D03F6" w:rsidR="00604F31" w:rsidRDefault="00604F31" w:rsidP="00604F31">
      <w:pPr>
        <w:ind w:left="360"/>
      </w:pPr>
      <w:r>
        <w:t>3 hours</w:t>
      </w:r>
    </w:p>
    <w:p w14:paraId="1893CFB5" w14:textId="77777777" w:rsidR="00604F31" w:rsidRDefault="00604F31" w:rsidP="00604F31">
      <w:pPr>
        <w:ind w:left="360"/>
      </w:pPr>
    </w:p>
    <w:p w14:paraId="3F247294" w14:textId="5643ACCF" w:rsidR="00604F31" w:rsidRDefault="00604F31" w:rsidP="00604F31">
      <w:pPr>
        <w:pStyle w:val="ListParagraph"/>
        <w:numPr>
          <w:ilvl w:val="0"/>
          <w:numId w:val="1"/>
        </w:numPr>
        <w:rPr>
          <w:b/>
          <w:bCs/>
        </w:rPr>
      </w:pPr>
      <w:r w:rsidRPr="00604F31">
        <w:rPr>
          <w:b/>
          <w:bCs/>
        </w:rPr>
        <w:t>Group work</w:t>
      </w:r>
    </w:p>
    <w:p w14:paraId="39197F40" w14:textId="3CC0797D" w:rsidR="00E62D76" w:rsidRPr="00E62D76" w:rsidRDefault="00E62D76" w:rsidP="00E62D76">
      <w:pPr>
        <w:rPr>
          <w:b/>
          <w:bCs/>
        </w:rPr>
      </w:pPr>
      <w:r>
        <w:rPr>
          <w:b/>
          <w:bCs/>
          <w:noProof/>
        </w:rPr>
        <w:drawing>
          <wp:inline distT="0" distB="0" distL="0" distR="0" wp14:anchorId="3F018FF2" wp14:editId="16C86BA1">
            <wp:extent cx="4561367" cy="3426873"/>
            <wp:effectExtent l="0" t="0" r="0" b="2540"/>
            <wp:docPr id="942815655" name="Picture 1" descr="A group of women holding a cardboard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15655" name="Picture 1" descr="A group of women holding a cardboard fis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0799" cy="3448985"/>
                    </a:xfrm>
                    <a:prstGeom prst="rect">
                      <a:avLst/>
                    </a:prstGeom>
                  </pic:spPr>
                </pic:pic>
              </a:graphicData>
            </a:graphic>
          </wp:inline>
        </w:drawing>
      </w:r>
    </w:p>
    <w:sectPr w:rsidR="00E62D76" w:rsidRPr="00E62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9FF1" w14:textId="77777777" w:rsidR="000C7F53" w:rsidRDefault="000C7F53" w:rsidP="00604F31">
      <w:r>
        <w:separator/>
      </w:r>
    </w:p>
  </w:endnote>
  <w:endnote w:type="continuationSeparator" w:id="0">
    <w:p w14:paraId="1C243CC5" w14:textId="77777777" w:rsidR="000C7F53" w:rsidRDefault="000C7F53"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963B" w14:textId="77777777" w:rsidR="000C7F53" w:rsidRDefault="000C7F53" w:rsidP="00604F31">
      <w:r>
        <w:separator/>
      </w:r>
    </w:p>
  </w:footnote>
  <w:footnote w:type="continuationSeparator" w:id="0">
    <w:p w14:paraId="72FF262B" w14:textId="77777777" w:rsidR="000C7F53" w:rsidRDefault="000C7F53"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399503">
    <w:abstractNumId w:val="0"/>
  </w:num>
  <w:num w:numId="2" w16cid:durableId="1099643601">
    <w:abstractNumId w:val="1"/>
  </w:num>
  <w:num w:numId="3" w16cid:durableId="1259212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C7F53"/>
    <w:rsid w:val="002D491F"/>
    <w:rsid w:val="00342BA0"/>
    <w:rsid w:val="00604F31"/>
    <w:rsid w:val="006519C5"/>
    <w:rsid w:val="00720498"/>
    <w:rsid w:val="007668A6"/>
    <w:rsid w:val="008C01B1"/>
    <w:rsid w:val="009B3257"/>
    <w:rsid w:val="00D05051"/>
    <w:rsid w:val="00DD7CE4"/>
    <w:rsid w:val="00E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padamson/Dropbox/Grad/FISH%20558/Lab%202/Lab%2002%20-%20Exercise_HumanPopGrowt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24460108043901"/>
          <c:y val="4.3675804628460761E-2"/>
          <c:w val="0.77287076220297757"/>
          <c:h val="0.85160316336717623"/>
        </c:manualLayout>
      </c:layout>
      <c:scatterChart>
        <c:scatterStyle val="lineMarker"/>
        <c:varyColors val="0"/>
        <c:ser>
          <c:idx val="0"/>
          <c:order val="0"/>
          <c:tx>
            <c:strRef>
              <c:f>HumanPopGrowth!$C$4</c:f>
              <c:strCache>
                <c:ptCount val="1"/>
                <c:pt idx="0">
                  <c:v>Population (Billions)</c:v>
                </c:pt>
              </c:strCache>
            </c:strRef>
          </c:tx>
          <c:spPr>
            <a:ln w="19050" cap="rnd">
              <a:solidFill>
                <a:schemeClr val="accent1"/>
              </a:solidFill>
              <a:round/>
            </a:ln>
            <a:effectLst/>
          </c:spPr>
          <c:marker>
            <c:symbol val="circle"/>
            <c:size val="10"/>
            <c:spPr>
              <a:solidFill>
                <a:schemeClr val="accent1"/>
              </a:solidFill>
              <a:ln w="9525">
                <a:solidFill>
                  <a:schemeClr val="accent1"/>
                </a:solidFill>
              </a:ln>
              <a:effectLst/>
            </c:spPr>
          </c:marker>
          <c:xVal>
            <c:numRef>
              <c:f>HumanPopGrowth!$A$5:$A$71</c:f>
              <c:numCache>
                <c:formatCode>General</c:formatCode>
                <c:ptCount val="67"/>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numCache>
            </c:numRef>
          </c:xVal>
          <c:yVal>
            <c:numRef>
              <c:f>HumanPopGrowth!$C$5:$C$71</c:f>
              <c:numCache>
                <c:formatCode>_(* #,##0.00_);_(* \(#,##0.00\);_(* "-"??_);_(@_)</c:formatCode>
                <c:ptCount val="67"/>
                <c:pt idx="0">
                  <c:v>2.5576286540000002</c:v>
                </c:pt>
                <c:pt idx="1">
                  <c:v>2.5949398769999998</c:v>
                </c:pt>
                <c:pt idx="2">
                  <c:v>2.6367723060000001</c:v>
                </c:pt>
                <c:pt idx="3">
                  <c:v>2.682053389</c:v>
                </c:pt>
                <c:pt idx="4">
                  <c:v>2.730228104</c:v>
                </c:pt>
                <c:pt idx="5">
                  <c:v>2.7820989429999998</c:v>
                </c:pt>
                <c:pt idx="6">
                  <c:v>2.8352996730000002</c:v>
                </c:pt>
                <c:pt idx="7">
                  <c:v>2.8913497170000002</c:v>
                </c:pt>
                <c:pt idx="8">
                  <c:v>2.9481372480000001</c:v>
                </c:pt>
                <c:pt idx="9">
                  <c:v>3.0007165929999999</c:v>
                </c:pt>
                <c:pt idx="10">
                  <c:v>3.0430015080000001</c:v>
                </c:pt>
                <c:pt idx="11">
                  <c:v>3.0839669289999998</c:v>
                </c:pt>
                <c:pt idx="12">
                  <c:v>3.140093217</c:v>
                </c:pt>
                <c:pt idx="13">
                  <c:v>3.2098278819999999</c:v>
                </c:pt>
                <c:pt idx="14">
                  <c:v>3.2812013059999998</c:v>
                </c:pt>
                <c:pt idx="15">
                  <c:v>3.3504257929999999</c:v>
                </c:pt>
                <c:pt idx="16">
                  <c:v>3.420677923</c:v>
                </c:pt>
                <c:pt idx="17">
                  <c:v>3.4903337149999998</c:v>
                </c:pt>
                <c:pt idx="18">
                  <c:v>3.5623138220000001</c:v>
                </c:pt>
                <c:pt idx="19">
                  <c:v>3.6371590500000002</c:v>
                </c:pt>
                <c:pt idx="20">
                  <c:v>3.712697742</c:v>
                </c:pt>
                <c:pt idx="21">
                  <c:v>3.7903269480000001</c:v>
                </c:pt>
                <c:pt idx="22">
                  <c:v>3.8665686529999999</c:v>
                </c:pt>
                <c:pt idx="23">
                  <c:v>3.942096442</c:v>
                </c:pt>
                <c:pt idx="24">
                  <c:v>4.0166088130000004</c:v>
                </c:pt>
                <c:pt idx="25">
                  <c:v>4.0890832330000002</c:v>
                </c:pt>
                <c:pt idx="26">
                  <c:v>4.1601850100000002</c:v>
                </c:pt>
                <c:pt idx="27">
                  <c:v>4.2320845780000003</c:v>
                </c:pt>
                <c:pt idx="28">
                  <c:v>4.304105753</c:v>
                </c:pt>
                <c:pt idx="29">
                  <c:v>4.3790139420000003</c:v>
                </c:pt>
                <c:pt idx="30">
                  <c:v>4.451362735</c:v>
                </c:pt>
                <c:pt idx="31">
                  <c:v>4.534410125</c:v>
                </c:pt>
                <c:pt idx="32">
                  <c:v>4.6145665610000002</c:v>
                </c:pt>
                <c:pt idx="33">
                  <c:v>4.6957367430000003</c:v>
                </c:pt>
                <c:pt idx="34">
                  <c:v>4.774569391</c:v>
                </c:pt>
                <c:pt idx="35">
                  <c:v>4.8564626989999997</c:v>
                </c:pt>
                <c:pt idx="36">
                  <c:v>4.9405712319999999</c:v>
                </c:pt>
                <c:pt idx="37">
                  <c:v>5.0272004920000004</c:v>
                </c:pt>
                <c:pt idx="38">
                  <c:v>5.1145571670000001</c:v>
                </c:pt>
                <c:pt idx="39">
                  <c:v>5.2014401100000001</c:v>
                </c:pt>
                <c:pt idx="40">
                  <c:v>5.2889559339999996</c:v>
                </c:pt>
                <c:pt idx="41">
                  <c:v>5.3715859220000004</c:v>
                </c:pt>
                <c:pt idx="42">
                  <c:v>5.4561362779999998</c:v>
                </c:pt>
                <c:pt idx="43">
                  <c:v>5.5382683159999999</c:v>
                </c:pt>
                <c:pt idx="44">
                  <c:v>5.618682132</c:v>
                </c:pt>
                <c:pt idx="45">
                  <c:v>5.6992029850000003</c:v>
                </c:pt>
                <c:pt idx="46">
                  <c:v>5.7794405930000003</c:v>
                </c:pt>
                <c:pt idx="47">
                  <c:v>5.8579725429999998</c:v>
                </c:pt>
                <c:pt idx="48">
                  <c:v>5.9352132480000002</c:v>
                </c:pt>
                <c:pt idx="49">
                  <c:v>6.012074922</c:v>
                </c:pt>
                <c:pt idx="50">
                  <c:v>6.0885713829999997</c:v>
                </c:pt>
                <c:pt idx="51">
                  <c:v>6.1652192469999996</c:v>
                </c:pt>
                <c:pt idx="52">
                  <c:v>6.2420163479999999</c:v>
                </c:pt>
                <c:pt idx="53">
                  <c:v>6.3185909560000004</c:v>
                </c:pt>
                <c:pt idx="54">
                  <c:v>6.3956995089999999</c:v>
                </c:pt>
                <c:pt idx="55">
                  <c:v>6.473044732</c:v>
                </c:pt>
                <c:pt idx="56">
                  <c:v>6.5512635340000003</c:v>
                </c:pt>
                <c:pt idx="57">
                  <c:v>6.6299137589999999</c:v>
                </c:pt>
                <c:pt idx="58">
                  <c:v>6.70904978</c:v>
                </c:pt>
                <c:pt idx="59">
                  <c:v>6.7882143939999997</c:v>
                </c:pt>
                <c:pt idx="60">
                  <c:v>6.8585847549999999</c:v>
                </c:pt>
                <c:pt idx="61">
                  <c:v>6.9359994909999996</c:v>
                </c:pt>
                <c:pt idx="62">
                  <c:v>7.0138713130000001</c:v>
                </c:pt>
                <c:pt idx="63">
                  <c:v>7.0921280940000004</c:v>
                </c:pt>
                <c:pt idx="64">
                  <c:v>7.1699681850000001</c:v>
                </c:pt>
                <c:pt idx="65">
                  <c:v>7.2478927879999997</c:v>
                </c:pt>
                <c:pt idx="66">
                  <c:v>7.325996709</c:v>
                </c:pt>
              </c:numCache>
            </c:numRef>
          </c:yVal>
          <c:smooth val="0"/>
          <c:extLst>
            <c:ext xmlns:c16="http://schemas.microsoft.com/office/drawing/2014/chart" uri="{C3380CC4-5D6E-409C-BE32-E72D297353CC}">
              <c16:uniqueId val="{00000000-0B74-ED46-8555-57703C6279F5}"/>
            </c:ext>
          </c:extLst>
        </c:ser>
        <c:ser>
          <c:idx val="1"/>
          <c:order val="1"/>
          <c:tx>
            <c:v>Exponential</c:v>
          </c:tx>
          <c:spPr>
            <a:ln w="50800" cap="rnd">
              <a:solidFill>
                <a:schemeClr val="tx1"/>
              </a:solidFill>
              <a:round/>
            </a:ln>
            <a:effectLst/>
          </c:spPr>
          <c:marker>
            <c:symbol val="none"/>
          </c:marker>
          <c:xVal>
            <c:numRef>
              <c:f>HumanPopGrowth!$A$5:$A$155</c:f>
              <c:numCache>
                <c:formatCode>General</c:formatCode>
                <c:ptCount val="151"/>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pt idx="69">
                  <c:v>2019</c:v>
                </c:pt>
                <c:pt idx="70">
                  <c:v>2020</c:v>
                </c:pt>
                <c:pt idx="71">
                  <c:v>2021</c:v>
                </c:pt>
                <c:pt idx="72">
                  <c:v>2022</c:v>
                </c:pt>
                <c:pt idx="73">
                  <c:v>2023</c:v>
                </c:pt>
                <c:pt idx="74">
                  <c:v>2024</c:v>
                </c:pt>
                <c:pt idx="75">
                  <c:v>2025</c:v>
                </c:pt>
                <c:pt idx="76">
                  <c:v>2026</c:v>
                </c:pt>
                <c:pt idx="77">
                  <c:v>2027</c:v>
                </c:pt>
                <c:pt idx="78">
                  <c:v>2028</c:v>
                </c:pt>
                <c:pt idx="79">
                  <c:v>2029</c:v>
                </c:pt>
                <c:pt idx="80">
                  <c:v>2030</c:v>
                </c:pt>
                <c:pt idx="81">
                  <c:v>2031</c:v>
                </c:pt>
                <c:pt idx="82">
                  <c:v>2032</c:v>
                </c:pt>
                <c:pt idx="83">
                  <c:v>2033</c:v>
                </c:pt>
                <c:pt idx="84">
                  <c:v>2034</c:v>
                </c:pt>
                <c:pt idx="85">
                  <c:v>2035</c:v>
                </c:pt>
                <c:pt idx="86">
                  <c:v>2036</c:v>
                </c:pt>
                <c:pt idx="87">
                  <c:v>2037</c:v>
                </c:pt>
                <c:pt idx="88">
                  <c:v>2038</c:v>
                </c:pt>
                <c:pt idx="89">
                  <c:v>2039</c:v>
                </c:pt>
                <c:pt idx="90">
                  <c:v>2040</c:v>
                </c:pt>
                <c:pt idx="91">
                  <c:v>2041</c:v>
                </c:pt>
                <c:pt idx="92">
                  <c:v>2042</c:v>
                </c:pt>
                <c:pt idx="93">
                  <c:v>2043</c:v>
                </c:pt>
                <c:pt idx="94">
                  <c:v>2044</c:v>
                </c:pt>
                <c:pt idx="95">
                  <c:v>2045</c:v>
                </c:pt>
                <c:pt idx="96">
                  <c:v>2046</c:v>
                </c:pt>
                <c:pt idx="97">
                  <c:v>2047</c:v>
                </c:pt>
                <c:pt idx="98">
                  <c:v>2048</c:v>
                </c:pt>
                <c:pt idx="99">
                  <c:v>2049</c:v>
                </c:pt>
                <c:pt idx="100">
                  <c:v>2050</c:v>
                </c:pt>
                <c:pt idx="101">
                  <c:v>2051</c:v>
                </c:pt>
                <c:pt idx="102">
                  <c:v>2052</c:v>
                </c:pt>
                <c:pt idx="103">
                  <c:v>2053</c:v>
                </c:pt>
                <c:pt idx="104">
                  <c:v>2054</c:v>
                </c:pt>
                <c:pt idx="105">
                  <c:v>2055</c:v>
                </c:pt>
                <c:pt idx="106">
                  <c:v>2056</c:v>
                </c:pt>
                <c:pt idx="107">
                  <c:v>2057</c:v>
                </c:pt>
                <c:pt idx="108">
                  <c:v>2058</c:v>
                </c:pt>
                <c:pt idx="109">
                  <c:v>2059</c:v>
                </c:pt>
                <c:pt idx="110">
                  <c:v>2060</c:v>
                </c:pt>
                <c:pt idx="111">
                  <c:v>2061</c:v>
                </c:pt>
                <c:pt idx="112">
                  <c:v>2062</c:v>
                </c:pt>
                <c:pt idx="113">
                  <c:v>2063</c:v>
                </c:pt>
                <c:pt idx="114">
                  <c:v>2064</c:v>
                </c:pt>
                <c:pt idx="115">
                  <c:v>2065</c:v>
                </c:pt>
                <c:pt idx="116">
                  <c:v>2066</c:v>
                </c:pt>
                <c:pt idx="117">
                  <c:v>2067</c:v>
                </c:pt>
                <c:pt idx="118">
                  <c:v>2068</c:v>
                </c:pt>
                <c:pt idx="119">
                  <c:v>2069</c:v>
                </c:pt>
                <c:pt idx="120">
                  <c:v>2070</c:v>
                </c:pt>
                <c:pt idx="121">
                  <c:v>2071</c:v>
                </c:pt>
                <c:pt idx="122">
                  <c:v>2072</c:v>
                </c:pt>
                <c:pt idx="123">
                  <c:v>2073</c:v>
                </c:pt>
                <c:pt idx="124">
                  <c:v>2074</c:v>
                </c:pt>
                <c:pt idx="125">
                  <c:v>2075</c:v>
                </c:pt>
                <c:pt idx="126">
                  <c:v>2076</c:v>
                </c:pt>
                <c:pt idx="127">
                  <c:v>2077</c:v>
                </c:pt>
                <c:pt idx="128">
                  <c:v>2078</c:v>
                </c:pt>
                <c:pt idx="129">
                  <c:v>2079</c:v>
                </c:pt>
                <c:pt idx="130">
                  <c:v>2080</c:v>
                </c:pt>
                <c:pt idx="131">
                  <c:v>2081</c:v>
                </c:pt>
                <c:pt idx="132">
                  <c:v>2082</c:v>
                </c:pt>
                <c:pt idx="133">
                  <c:v>2083</c:v>
                </c:pt>
                <c:pt idx="134">
                  <c:v>2084</c:v>
                </c:pt>
                <c:pt idx="135">
                  <c:v>2085</c:v>
                </c:pt>
                <c:pt idx="136">
                  <c:v>2086</c:v>
                </c:pt>
                <c:pt idx="137">
                  <c:v>2087</c:v>
                </c:pt>
                <c:pt idx="138">
                  <c:v>2088</c:v>
                </c:pt>
                <c:pt idx="139">
                  <c:v>2089</c:v>
                </c:pt>
                <c:pt idx="140">
                  <c:v>2090</c:v>
                </c:pt>
                <c:pt idx="141">
                  <c:v>2091</c:v>
                </c:pt>
                <c:pt idx="142">
                  <c:v>2092</c:v>
                </c:pt>
                <c:pt idx="143">
                  <c:v>2093</c:v>
                </c:pt>
                <c:pt idx="144">
                  <c:v>2094</c:v>
                </c:pt>
                <c:pt idx="145">
                  <c:v>2095</c:v>
                </c:pt>
                <c:pt idx="146">
                  <c:v>2096</c:v>
                </c:pt>
                <c:pt idx="147">
                  <c:v>2097</c:v>
                </c:pt>
                <c:pt idx="148">
                  <c:v>2098</c:v>
                </c:pt>
                <c:pt idx="149">
                  <c:v>2099</c:v>
                </c:pt>
                <c:pt idx="150">
                  <c:v>2100</c:v>
                </c:pt>
              </c:numCache>
            </c:numRef>
          </c:xVal>
          <c:yVal>
            <c:numRef>
              <c:f>HumanPopGrowth!$D$5:$D$155</c:f>
              <c:numCache>
                <c:formatCode>_(* #,##0.00_);_(* \(#,##0.00\);_(* "-"??_);_(@_)</c:formatCode>
                <c:ptCount val="151"/>
                <c:pt idx="0">
                  <c:v>2.5576286540000002</c:v>
                </c:pt>
                <c:pt idx="1">
                  <c:v>2.6014800216611018</c:v>
                </c:pt>
                <c:pt idx="2">
                  <c:v>2.6460832351551558</c:v>
                </c:pt>
                <c:pt idx="3">
                  <c:v>2.6914511851213065</c:v>
                </c:pt>
                <c:pt idx="4">
                  <c:v>2.7375969832128626</c:v>
                </c:pt>
                <c:pt idx="5">
                  <c:v>2.7845339658866539</c:v>
                </c:pt>
                <c:pt idx="6">
                  <c:v>2.8322756982573614</c:v>
                </c:pt>
                <c:pt idx="7">
                  <c:v>2.88083597801793</c:v>
                </c:pt>
                <c:pt idx="8">
                  <c:v>2.930228839427198</c:v>
                </c:pt>
                <c:pt idx="9">
                  <c:v>2.9804685573658936</c:v>
                </c:pt>
                <c:pt idx="10">
                  <c:v>3.0315696514621764</c:v>
                </c:pt>
                <c:pt idx="11">
                  <c:v>3.0835468902879137</c:v>
                </c:pt>
                <c:pt idx="12">
                  <c:v>3.1364152956268931</c:v>
                </c:pt>
                <c:pt idx="13">
                  <c:v>3.1901901468162324</c:v>
                </c:pt>
                <c:pt idx="14">
                  <c:v>3.2448869851622031</c:v>
                </c:pt>
                <c:pt idx="15">
                  <c:v>3.3005216184317878</c:v>
                </c:pt>
                <c:pt idx="16">
                  <c:v>3.3571101254212263</c:v>
                </c:pt>
                <c:pt idx="17">
                  <c:v>3.4146688606029025</c:v>
                </c:pt>
                <c:pt idx="18">
                  <c:v>3.4732144588519023</c:v>
                </c:pt>
                <c:pt idx="19">
                  <c:v>3.5327638402536046</c:v>
                </c:pt>
                <c:pt idx="20">
                  <c:v>3.5933342149937078</c:v>
                </c:pt>
                <c:pt idx="21">
                  <c:v>3.6549430883320908</c:v>
                </c:pt>
                <c:pt idx="22">
                  <c:v>3.7176082656619549</c:v>
                </c:pt>
                <c:pt idx="23">
                  <c:v>3.7813478576557089</c:v>
                </c:pt>
                <c:pt idx="24">
                  <c:v>3.8461802854990745</c:v>
                </c:pt>
                <c:pt idx="25">
                  <c:v>3.9121242862149428</c:v>
                </c:pt>
                <c:pt idx="26">
                  <c:v>3.9791989180785006</c:v>
                </c:pt>
                <c:pt idx="27">
                  <c:v>4.0474235661252056</c:v>
                </c:pt>
                <c:pt idx="28">
                  <c:v>4.1168179477531979</c:v>
                </c:pt>
                <c:pt idx="29">
                  <c:v>4.1874021184217627</c:v>
                </c:pt>
                <c:pt idx="30">
                  <c:v>4.2591964774474995</c:v>
                </c:pt>
                <c:pt idx="31">
                  <c:v>4.3322217738998665</c:v>
                </c:pt>
                <c:pt idx="32">
                  <c:v>4.4064991125978059</c:v>
                </c:pt>
                <c:pt idx="33">
                  <c:v>4.4820499602091823</c:v>
                </c:pt>
                <c:pt idx="34">
                  <c:v>4.5588961514548023</c:v>
                </c:pt>
                <c:pt idx="35">
                  <c:v>4.637059895418794</c:v>
                </c:pt>
                <c:pt idx="36">
                  <c:v>4.7165637819671966</c:v>
                </c:pt>
                <c:pt idx="37">
                  <c:v>4.7974307882765803</c:v>
                </c:pt>
                <c:pt idx="38">
                  <c:v>4.8796842854746165</c:v>
                </c:pt>
                <c:pt idx="39">
                  <c:v>4.9633480453944907</c:v>
                </c:pt>
                <c:pt idx="40">
                  <c:v>5.048446247445133</c:v>
                </c:pt>
                <c:pt idx="41">
                  <c:v>5.1350034855992313</c:v>
                </c:pt>
                <c:pt idx="42">
                  <c:v>5.2230447755010649</c:v>
                </c:pt>
                <c:pt idx="43">
                  <c:v>5.3125955616961962</c:v>
                </c:pt>
                <c:pt idx="44">
                  <c:v>5.4036817249851197</c:v>
                </c:pt>
                <c:pt idx="45">
                  <c:v>5.4963295899030031</c:v>
                </c:pt>
                <c:pt idx="46">
                  <c:v>5.5905659323276486</c:v>
                </c:pt>
                <c:pt idx="47">
                  <c:v>5.6864179872179159</c:v>
                </c:pt>
                <c:pt idx="48">
                  <c:v>5.7839134564848145</c:v>
                </c:pt>
                <c:pt idx="49">
                  <c:v>5.8830805169975431</c:v>
                </c:pt>
                <c:pt idx="50">
                  <c:v>5.9839478287268104</c:v>
                </c:pt>
                <c:pt idx="51">
                  <c:v>6.086544543027756</c:v>
                </c:pt>
                <c:pt idx="52">
                  <c:v>6.1909003110649028</c:v>
                </c:pt>
                <c:pt idx="53">
                  <c:v>6.2970452923815428</c:v>
                </c:pt>
                <c:pt idx="54">
                  <c:v>6.4050101636160646</c:v>
                </c:pt>
                <c:pt idx="55">
                  <c:v>6.5148261273677051</c:v>
                </c:pt>
                <c:pt idx="56">
                  <c:v>6.6265249212143242</c:v>
                </c:pt>
                <c:pt idx="57">
                  <c:v>6.7401388268847846</c:v>
                </c:pt>
                <c:pt idx="58">
                  <c:v>6.855700679588594</c:v>
                </c:pt>
                <c:pt idx="59">
                  <c:v>6.9732438775055119</c:v>
                </c:pt>
                <c:pt idx="60">
                  <c:v>7.0928023914378553</c:v>
                </c:pt>
                <c:pt idx="61">
                  <c:v>7.2144107746282966</c:v>
                </c:pt>
                <c:pt idx="62">
                  <c:v>7.3381041727459886</c:v>
                </c:pt>
                <c:pt idx="63">
                  <c:v>7.4639183340439139</c:v>
                </c:pt>
                <c:pt idx="64">
                  <c:v>7.5918896196903685</c:v>
                </c:pt>
                <c:pt idx="65">
                  <c:v>7.7220550142776094</c:v>
                </c:pt>
                <c:pt idx="66">
                  <c:v>7.8544521365106412</c:v>
                </c:pt>
                <c:pt idx="67">
                  <c:v>7.9891192500792911</c:v>
                </c:pt>
                <c:pt idx="68">
                  <c:v>8.1260952747166879</c:v>
                </c:pt>
                <c:pt idx="69">
                  <c:v>8.2654197974473202</c:v>
                </c:pt>
                <c:pt idx="70">
                  <c:v>8.407133084027981</c:v>
                </c:pt>
                <c:pt idx="71">
                  <c:v>8.5512760905848353</c:v>
                </c:pt>
                <c:pt idx="72">
                  <c:v>8.6978904754500395</c:v>
                </c:pt>
                <c:pt idx="73">
                  <c:v>8.8470186112012712</c:v>
                </c:pt>
                <c:pt idx="74">
                  <c:v>8.9987035969077187</c:v>
                </c:pt>
                <c:pt idx="75">
                  <c:v>9.1529892705860068</c:v>
                </c:pt>
                <c:pt idx="76">
                  <c:v>9.3099202218696711</c:v>
                </c:pt>
                <c:pt idx="77">
                  <c:v>9.4695418048959059</c:v>
                </c:pt>
                <c:pt idx="78">
                  <c:v>9.6319001514131877</c:v>
                </c:pt>
                <c:pt idx="79">
                  <c:v>9.7970421841137032</c:v>
                </c:pt>
                <c:pt idx="80">
                  <c:v>9.965015630194312</c:v>
                </c:pt>
                <c:pt idx="81">
                  <c:v>10.135869035150055</c:v>
                </c:pt>
                <c:pt idx="82">
                  <c:v>10.309651776804129</c:v>
                </c:pt>
                <c:pt idx="83">
                  <c:v>10.486414079578427</c:v>
                </c:pt>
                <c:pt idx="84">
                  <c:v>10.666207029008744</c:v>
                </c:pt>
                <c:pt idx="85">
                  <c:v>10.849082586508846</c:v>
                </c:pt>
                <c:pt idx="86">
                  <c:v>11.035093604387699</c:v>
                </c:pt>
                <c:pt idx="87">
                  <c:v>11.224293841124126</c:v>
                </c:pt>
                <c:pt idx="88">
                  <c:v>11.416737976903413</c:v>
                </c:pt>
                <c:pt idx="89">
                  <c:v>11.612481629420239</c:v>
                </c:pt>
                <c:pt idx="90">
                  <c:v>11.811581369952588</c:v>
                </c:pt>
                <c:pt idx="91">
                  <c:v>12.014094739711235</c:v>
                </c:pt>
                <c:pt idx="92">
                  <c:v>12.220080266469562</c:v>
                </c:pt>
                <c:pt idx="93">
                  <c:v>12.429597481478496</c:v>
                </c:pt>
                <c:pt idx="94">
                  <c:v>12.642706936671445</c:v>
                </c:pt>
                <c:pt idx="95">
                  <c:v>12.859470222164235</c:v>
                </c:pt>
                <c:pt idx="96">
                  <c:v>13.079949984055077</c:v>
                </c:pt>
                <c:pt idx="97">
                  <c:v>13.304209942529727</c:v>
                </c:pt>
                <c:pt idx="98">
                  <c:v>13.532314910277073</c:v>
                </c:pt>
                <c:pt idx="99">
                  <c:v>13.764330811220432</c:v>
                </c:pt>
                <c:pt idx="100">
                  <c:v>14.000324699570053</c:v>
                </c:pt>
                <c:pt idx="101">
                  <c:v>14.240364779202208</c:v>
                </c:pt>
                <c:pt idx="102">
                  <c:v>14.484520423370638</c:v>
                </c:pt>
                <c:pt idx="103">
                  <c:v>14.732862194755858</c:v>
                </c:pt>
                <c:pt idx="104">
                  <c:v>14.985461865858303</c:v>
                </c:pt>
                <c:pt idx="105">
                  <c:v>15.242392439741046</c:v>
                </c:pt>
                <c:pt idx="106">
                  <c:v>15.503728171128218</c:v>
                </c:pt>
                <c:pt idx="107">
                  <c:v>15.769544587865129</c:v>
                </c:pt>
                <c:pt idx="108">
                  <c:v>16.039918512746329</c:v>
                </c:pt>
                <c:pt idx="109">
                  <c:v>16.314928085717963</c:v>
                </c:pt>
                <c:pt idx="110">
                  <c:v>16.594652786460721</c:v>
                </c:pt>
                <c:pt idx="111">
                  <c:v>16.879173457360046</c:v>
                </c:pt>
                <c:pt idx="112">
                  <c:v>17.16857232687013</c:v>
                </c:pt>
                <c:pt idx="113">
                  <c:v>17.462933033278524</c:v>
                </c:pt>
                <c:pt idx="114">
                  <c:v>17.762340648878183</c:v>
                </c:pt>
                <c:pt idx="115">
                  <c:v>18.066881704553925</c:v>
                </c:pt>
                <c:pt idx="116">
                  <c:v>18.376644214790495</c:v>
                </c:pt>
                <c:pt idx="117">
                  <c:v>18.691717703109351</c:v>
                </c:pt>
                <c:pt idx="118">
                  <c:v>19.01219322794157</c:v>
                </c:pt>
                <c:pt idx="119">
                  <c:v>19.338163408944386</c:v>
                </c:pt>
                <c:pt idx="120">
                  <c:v>19.669722453768912</c:v>
                </c:pt>
                <c:pt idx="121">
                  <c:v>20.006966185286803</c:v>
                </c:pt>
                <c:pt idx="122">
                  <c:v>20.349992069283747</c:v>
                </c:pt>
                <c:pt idx="123">
                  <c:v>20.698899242627707</c:v>
                </c:pt>
                <c:pt idx="124">
                  <c:v>21.053788541920238</c:v>
                </c:pt>
                <c:pt idx="125">
                  <c:v>21.414762532638917</c:v>
                </c:pt>
                <c:pt idx="126">
                  <c:v>21.781925538779511</c:v>
                </c:pt>
                <c:pt idx="127">
                  <c:v>22.155383673006273</c:v>
                </c:pt>
                <c:pt idx="128">
                  <c:v>22.535244867319342</c:v>
                </c:pt>
                <c:pt idx="129">
                  <c:v>22.921618904247758</c:v>
                </c:pt>
                <c:pt idx="130">
                  <c:v>23.314617448577412</c:v>
                </c:pt>
                <c:pt idx="131">
                  <c:v>23.714354079622964</c:v>
                </c:pt>
                <c:pt idx="132">
                  <c:v>24.120944324052985</c:v>
                </c:pt>
                <c:pt idx="133">
                  <c:v>24.534505689278056</c:v>
                </c:pt>
                <c:pt idx="134">
                  <c:v>24.955157697411178</c:v>
                </c:pt>
                <c:pt idx="135">
                  <c:v>25.383021919810517</c:v>
                </c:pt>
                <c:pt idx="136">
                  <c:v>25.818222012214317</c:v>
                </c:pt>
                <c:pt idx="137">
                  <c:v>26.260883750478353</c:v>
                </c:pt>
                <c:pt idx="138">
                  <c:v>26.71113506692598</c:v>
                </c:pt>
                <c:pt idx="139">
                  <c:v>27.169106087321467</c:v>
                </c:pt>
                <c:pt idx="140">
                  <c:v>27.634929168477264</c:v>
                </c:pt>
                <c:pt idx="141">
                  <c:v>28.108738936506001</c:v>
                </c:pt>
                <c:pt idx="142">
                  <c:v>28.590672325728438</c:v>
                </c:pt>
                <c:pt idx="143">
                  <c:v>29.080868618248388</c:v>
                </c:pt>
                <c:pt idx="144">
                  <c:v>29.579469484206243</c:v>
                </c:pt>
                <c:pt idx="145">
                  <c:v>30.086619022722584</c:v>
                </c:pt>
                <c:pt idx="146">
                  <c:v>30.602463803543877</c:v>
                </c:pt>
                <c:pt idx="147">
                  <c:v>31.127152909402149</c:v>
                </c:pt>
                <c:pt idx="148">
                  <c:v>31.660837979100897</c:v>
                </c:pt>
                <c:pt idx="149">
                  <c:v>32.203673251339822</c:v>
                </c:pt>
                <c:pt idx="150">
                  <c:v>32.755815609290771</c:v>
                </c:pt>
              </c:numCache>
            </c:numRef>
          </c:yVal>
          <c:smooth val="0"/>
          <c:extLst>
            <c:ext xmlns:c16="http://schemas.microsoft.com/office/drawing/2014/chart" uri="{C3380CC4-5D6E-409C-BE32-E72D297353CC}">
              <c16:uniqueId val="{00000001-0B74-ED46-8555-57703C6279F5}"/>
            </c:ext>
          </c:extLst>
        </c:ser>
        <c:dLbls>
          <c:showLegendKey val="0"/>
          <c:showVal val="0"/>
          <c:showCatName val="0"/>
          <c:showSerName val="0"/>
          <c:showPercent val="0"/>
          <c:showBubbleSize val="0"/>
        </c:dLbls>
        <c:axId val="1084208824"/>
        <c:axId val="1084207648"/>
      </c:scatterChart>
      <c:valAx>
        <c:axId val="1084208824"/>
        <c:scaling>
          <c:orientation val="minMax"/>
          <c:max val="2015"/>
          <c:min val="19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84207648"/>
        <c:crosses val="autoZero"/>
        <c:crossBetween val="midCat"/>
      </c:valAx>
      <c:valAx>
        <c:axId val="1084207648"/>
        <c:scaling>
          <c:orientation val="minMax"/>
          <c:max val="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Human Population (billions)</a:t>
                </a:r>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84208824"/>
        <c:crosses val="autoZero"/>
        <c:crossBetween val="midCat"/>
      </c:valAx>
      <c:spPr>
        <a:noFill/>
        <a:ln>
          <a:noFill/>
        </a:ln>
        <a:effectLst/>
      </c:spPr>
    </c:plotArea>
    <c:legend>
      <c:legendPos val="r"/>
      <c:layout>
        <c:manualLayout>
          <c:xMode val="edge"/>
          <c:yMode val="edge"/>
          <c:x val="0.73725907389696099"/>
          <c:y val="0.71503366180976535"/>
          <c:w val="0.22946305588673296"/>
          <c:h val="0.16324175059691443"/>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4</cp:revision>
  <dcterms:created xsi:type="dcterms:W3CDTF">2024-01-29T20:50:00Z</dcterms:created>
  <dcterms:modified xsi:type="dcterms:W3CDTF">2024-01-30T17:37:00Z</dcterms:modified>
</cp:coreProperties>
</file>