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2021-09-16</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3"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31"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5000.0"/>
        <w:tblLook w:firstRow="1" w:lastRow="0" w:firstColumn="0" w:lastColumn="0" w:noHBand="0" w:noVBand="0" w:val="0020"/>
        <w:tblCaption w:val="Table 3.1: Data summary table."/>
      </w:tblPr>
      <w:tblGrid>
        <w:gridCol w:w="101"/>
        <w:gridCol w:w="577"/>
        <w:gridCol w:w="577"/>
        <w:gridCol w:w="645"/>
        <w:gridCol w:w="985"/>
        <w:gridCol w:w="951"/>
        <w:gridCol w:w="1121"/>
        <w:gridCol w:w="747"/>
        <w:gridCol w:w="2209"/>
      </w:tblGrid>
      <w:tr>
        <w:tc>
          <w:p/>
        </w:tc>
        <w:tc>
          <w:p>
            <w:pPr>
              <w:pStyle w:val="Compact"/>
              <w:jc w:val="left"/>
            </w:pPr>
            <w:r>
              <w:t xml:space="preserve">State</w:t>
            </w:r>
          </w:p>
        </w:tc>
        <w:tc>
          <w:p>
            <w:pPr>
              <w:pStyle w:val="Compact"/>
              <w:jc w:val="left"/>
            </w:pPr>
            <w:r>
              <w:t xml:space="preserve">County Name</w:t>
            </w:r>
          </w:p>
        </w:tc>
        <w:tc>
          <w:p>
            <w:pPr>
              <w:pStyle w:val="Compact"/>
              <w:jc w:val="left"/>
            </w:pPr>
            <w:r>
              <w:t xml:space="preserve">Estimated hesitant</w:t>
            </w:r>
          </w:p>
        </w:tc>
        <w:tc>
          <w:p>
            <w:pPr>
              <w:pStyle w:val="Compact"/>
              <w:jc w:val="left"/>
            </w:pPr>
            <w:r>
              <w:t xml:space="preserve">Estimated hesitant or unsure</w:t>
            </w:r>
          </w:p>
        </w:tc>
        <w:tc>
          <w:p>
            <w:pPr>
              <w:pStyle w:val="Compact"/>
              <w:jc w:val="left"/>
            </w:pPr>
            <w:r>
              <w:t xml:space="preserve">Estimated strongly hesitant</w:t>
            </w:r>
          </w:p>
        </w:tc>
        <w:tc>
          <w:p>
            <w:pPr>
              <w:pStyle w:val="Compact"/>
              <w:jc w:val="left"/>
            </w:pPr>
            <w:r>
              <w:t xml:space="preserve">Social Vulnerability Index (SVI)</w:t>
            </w:r>
          </w:p>
        </w:tc>
        <w:tc>
          <w:p>
            <w:pPr>
              <w:pStyle w:val="Compact"/>
              <w:jc w:val="left"/>
            </w:pPr>
            <w:r>
              <w:t xml:space="preserve">CVAC Level Of Concern</w:t>
            </w:r>
          </w:p>
        </w:tc>
        <w:tc>
          <w:p>
            <w:pPr>
              <w:pStyle w:val="Compact"/>
              <w:jc w:val="left"/>
            </w:pPr>
            <w:r>
              <w:t xml:space="preserve">Percent adults fully vaccinated against COVID-19 (as of 6/10/21)</w:t>
            </w:r>
          </w:p>
        </w:tc>
      </w:tr>
      <w:tr>
        <w:tc>
          <w:p/>
        </w:tc>
        <w:tc>
          <w:p>
            <w:pPr>
              <w:pStyle w:val="Compact"/>
              <w:jc w:val="left"/>
            </w:pPr>
            <w:r>
              <w:t xml:space="preserve">Length:159</w:t>
            </w:r>
          </w:p>
        </w:tc>
        <w:tc>
          <w:p>
            <w:pPr>
              <w:pStyle w:val="Compact"/>
              <w:jc w:val="left"/>
            </w:pPr>
            <w:r>
              <w:t xml:space="preserve">Length:159</w:t>
            </w:r>
          </w:p>
        </w:tc>
        <w:tc>
          <w:p>
            <w:pPr>
              <w:pStyle w:val="Compact"/>
              <w:jc w:val="left"/>
            </w:pPr>
            <w:r>
              <w:t xml:space="preserve">Min. :0.1049</w:t>
            </w:r>
          </w:p>
        </w:tc>
        <w:tc>
          <w:p>
            <w:pPr>
              <w:pStyle w:val="Compact"/>
              <w:jc w:val="left"/>
            </w:pPr>
            <w:r>
              <w:t xml:space="preserve">Min. :0.1435</w:t>
            </w:r>
          </w:p>
        </w:tc>
        <w:tc>
          <w:p>
            <w:pPr>
              <w:pStyle w:val="Compact"/>
              <w:jc w:val="left"/>
            </w:pPr>
            <w:r>
              <w:t xml:space="preserve">Min. :0.0651</w:t>
            </w:r>
          </w:p>
        </w:tc>
        <w:tc>
          <w:p>
            <w:pPr>
              <w:pStyle w:val="Compact"/>
              <w:jc w:val="left"/>
            </w:pPr>
            <w:r>
              <w:t xml:space="preserve">Min. :0.0400</w:t>
            </w:r>
          </w:p>
        </w:tc>
        <w:tc>
          <w:p>
            <w:pPr>
              <w:pStyle w:val="Compact"/>
              <w:jc w:val="left"/>
            </w:pPr>
            <w:r>
              <w:t xml:space="preserve">Length:159</w:t>
            </w:r>
          </w:p>
        </w:tc>
        <w:tc>
          <w:p>
            <w:pPr>
              <w:pStyle w:val="Compact"/>
              <w:jc w:val="left"/>
            </w:pPr>
            <w:r>
              <w:t xml:space="preserve">Min. :0.0290</w:t>
            </w:r>
          </w:p>
        </w:tc>
      </w:tr>
      <w:tr>
        <w:tc>
          <w:p/>
        </w:tc>
        <w:tc>
          <w:p>
            <w:pPr>
              <w:pStyle w:val="Compact"/>
              <w:jc w:val="left"/>
            </w:pPr>
            <w:r>
              <w:t xml:space="preserve">Class :character</w:t>
            </w:r>
          </w:p>
        </w:tc>
        <w:tc>
          <w:p>
            <w:pPr>
              <w:pStyle w:val="Compact"/>
              <w:jc w:val="left"/>
            </w:pPr>
            <w:r>
              <w:t xml:space="preserve">Class :character</w:t>
            </w:r>
          </w:p>
        </w:tc>
        <w:tc>
          <w:p>
            <w:pPr>
              <w:pStyle w:val="Compact"/>
              <w:jc w:val="left"/>
            </w:pPr>
            <w:r>
              <w:t xml:space="preserve">1st Qu.:0.1525</w:t>
            </w:r>
          </w:p>
        </w:tc>
        <w:tc>
          <w:p>
            <w:pPr>
              <w:pStyle w:val="Compact"/>
              <w:jc w:val="left"/>
            </w:pPr>
            <w:r>
              <w:t xml:space="preserve">1st Qu.:0.2237</w:t>
            </w:r>
          </w:p>
        </w:tc>
        <w:tc>
          <w:p>
            <w:pPr>
              <w:pStyle w:val="Compact"/>
              <w:jc w:val="left"/>
            </w:pPr>
            <w:r>
              <w:t xml:space="preserve">1st Qu.:0.0957</w:t>
            </w:r>
          </w:p>
        </w:tc>
        <w:tc>
          <w:p>
            <w:pPr>
              <w:pStyle w:val="Compact"/>
              <w:jc w:val="left"/>
            </w:pPr>
            <w:r>
              <w:t xml:space="preserve">1st Qu.:0.5550</w:t>
            </w:r>
          </w:p>
        </w:tc>
        <w:tc>
          <w:p>
            <w:pPr>
              <w:pStyle w:val="Compact"/>
              <w:jc w:val="left"/>
            </w:pPr>
            <w:r>
              <w:t xml:space="preserve">Class :character</w:t>
            </w:r>
          </w:p>
        </w:tc>
        <w:tc>
          <w:p>
            <w:pPr>
              <w:pStyle w:val="Compact"/>
              <w:jc w:val="left"/>
            </w:pPr>
            <w:r>
              <w:t xml:space="preserve">1st Qu.:0.0795</w:t>
            </w:r>
          </w:p>
        </w:tc>
      </w:tr>
      <w:tr>
        <w:tc>
          <w:p/>
        </w:tc>
        <w:tc>
          <w:p>
            <w:pPr>
              <w:pStyle w:val="Compact"/>
              <w:jc w:val="left"/>
            </w:pPr>
            <w:r>
              <w:t xml:space="preserve">Mode :character</w:t>
            </w:r>
          </w:p>
        </w:tc>
        <w:tc>
          <w:p>
            <w:pPr>
              <w:pStyle w:val="Compact"/>
              <w:jc w:val="left"/>
            </w:pPr>
            <w:r>
              <w:t xml:space="preserve">Mode :character</w:t>
            </w:r>
          </w:p>
        </w:tc>
        <w:tc>
          <w:p>
            <w:pPr>
              <w:pStyle w:val="Compact"/>
              <w:jc w:val="left"/>
            </w:pPr>
            <w:r>
              <w:t xml:space="preserve">Median :0.1623</w:t>
            </w:r>
          </w:p>
        </w:tc>
        <w:tc>
          <w:p>
            <w:pPr>
              <w:pStyle w:val="Compact"/>
              <w:jc w:val="left"/>
            </w:pPr>
            <w:r>
              <w:t xml:space="preserve">Median :0.2382</w:t>
            </w:r>
          </w:p>
        </w:tc>
        <w:tc>
          <w:p>
            <w:pPr>
              <w:pStyle w:val="Compact"/>
              <w:jc w:val="left"/>
            </w:pPr>
            <w:r>
              <w:t xml:space="preserve">Median :0.1043</w:t>
            </w:r>
          </w:p>
        </w:tc>
        <w:tc>
          <w:p>
            <w:pPr>
              <w:pStyle w:val="Compact"/>
              <w:jc w:val="left"/>
            </w:pPr>
            <w:r>
              <w:t xml:space="preserve">Median :0.8100</w:t>
            </w:r>
          </w:p>
        </w:tc>
        <w:tc>
          <w:p>
            <w:pPr>
              <w:pStyle w:val="Compact"/>
              <w:jc w:val="left"/>
            </w:pPr>
            <w:r>
              <w:t xml:space="preserve">Mode :character</w:t>
            </w:r>
          </w:p>
        </w:tc>
        <w:tc>
          <w:p>
            <w:pPr>
              <w:pStyle w:val="Compact"/>
              <w:jc w:val="left"/>
            </w:pPr>
            <w:r>
              <w:t xml:space="preserve">Median :0.1270</w:t>
            </w:r>
          </w:p>
        </w:tc>
      </w:tr>
      <w:tr>
        <w:tc>
          <w:p/>
        </w:tc>
        <w:tc>
          <w:p>
            <w:pPr>
              <w:pStyle w:val="Compact"/>
              <w:jc w:val="left"/>
            </w:pPr>
            <w:r>
              <w:t xml:space="preserve">NA</w:t>
            </w:r>
          </w:p>
        </w:tc>
        <w:tc>
          <w:p>
            <w:pPr>
              <w:pStyle w:val="Compact"/>
              <w:jc w:val="left"/>
            </w:pPr>
            <w:r>
              <w:t xml:space="preserve">NA</w:t>
            </w:r>
          </w:p>
        </w:tc>
        <w:tc>
          <w:p>
            <w:pPr>
              <w:pStyle w:val="Compact"/>
              <w:jc w:val="left"/>
            </w:pPr>
            <w:r>
              <w:t xml:space="preserve">Mean :0.1618</w:t>
            </w:r>
          </w:p>
        </w:tc>
        <w:tc>
          <w:p>
            <w:pPr>
              <w:pStyle w:val="Compact"/>
              <w:jc w:val="left"/>
            </w:pPr>
            <w:r>
              <w:t xml:space="preserve">Mean :0.2372</w:t>
            </w:r>
          </w:p>
        </w:tc>
        <w:tc>
          <w:p>
            <w:pPr>
              <w:pStyle w:val="Compact"/>
              <w:jc w:val="left"/>
            </w:pPr>
            <w:r>
              <w:t xml:space="preserve">Mean :0.1031</w:t>
            </w:r>
          </w:p>
        </w:tc>
        <w:tc>
          <w:p>
            <w:pPr>
              <w:pStyle w:val="Compact"/>
              <w:jc w:val="left"/>
            </w:pPr>
            <w:r>
              <w:t xml:space="preserve">Mean :0.7082</w:t>
            </w:r>
          </w:p>
        </w:tc>
        <w:tc>
          <w:p>
            <w:pPr>
              <w:pStyle w:val="Compact"/>
              <w:jc w:val="left"/>
            </w:pPr>
            <w:r>
              <w:t xml:space="preserve">NA</w:t>
            </w:r>
          </w:p>
        </w:tc>
        <w:tc>
          <w:p>
            <w:pPr>
              <w:pStyle w:val="Compact"/>
              <w:jc w:val="left"/>
            </w:pPr>
            <w:r>
              <w:t xml:space="preserve">Mean :0.1576</w:t>
            </w:r>
          </w:p>
        </w:tc>
      </w:tr>
      <w:tr>
        <w:tc>
          <w:p/>
        </w:tc>
        <w:tc>
          <w:p>
            <w:pPr>
              <w:pStyle w:val="Compact"/>
              <w:jc w:val="left"/>
            </w:pPr>
            <w:r>
              <w:t xml:space="preserve">NA</w:t>
            </w:r>
          </w:p>
        </w:tc>
        <w:tc>
          <w:p>
            <w:pPr>
              <w:pStyle w:val="Compact"/>
              <w:jc w:val="left"/>
            </w:pPr>
            <w:r>
              <w:t xml:space="preserve">NA</w:t>
            </w:r>
          </w:p>
        </w:tc>
        <w:tc>
          <w:p>
            <w:pPr>
              <w:pStyle w:val="Compact"/>
              <w:jc w:val="left"/>
            </w:pPr>
            <w:r>
              <w:t xml:space="preserve">3rd Qu.:0.1728</w:t>
            </w:r>
          </w:p>
        </w:tc>
        <w:tc>
          <w:p>
            <w:pPr>
              <w:pStyle w:val="Compact"/>
              <w:jc w:val="left"/>
            </w:pPr>
            <w:r>
              <w:t xml:space="preserve">3rd Qu.:0.2541</w:t>
            </w:r>
          </w:p>
        </w:tc>
        <w:tc>
          <w:p>
            <w:pPr>
              <w:pStyle w:val="Compact"/>
              <w:jc w:val="left"/>
            </w:pPr>
            <w:r>
              <w:t xml:space="preserve">3rd Qu.:0.1117</w:t>
            </w:r>
          </w:p>
        </w:tc>
        <w:tc>
          <w:p>
            <w:pPr>
              <w:pStyle w:val="Compact"/>
              <w:jc w:val="left"/>
            </w:pPr>
            <w:r>
              <w:t xml:space="preserve">3rd Qu.:0.9100</w:t>
            </w:r>
          </w:p>
        </w:tc>
        <w:tc>
          <w:p>
            <w:pPr>
              <w:pStyle w:val="Compact"/>
              <w:jc w:val="left"/>
            </w:pPr>
            <w:r>
              <w:t xml:space="preserve">NA</w:t>
            </w:r>
          </w:p>
        </w:tc>
        <w:tc>
          <w:p>
            <w:pPr>
              <w:pStyle w:val="Compact"/>
              <w:jc w:val="left"/>
            </w:pPr>
            <w:r>
              <w:t xml:space="preserve">3rd Qu.:0.2200</w:t>
            </w:r>
          </w:p>
        </w:tc>
      </w:tr>
      <w:tr>
        <w:tc>
          <w:p/>
        </w:tc>
        <w:tc>
          <w:p>
            <w:pPr>
              <w:pStyle w:val="Compact"/>
              <w:jc w:val="left"/>
            </w:pPr>
            <w:r>
              <w:t xml:space="preserve">NA</w:t>
            </w:r>
          </w:p>
        </w:tc>
        <w:tc>
          <w:p>
            <w:pPr>
              <w:pStyle w:val="Compact"/>
              <w:jc w:val="left"/>
            </w:pPr>
            <w:r>
              <w:t xml:space="preserve">NA</w:t>
            </w:r>
          </w:p>
        </w:tc>
        <w:tc>
          <w:p>
            <w:pPr>
              <w:pStyle w:val="Compact"/>
              <w:jc w:val="left"/>
            </w:pPr>
            <w:r>
              <w:t xml:space="preserve">Max. :0.1880</w:t>
            </w:r>
          </w:p>
        </w:tc>
        <w:tc>
          <w:p>
            <w:pPr>
              <w:pStyle w:val="Compact"/>
              <w:jc w:val="left"/>
            </w:pPr>
            <w:r>
              <w:t xml:space="preserve">Max. :0.2723</w:t>
            </w:r>
          </w:p>
        </w:tc>
        <w:tc>
          <w:p>
            <w:pPr>
              <w:pStyle w:val="Compact"/>
              <w:jc w:val="left"/>
            </w:pPr>
            <w:r>
              <w:t xml:space="preserve">Max. :0.1224</w:t>
            </w:r>
          </w:p>
        </w:tc>
        <w:tc>
          <w:p>
            <w:pPr>
              <w:pStyle w:val="Compact"/>
              <w:jc w:val="left"/>
            </w:pPr>
            <w:r>
              <w:t xml:space="preserve">Max. :0.9900</w:t>
            </w:r>
          </w:p>
        </w:tc>
        <w:tc>
          <w:p>
            <w:pPr>
              <w:pStyle w:val="Compact"/>
              <w:jc w:val="left"/>
            </w:pPr>
            <w:r>
              <w:t xml:space="preserve">NA</w:t>
            </w:r>
          </w:p>
        </w:tc>
        <w:tc>
          <w:p>
            <w:pPr>
              <w:pStyle w:val="Compact"/>
              <w:jc w:val="left"/>
            </w:pPr>
            <w:r>
              <w:t xml:space="preserve">Max. :0.9990</w:t>
            </w:r>
          </w:p>
        </w:tc>
      </w:tr>
    </w:tbl>
    <w:p>
      <w:pPr>
        <w:pStyle w:val="BodyText"/>
      </w:pPr>
      <w:r>
        <w:t xml:space="preserve">Table</w:t>
      </w:r>
      <w:r>
        <w:t xml:space="preserve"> </w:t>
      </w:r>
      <w:r>
        <w:t xml:space="preserve">3.2</w:t>
      </w:r>
      <w:r>
        <w:t xml:space="preserve"> </w:t>
      </w:r>
      <w:r>
        <w:t xml:space="preserve">shows a hesitance and CVAC table.</w:t>
      </w:r>
    </w:p>
    <w:p>
      <w:pPr>
        <w:pStyle w:val="TableCaption"/>
      </w:pPr>
      <w:r>
        <w:t xml:space="preserve">Table 3.2: Hesitance and CVAC Table</w:t>
      </w:r>
    </w:p>
    <w:tbl>
      <w:tblPr>
        <w:tblStyle w:val="Table"/>
        <w:tblW w:type="pct" w:w="0.0"/>
        <w:tblLook w:firstRow="1" w:lastRow="0" w:firstColumn="0" w:lastColumn="0" w:noHBand="0" w:noVBand="0" w:val="0020"/>
        <w:tblCaption w:val="Table 3.2: Hesitance and CVAC Table"/>
      </w:tblPr>
      <w:tblGrid/>
      <w:tr>
        <w:tc>
          <w:p>
            <w:pPr>
              <w:pStyle w:val="Compact"/>
              <w:jc w:val="left"/>
            </w:pPr>
            <w:r>
              <w:t xml:space="preserve">CVAC Level Of Concern</w:t>
            </w:r>
          </w:p>
        </w:tc>
        <w:tc>
          <w:p>
            <w:pPr>
              <w:pStyle w:val="Compact"/>
              <w:jc w:val="right"/>
            </w:pPr>
            <w:r>
              <w:t xml:space="preserve">average</w:t>
            </w:r>
          </w:p>
        </w:tc>
        <w:tc>
          <w:p>
            <w:pPr>
              <w:pStyle w:val="Compact"/>
              <w:jc w:val="right"/>
            </w:pPr>
            <w:r>
              <w:t xml:space="preserve">standard_deviation</w:t>
            </w:r>
          </w:p>
        </w:tc>
      </w:tr>
      <w:tr>
        <w:tc>
          <w:p>
            <w:pPr>
              <w:pStyle w:val="Compact"/>
              <w:jc w:val="left"/>
            </w:pPr>
            <w:r>
              <w:t xml:space="preserve">High Concern</w:t>
            </w:r>
          </w:p>
        </w:tc>
        <w:tc>
          <w:p>
            <w:pPr>
              <w:pStyle w:val="Compact"/>
              <w:jc w:val="right"/>
            </w:pPr>
            <w:r>
              <w:t xml:space="preserve">0.2327380</w:t>
            </w:r>
          </w:p>
        </w:tc>
        <w:tc>
          <w:p>
            <w:pPr>
              <w:pStyle w:val="Compact"/>
              <w:jc w:val="right"/>
            </w:pPr>
            <w:r>
              <w:t xml:space="preserve">0.0185617</w:t>
            </w:r>
          </w:p>
        </w:tc>
      </w:tr>
      <w:tr>
        <w:tc>
          <w:p>
            <w:pPr>
              <w:pStyle w:val="Compact"/>
              <w:jc w:val="left"/>
            </w:pPr>
            <w:r>
              <w:t xml:space="preserve">Low Concern</w:t>
            </w:r>
          </w:p>
        </w:tc>
        <w:tc>
          <w:p>
            <w:pPr>
              <w:pStyle w:val="Compact"/>
              <w:jc w:val="right"/>
            </w:pPr>
            <w:r>
              <w:t xml:space="preserve">0.2112500</w:t>
            </w:r>
          </w:p>
        </w:tc>
        <w:tc>
          <w:p>
            <w:pPr>
              <w:pStyle w:val="Compact"/>
              <w:jc w:val="right"/>
            </w:pPr>
            <w:r>
              <w:t xml:space="preserve">0.0226561</w:t>
            </w:r>
          </w:p>
        </w:tc>
      </w:tr>
      <w:tr>
        <w:tc>
          <w:p>
            <w:pPr>
              <w:pStyle w:val="Compact"/>
              <w:jc w:val="left"/>
            </w:pPr>
            <w:r>
              <w:t xml:space="preserve">Moderate Concern</w:t>
            </w:r>
          </w:p>
        </w:tc>
        <w:tc>
          <w:p>
            <w:pPr>
              <w:pStyle w:val="Compact"/>
              <w:jc w:val="right"/>
            </w:pPr>
            <w:r>
              <w:t xml:space="preserve">0.2153593</w:t>
            </w:r>
          </w:p>
        </w:tc>
        <w:tc>
          <w:p>
            <w:pPr>
              <w:pStyle w:val="Compact"/>
              <w:jc w:val="right"/>
            </w:pPr>
            <w:r>
              <w:t xml:space="preserve">0.0266166</w:t>
            </w:r>
          </w:p>
        </w:tc>
      </w:tr>
      <w:tr>
        <w:tc>
          <w:p>
            <w:pPr>
              <w:pStyle w:val="Compact"/>
              <w:jc w:val="left"/>
            </w:pPr>
            <w:r>
              <w:t xml:space="preserve">Very High Concern</w:t>
            </w:r>
          </w:p>
        </w:tc>
        <w:tc>
          <w:p>
            <w:pPr>
              <w:pStyle w:val="Compact"/>
              <w:jc w:val="right"/>
            </w:pPr>
            <w:r>
              <w:t xml:space="preserve">0.2501610</w:t>
            </w:r>
          </w:p>
        </w:tc>
        <w:tc>
          <w:p>
            <w:pPr>
              <w:pStyle w:val="Compact"/>
              <w:jc w:val="right"/>
            </w:pPr>
            <w:r>
              <w:t xml:space="preserve">0.0155000</w:t>
            </w:r>
          </w:p>
        </w:tc>
      </w:tr>
      <w:tr>
        <w:tc>
          <w:p>
            <w:pPr>
              <w:pStyle w:val="Compact"/>
              <w:jc w:val="left"/>
            </w:pPr>
            <w:r>
              <w:t xml:space="preserve">Very Low Concern</w:t>
            </w:r>
          </w:p>
        </w:tc>
        <w:tc>
          <w:p>
            <w:pPr>
              <w:pStyle w:val="Compact"/>
              <w:jc w:val="right"/>
            </w:pPr>
            <w:r>
              <w:t xml:space="preserve">0.1588000</w:t>
            </w:r>
          </w:p>
        </w:tc>
        <w:tc>
          <w:p>
            <w:pPr>
              <w:pStyle w:val="Compact"/>
              <w:jc w:val="right"/>
            </w:pPr>
            <w:r>
              <w:t xml:space="preserve">NA</w:t>
            </w:r>
          </w:p>
        </w:tc>
      </w:tr>
    </w:tbl>
    <w:p>
      <w:pPr>
        <w:pStyle w:val="BodyText"/>
      </w:pPr>
      <w:r>
        <w:t xml:space="preserve">Figure</w:t>
      </w:r>
      <w:r>
        <w:t xml:space="preserve"> </w:t>
      </w:r>
      <w:r>
        <w:t xml:space="preserve">3.1</w:t>
      </w:r>
      <w:r>
        <w:t xml:space="preserve"> </w:t>
      </w:r>
      <w:r>
        <w:t xml:space="preserve">shows a scatterplot for the estimate hesitant of getting the vaccine with Social Vulnerability index.</w:t>
      </w:r>
    </w:p>
    <w:p>
      <w:pPr>
        <w:pStyle w:val="CaptionedFigure"/>
      </w:pPr>
      <w:r>
        <w:drawing>
          <wp:inline>
            <wp:extent cx="5334000" cy="3329541"/>
            <wp:effectExtent b="0" l="0" r="0" t="0"/>
            <wp:docPr descr="Figure 3.1: Analysis figure." title="" id="1" name="Picture"/>
            <a:graphic>
              <a:graphicData uri="http://schemas.openxmlformats.org/drawingml/2006/picture">
                <pic:pic>
                  <pic:nvPicPr>
                    <pic:cNvPr descr="../../results/figure1.png" id="0" name="Picture"/>
                    <pic:cNvPicPr>
                      <a:picLocks noChangeArrowheads="1" noChangeAspect="1"/>
                    </pic:cNvPicPr>
                  </pic:nvPicPr>
                  <pic:blipFill>
                    <a:blip r:embed="rId27"/>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3.1: Analysis figure.</w:t>
      </w:r>
    </w:p>
    <w:p>
      <w:pPr>
        <w:pStyle w:val="BodyText"/>
      </w:pPr>
      <w:r>
        <w:t xml:space="preserve">Figure</w:t>
      </w:r>
      <w:r>
        <w:t xml:space="preserve"> </w:t>
      </w:r>
      <w:r>
        <w:t xml:space="preserve">3.2</w:t>
      </w:r>
      <w:r>
        <w:t xml:space="preserve"> </w:t>
      </w:r>
      <w:r>
        <w:t xml:space="preserve">shows a scatterplot for Vaccinated adults and hesitance for each county in Georgia showing an outlier county.</w:t>
      </w:r>
    </w:p>
    <w:p>
      <w:pPr>
        <w:pStyle w:val="CaptionedFigure"/>
      </w:pPr>
      <w:r>
        <w:drawing>
          <wp:inline>
            <wp:extent cx="5334000" cy="3329541"/>
            <wp:effectExtent b="0" l="0" r="0" t="0"/>
            <wp:docPr descr="Figure 3.2: Analysis figure." title="" id="1" name="Picture"/>
            <a:graphic>
              <a:graphicData uri="http://schemas.openxmlformats.org/drawingml/2006/picture">
                <pic:pic>
                  <pic:nvPicPr>
                    <pic:cNvPr descr="../../results/figure2.png" id="0" name="Picture"/>
                    <pic:cNvPicPr>
                      <a:picLocks noChangeArrowheads="1" noChangeAspect="1"/>
                    </pic:cNvPicPr>
                  </pic:nvPicPr>
                  <pic:blipFill>
                    <a:blip r:embed="rId28"/>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3.2: Analysis figure.</w:t>
      </w:r>
    </w:p>
    <w:p>
      <w:pPr>
        <w:pStyle w:val="BodyText"/>
      </w:pPr>
      <w:r>
        <w:t xml:space="preserve">Figure</w:t>
      </w:r>
      <w:r>
        <w:t xml:space="preserve"> </w:t>
      </w:r>
      <w:r>
        <w:t xml:space="preserve">3.3</w:t>
      </w:r>
      <w:r>
        <w:t xml:space="preserve"> </w:t>
      </w:r>
      <w:r>
        <w:t xml:space="preserve">shows a scatterplot for Vaccinated adults and hesitance for each county in Georgia without the outlier.</w:t>
      </w:r>
    </w:p>
    <w:p>
      <w:pPr>
        <w:pStyle w:val="CaptionedFigure"/>
      </w:pPr>
      <w:r>
        <w:drawing>
          <wp:inline>
            <wp:extent cx="5334000" cy="3329541"/>
            <wp:effectExtent b="0" l="0" r="0" t="0"/>
            <wp:docPr descr="Figure 3.3: Analysis figure." title="" id="1" name="Picture"/>
            <a:graphic>
              <a:graphicData uri="http://schemas.openxmlformats.org/drawingml/2006/picture">
                <pic:pic>
                  <pic:nvPicPr>
                    <pic:cNvPr descr="../../results/figure3.png" id="0" name="Picture"/>
                    <pic:cNvPicPr>
                      <a:picLocks noChangeArrowheads="1" noChangeAspect="1"/>
                    </pic:cNvPicPr>
                  </pic:nvPicPr>
                  <pic:blipFill>
                    <a:blip r:embed="rId29"/>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3.3: Analysis figure.</w:t>
      </w:r>
    </w:p>
    <w:p>
      <w:pPr>
        <w:pStyle w:val="BodyText"/>
      </w:pPr>
      <w:r>
        <w:t xml:space="preserve">Figure</w:t>
      </w:r>
      <w:r>
        <w:t xml:space="preserve"> </w:t>
      </w:r>
      <w:r>
        <w:t xml:space="preserve">3.4</w:t>
      </w:r>
      <w:r>
        <w:t xml:space="preserve"> </w:t>
      </w:r>
      <w:r>
        <w:t xml:space="preserve">shows a Boxplot of hesitance for each CVAC level.</w:t>
      </w:r>
    </w:p>
    <w:p>
      <w:pPr>
        <w:pStyle w:val="CaptionedFigure"/>
      </w:pPr>
      <w:r>
        <w:drawing>
          <wp:inline>
            <wp:extent cx="5334000" cy="3329541"/>
            <wp:effectExtent b="0" l="0" r="0" t="0"/>
            <wp:docPr descr="Figure 3.4: Analysis figure." title="" id="1" name="Picture"/>
            <a:graphic>
              <a:graphicData uri="http://schemas.openxmlformats.org/drawingml/2006/picture">
                <pic:pic>
                  <pic:nvPicPr>
                    <pic:cNvPr descr="../../results/figure4.png" id="0" name="Picture"/>
                    <pic:cNvPicPr>
                      <a:picLocks noChangeArrowheads="1" noChangeAspect="1"/>
                    </pic:cNvPicPr>
                  </pic:nvPicPr>
                  <pic:blipFill>
                    <a:blip r:embed="rId30"/>
                    <a:stretch>
                      <a:fillRect/>
                    </a:stretch>
                  </pic:blipFill>
                  <pic:spPr bwMode="auto">
                    <a:xfrm>
                      <a:off x="0" y="0"/>
                      <a:ext cx="5334000" cy="3329541"/>
                    </a:xfrm>
                    <a:prstGeom prst="rect">
                      <a:avLst/>
                    </a:prstGeom>
                    <a:noFill/>
                    <a:ln w="9525">
                      <a:noFill/>
                      <a:headEnd/>
                      <a:tailEnd/>
                    </a:ln>
                  </pic:spPr>
                </pic:pic>
              </a:graphicData>
            </a:graphic>
          </wp:inline>
        </w:drawing>
      </w:r>
    </w:p>
    <w:p>
      <w:pPr>
        <w:pStyle w:val="ImageCaption"/>
      </w:pPr>
      <w:r>
        <w:t xml:space="preserve">Figure 3.4: Analysis figure.</w:t>
      </w:r>
    </w:p>
    <w:bookmarkEnd w:id="31"/>
    <w:bookmarkStart w:id="32"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bookmarkEnd w:id="32"/>
    <w:bookmarkEnd w:id="33"/>
    <w:bookmarkStart w:id="38" w:name="discussion"/>
    <w:p>
      <w:pPr>
        <w:pStyle w:val="Heading1"/>
      </w:pPr>
      <w:r>
        <w:rPr>
          <w:rStyle w:val="SectionNumber"/>
        </w:rPr>
        <w:t xml:space="preserve">4</w:t>
      </w:r>
      <w:r>
        <w:tab/>
      </w:r>
      <w:r>
        <w:t xml:space="preserve">Discussion</w:t>
      </w:r>
    </w:p>
    <w:bookmarkStart w:id="34"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7"/>
    <w:bookmarkEnd w:id="38"/>
    <w:bookmarkStart w:id="42" w:name="references"/>
    <w:p>
      <w:pPr>
        <w:pStyle w:val="Heading1"/>
      </w:pPr>
      <w:r>
        <w:t xml:space="preserve">References</w:t>
      </w:r>
    </w:p>
    <w:bookmarkStart w:id="41" w:name="refs"/>
    <w:bookmarkStart w:id="40"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9">
        <w:r>
          <w:rPr>
            <w:rStyle w:val="Hyperlink"/>
          </w:rPr>
          <w:t xml:space="preserve">https://doi.org/10.1126/science.aaa6146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2021-09-16T23:53:29Z</dcterms:created>
  <dcterms:modified xsi:type="dcterms:W3CDTF">2021-09-16T23:53:29Z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2021-09-16</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