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81B9" w14:textId="77777777" w:rsidR="00E31AD4" w:rsidRPr="0023106C" w:rsidRDefault="00080CB0" w:rsidP="00E31AD4">
      <w:pPr>
        <w:pStyle w:val="Heading1"/>
        <w:spacing w:line="360" w:lineRule="auto"/>
        <w:jc w:val="center"/>
        <w:rPr>
          <w:rFonts w:ascii="Times New Roman" w:eastAsia="Times New Roman" w:hAnsi="Times New Roman" w:cs="Times New Roman"/>
          <w:color w:val="000000"/>
          <w:kern w:val="0"/>
          <w:sz w:val="36"/>
          <w:szCs w:val="36"/>
          <w14:ligatures w14:val="none"/>
        </w:rPr>
      </w:pPr>
      <w:r w:rsidRPr="0023106C">
        <w:rPr>
          <w:rFonts w:ascii="Times New Roman" w:eastAsia="Times New Roman" w:hAnsi="Times New Roman" w:cs="Times New Roman"/>
          <w:color w:val="000000"/>
          <w:kern w:val="0"/>
          <w:sz w:val="36"/>
          <w:szCs w:val="36"/>
          <w14:ligatures w14:val="none"/>
        </w:rPr>
        <w:t>Automation of Concrete Mix Design</w:t>
      </w:r>
    </w:p>
    <w:p w14:paraId="68CAE08C" w14:textId="77777777" w:rsidR="00E31AD4" w:rsidRPr="0023106C" w:rsidRDefault="00E31AD4" w:rsidP="00E31AD4">
      <w:pPr>
        <w:pStyle w:val="Heading1"/>
        <w:spacing w:before="0" w:line="360" w:lineRule="auto"/>
        <w:jc w:val="center"/>
        <w:rPr>
          <w:rFonts w:ascii="Times New Roman" w:eastAsia="Times New Roman" w:hAnsi="Times New Roman" w:cs="Times New Roman"/>
          <w:color w:val="000000"/>
          <w:kern w:val="0"/>
          <w:sz w:val="24"/>
          <w:szCs w:val="24"/>
          <w14:ligatures w14:val="none"/>
        </w:rPr>
      </w:pPr>
      <w:r w:rsidRPr="0023106C">
        <w:rPr>
          <w:rFonts w:ascii="Times New Roman" w:eastAsia="Times New Roman" w:hAnsi="Times New Roman" w:cs="Times New Roman"/>
          <w:color w:val="000000"/>
          <w:kern w:val="0"/>
          <w:sz w:val="24"/>
          <w:szCs w:val="24"/>
          <w14:ligatures w14:val="none"/>
        </w:rPr>
        <w:t>Nebraska Department of Transportation</w:t>
      </w:r>
    </w:p>
    <w:p w14:paraId="51D88EB7" w14:textId="30AC9B34" w:rsidR="00080CB0" w:rsidRPr="0023106C" w:rsidRDefault="00080CB0" w:rsidP="00E31AD4">
      <w:pPr>
        <w:pStyle w:val="Heading1"/>
        <w:spacing w:before="0" w:line="360" w:lineRule="auto"/>
        <w:jc w:val="center"/>
        <w:rPr>
          <w:rFonts w:ascii="Times New Roman" w:eastAsia="Times New Roman" w:hAnsi="Times New Roman" w:cs="Times New Roman"/>
          <w:color w:val="000000"/>
          <w:kern w:val="0"/>
          <w:sz w:val="24"/>
          <w:szCs w:val="24"/>
          <w14:ligatures w14:val="none"/>
        </w:rPr>
      </w:pPr>
      <w:r w:rsidRPr="0023106C">
        <w:rPr>
          <w:rFonts w:ascii="Times New Roman" w:eastAsia="Times New Roman" w:hAnsi="Times New Roman" w:cs="Times New Roman"/>
          <w:color w:val="000000"/>
          <w:kern w:val="0"/>
          <w:sz w:val="24"/>
          <w:szCs w:val="24"/>
          <w14:ligatures w14:val="none"/>
        </w:rPr>
        <w:t>CIVE 202-150 – Civil Engineering Analysis II</w:t>
      </w:r>
    </w:p>
    <w:p w14:paraId="779E2AA7" w14:textId="77777777" w:rsidR="002F4033" w:rsidRPr="0023106C" w:rsidRDefault="002F4033" w:rsidP="00E31AD4">
      <w:pPr>
        <w:spacing w:after="80" w:line="360" w:lineRule="auto"/>
        <w:jc w:val="center"/>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Carter Janssen, Luke Moore, Adam Meismer</w:t>
      </w:r>
    </w:p>
    <w:p w14:paraId="711EB6C6" w14:textId="77777777" w:rsidR="002F4033" w:rsidRPr="0023106C" w:rsidRDefault="002F4033" w:rsidP="00E31AD4">
      <w:pPr>
        <w:spacing w:after="80" w:line="360" w:lineRule="auto"/>
        <w:jc w:val="center"/>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 xml:space="preserve">February 24, 2026          </w:t>
      </w:r>
    </w:p>
    <w:p w14:paraId="6F717774" w14:textId="77777777" w:rsidR="002F4033" w:rsidRPr="0023106C" w:rsidRDefault="002F4033" w:rsidP="002F4033">
      <w:pPr>
        <w:jc w:val="center"/>
        <w:rPr>
          <w:rFonts w:ascii="Times New Roman" w:eastAsia="Times New Roman" w:hAnsi="Times New Roman" w:cs="Times New Roman"/>
          <w:color w:val="000000"/>
          <w:kern w:val="0"/>
          <w14:ligatures w14:val="none"/>
        </w:rPr>
      </w:pPr>
    </w:p>
    <w:p w14:paraId="30116B56" w14:textId="116DCEE4" w:rsidR="002F4033" w:rsidRPr="0023106C" w:rsidRDefault="002F4033" w:rsidP="002F4033">
      <w:pPr>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 xml:space="preserve">Introduction </w:t>
      </w:r>
    </w:p>
    <w:p w14:paraId="029317DF" w14:textId="4A2B99AE" w:rsidR="00E31AD4" w:rsidRPr="0023106C" w:rsidRDefault="00E31AD4" w:rsidP="002F4033">
      <w:pPr>
        <w:rPr>
          <w:rFonts w:ascii="Times New Roman" w:hAnsi="Times New Roman" w:cs="Times New Roman"/>
          <w:color w:val="000000"/>
        </w:rPr>
      </w:pPr>
      <w:r w:rsidRPr="0023106C">
        <w:rPr>
          <w:rFonts w:ascii="Times New Roman" w:hAnsi="Times New Roman" w:cs="Times New Roman"/>
          <w:color w:val="000000"/>
        </w:rPr>
        <w:t>The Nebraska Department of Transportation currently utilizes an Excel</w:t>
      </w:r>
      <w:r w:rsidRPr="0023106C">
        <w:rPr>
          <w:rFonts w:ascii="Times New Roman" w:hAnsi="Times New Roman" w:cs="Times New Roman"/>
          <w:color w:val="000000"/>
        </w:rPr>
        <w:t xml:space="preserve"> </w:t>
      </w:r>
      <w:r w:rsidRPr="0023106C">
        <w:rPr>
          <w:rFonts w:ascii="Times New Roman" w:hAnsi="Times New Roman" w:cs="Times New Roman"/>
          <w:color w:val="000000"/>
        </w:rPr>
        <w:t xml:space="preserve">based workflow to perform concrete mix design calculations. While the spreadsheet provides accurate results, it is manually operated and dependent on user interpretation of embedded formulas. NDOT has requested that the logic contained within the Mix Design </w:t>
      </w:r>
      <w:r w:rsidRPr="0023106C">
        <w:rPr>
          <w:rFonts w:ascii="Times New Roman" w:hAnsi="Times New Roman" w:cs="Times New Roman"/>
          <w:color w:val="000000"/>
        </w:rPr>
        <w:t xml:space="preserve">Excel </w:t>
      </w:r>
      <w:r w:rsidRPr="0023106C">
        <w:rPr>
          <w:rFonts w:ascii="Times New Roman" w:hAnsi="Times New Roman" w:cs="Times New Roman"/>
          <w:color w:val="000000"/>
        </w:rPr>
        <w:t xml:space="preserve">worksheet be </w:t>
      </w:r>
      <w:r w:rsidRPr="0023106C">
        <w:rPr>
          <w:rFonts w:ascii="Times New Roman" w:hAnsi="Times New Roman" w:cs="Times New Roman"/>
          <w:color w:val="000000"/>
        </w:rPr>
        <w:t>translated</w:t>
      </w:r>
      <w:r w:rsidRPr="0023106C">
        <w:rPr>
          <w:rFonts w:ascii="Times New Roman" w:hAnsi="Times New Roman" w:cs="Times New Roman"/>
          <w:color w:val="000000"/>
        </w:rPr>
        <w:t xml:space="preserve"> into a Python</w:t>
      </w:r>
      <w:r w:rsidRPr="0023106C">
        <w:rPr>
          <w:rFonts w:ascii="Times New Roman" w:hAnsi="Times New Roman" w:cs="Times New Roman"/>
          <w:color w:val="000000"/>
        </w:rPr>
        <w:t xml:space="preserve"> </w:t>
      </w:r>
      <w:r w:rsidRPr="0023106C">
        <w:rPr>
          <w:rFonts w:ascii="Times New Roman" w:hAnsi="Times New Roman" w:cs="Times New Roman"/>
          <w:color w:val="000000"/>
        </w:rPr>
        <w:t>based system that replicates all calculations while improving transparency, repeatability, and reliability</w:t>
      </w:r>
      <w:r w:rsidRPr="0023106C">
        <w:rPr>
          <w:rFonts w:ascii="Times New Roman" w:hAnsi="Times New Roman" w:cs="Times New Roman"/>
          <w:color w:val="000000"/>
        </w:rPr>
        <w:t>. Therefore, our group</w:t>
      </w:r>
      <w:r w:rsidRPr="0023106C">
        <w:rPr>
          <w:rFonts w:ascii="Times New Roman" w:hAnsi="Times New Roman" w:cs="Times New Roman"/>
          <w:color w:val="000000"/>
        </w:rPr>
        <w:t xml:space="preserve"> </w:t>
      </w:r>
      <w:r w:rsidRPr="0023106C">
        <w:rPr>
          <w:rFonts w:ascii="Times New Roman" w:hAnsi="Times New Roman" w:cs="Times New Roman"/>
          <w:color w:val="000000"/>
        </w:rPr>
        <w:t xml:space="preserve">translated </w:t>
      </w:r>
      <w:r w:rsidRPr="0023106C">
        <w:rPr>
          <w:rFonts w:ascii="Times New Roman" w:hAnsi="Times New Roman" w:cs="Times New Roman"/>
          <w:color w:val="000000"/>
        </w:rPr>
        <w:t>the Excel formulas into Python functions that prompt the user for inputs sequentially and generate a weight chart for one cubic yard of concrete. In addition, four realistic concrete mix scenarios were researched and evaluated using the automated workflow to verify proper implementation and compare performance characteristics.</w:t>
      </w:r>
    </w:p>
    <w:p w14:paraId="371F4625" w14:textId="62BBE1DE" w:rsidR="000D14E6" w:rsidRPr="0023106C" w:rsidRDefault="000D14E6" w:rsidP="002F4033">
      <w:pPr>
        <w:rPr>
          <w:rFonts w:ascii="Times New Roman" w:hAnsi="Times New Roman" w:cs="Times New Roman"/>
          <w:b/>
          <w:bCs/>
          <w:color w:val="000000"/>
        </w:rPr>
      </w:pPr>
      <w:r w:rsidRPr="0023106C">
        <w:rPr>
          <w:rFonts w:ascii="Times New Roman" w:hAnsi="Times New Roman" w:cs="Times New Roman"/>
          <w:b/>
          <w:bCs/>
          <w:color w:val="000000"/>
        </w:rPr>
        <w:t>Methods</w:t>
      </w:r>
    </w:p>
    <w:p w14:paraId="3B4EF9EE" w14:textId="36C5EE05" w:rsidR="006149F1" w:rsidRPr="0023106C" w:rsidRDefault="006149F1" w:rsidP="002F4033">
      <w:pPr>
        <w:rPr>
          <w:rFonts w:ascii="Times New Roman" w:hAnsi="Times New Roman" w:cs="Times New Roman"/>
          <w:color w:val="000000"/>
        </w:rPr>
      </w:pPr>
      <w:r w:rsidRPr="0023106C">
        <w:rPr>
          <w:rFonts w:ascii="Times New Roman" w:hAnsi="Times New Roman" w:cs="Times New Roman"/>
          <w:color w:val="000000"/>
        </w:rPr>
        <w:t>Our team started t</w:t>
      </w:r>
      <w:r w:rsidR="000D14E6" w:rsidRPr="0023106C">
        <w:rPr>
          <w:rFonts w:ascii="Times New Roman" w:hAnsi="Times New Roman" w:cs="Times New Roman"/>
          <w:color w:val="000000"/>
        </w:rPr>
        <w:t>he automation process with a detailed review of the Mix Design tab of the NDOT Excel workbook to identify all input parameters, intermediate calculations, and final outputs</w:t>
      </w:r>
      <w:r w:rsidRPr="0023106C">
        <w:rPr>
          <w:rFonts w:ascii="Times New Roman" w:hAnsi="Times New Roman" w:cs="Times New Roman"/>
          <w:color w:val="000000"/>
        </w:rPr>
        <w:t xml:space="preserve">. </w:t>
      </w:r>
      <w:r w:rsidRPr="0023106C">
        <w:rPr>
          <w:rFonts w:ascii="Times New Roman" w:hAnsi="Times New Roman" w:cs="Times New Roman"/>
          <w:color w:val="000000"/>
        </w:rPr>
        <w:t>Each formula was documented and categorized into logical calculation blocks, including water content calculation, cementitious material volumes, air and water volumes, total aggregate volume, and aggregate weight computations. This mapping ensured that every spreadsheet dependency was captured prior to coding.</w:t>
      </w:r>
      <w:r w:rsidRPr="0023106C">
        <w:rPr>
          <w:rFonts w:ascii="Times New Roman" w:hAnsi="Times New Roman" w:cs="Times New Roman"/>
          <w:color w:val="000000"/>
        </w:rPr>
        <w:t xml:space="preserve"> The translation from Excel to Python was done using a modular approach to program. Instead of using one long script, each major calculation block was made into a dedicated Python function. </w:t>
      </w:r>
      <w:r w:rsidR="00255D78" w:rsidRPr="0023106C">
        <w:rPr>
          <w:rFonts w:ascii="Times New Roman" w:hAnsi="Times New Roman" w:cs="Times New Roman"/>
          <w:color w:val="000000"/>
        </w:rPr>
        <w:t>W</w:t>
      </w:r>
      <w:r w:rsidRPr="0023106C">
        <w:rPr>
          <w:rFonts w:ascii="Times New Roman" w:hAnsi="Times New Roman" w:cs="Times New Roman"/>
          <w:color w:val="000000"/>
        </w:rPr>
        <w:t>ater weight was calculated as a function of total cementitious materials and the specified water–cement ratio</w:t>
      </w:r>
      <w:r w:rsidR="00255D78" w:rsidRPr="0023106C">
        <w:rPr>
          <w:rFonts w:ascii="Times New Roman" w:hAnsi="Times New Roman" w:cs="Times New Roman"/>
          <w:color w:val="000000"/>
        </w:rPr>
        <w:t xml:space="preserve">. </w:t>
      </w:r>
      <w:r w:rsidRPr="0023106C">
        <w:rPr>
          <w:rFonts w:ascii="Times New Roman" w:hAnsi="Times New Roman" w:cs="Times New Roman"/>
          <w:color w:val="000000"/>
        </w:rPr>
        <w:t xml:space="preserve">Cementitious volumes were computed by dividing material weights by the product of specific gravity and unit weight of water (62.4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/ft³)</w:t>
      </w:r>
      <w:r w:rsidRPr="0023106C">
        <w:rPr>
          <w:rFonts w:ascii="Times New Roman" w:hAnsi="Times New Roman" w:cs="Times New Roman"/>
          <w:color w:val="000000"/>
        </w:rPr>
        <w:t xml:space="preserve">. </w:t>
      </w:r>
      <w:r w:rsidR="00255D78" w:rsidRPr="0023106C">
        <w:rPr>
          <w:rFonts w:ascii="Times New Roman" w:hAnsi="Times New Roman" w:cs="Times New Roman"/>
          <w:color w:val="000000"/>
        </w:rPr>
        <w:t xml:space="preserve"> The air volume was calculated by multiplying </w:t>
      </w:r>
      <w:r w:rsidR="00255D78" w:rsidRPr="0023106C">
        <w:rPr>
          <w:rFonts w:ascii="Times New Roman" w:hAnsi="Times New Roman" w:cs="Times New Roman"/>
          <w:color w:val="000000"/>
        </w:rPr>
        <w:t xml:space="preserve">27 ft³ </w:t>
      </w:r>
      <w:r w:rsidR="00255D78" w:rsidRPr="0023106C">
        <w:rPr>
          <w:rFonts w:ascii="Times New Roman" w:hAnsi="Times New Roman" w:cs="Times New Roman"/>
          <w:color w:val="000000"/>
        </w:rPr>
        <w:t xml:space="preserve">to the Air% divided by 100. The Water volume was found by dividing the water weight by 100. </w:t>
      </w:r>
      <w:r w:rsidRPr="0023106C">
        <w:rPr>
          <w:rFonts w:ascii="Times New Roman" w:hAnsi="Times New Roman" w:cs="Times New Roman"/>
          <w:color w:val="000000"/>
        </w:rPr>
        <w:t xml:space="preserve">The total aggregate volume was determined by subtracting </w:t>
      </w:r>
      <w:r w:rsidR="00255D78" w:rsidRPr="0023106C">
        <w:rPr>
          <w:rFonts w:ascii="Times New Roman" w:hAnsi="Times New Roman" w:cs="Times New Roman"/>
          <w:color w:val="000000"/>
        </w:rPr>
        <w:t xml:space="preserve">sum of cementitious </w:t>
      </w:r>
      <w:r w:rsidRPr="0023106C">
        <w:rPr>
          <w:rFonts w:ascii="Times New Roman" w:hAnsi="Times New Roman" w:cs="Times New Roman"/>
          <w:color w:val="000000"/>
        </w:rPr>
        <w:t>volume</w:t>
      </w:r>
      <w:r w:rsidR="00255D78" w:rsidRPr="0023106C">
        <w:rPr>
          <w:rFonts w:ascii="Times New Roman" w:hAnsi="Times New Roman" w:cs="Times New Roman"/>
          <w:color w:val="000000"/>
        </w:rPr>
        <w:t>s</w:t>
      </w:r>
      <w:r w:rsidRPr="0023106C">
        <w:rPr>
          <w:rFonts w:ascii="Times New Roman" w:hAnsi="Times New Roman" w:cs="Times New Roman"/>
          <w:color w:val="000000"/>
        </w:rPr>
        <w:t>, air volume, and water volume from 27 ft³ per cubic yard. Aggregate weights were then calculated using aggregate volume, percentage proportions, and respective specific gravities.</w:t>
      </w:r>
      <w:r w:rsidRPr="0023106C">
        <w:rPr>
          <w:rFonts w:ascii="Times New Roman" w:hAnsi="Times New Roman" w:cs="Times New Roman"/>
          <w:color w:val="000000"/>
        </w:rPr>
        <w:t xml:space="preserve"> </w:t>
      </w:r>
      <w:r w:rsidR="00255D78" w:rsidRPr="0023106C">
        <w:rPr>
          <w:rFonts w:ascii="Times New Roman" w:hAnsi="Times New Roman" w:cs="Times New Roman"/>
          <w:color w:val="000000"/>
        </w:rPr>
        <w:t>All</w:t>
      </w:r>
      <w:r w:rsidRPr="0023106C">
        <w:rPr>
          <w:rFonts w:ascii="Times New Roman" w:hAnsi="Times New Roman" w:cs="Times New Roman"/>
          <w:color w:val="000000"/>
        </w:rPr>
        <w:t xml:space="preserve"> these calculations match </w:t>
      </w:r>
      <w:r w:rsidRPr="0023106C">
        <w:rPr>
          <w:rFonts w:ascii="Times New Roman" w:hAnsi="Times New Roman" w:cs="Times New Roman"/>
          <w:color w:val="000000"/>
        </w:rPr>
        <w:lastRenderedPageBreak/>
        <w:t xml:space="preserve">the excel </w:t>
      </w:r>
      <w:r w:rsidR="00EA020F" w:rsidRPr="0023106C">
        <w:rPr>
          <w:rFonts w:ascii="Times New Roman" w:hAnsi="Times New Roman" w:cs="Times New Roman"/>
          <w:color w:val="000000"/>
        </w:rPr>
        <w:t>calculations exactly</w:t>
      </w:r>
      <w:r w:rsidRPr="0023106C">
        <w:rPr>
          <w:rFonts w:ascii="Times New Roman" w:hAnsi="Times New Roman" w:cs="Times New Roman"/>
          <w:color w:val="000000"/>
        </w:rPr>
        <w:t xml:space="preserve">. </w:t>
      </w:r>
      <w:r w:rsidR="00085849" w:rsidRPr="0023106C">
        <w:rPr>
          <w:rFonts w:ascii="Times New Roman" w:hAnsi="Times New Roman" w:cs="Times New Roman"/>
          <w:color w:val="000000"/>
        </w:rPr>
        <w:t xml:space="preserve"> </w:t>
      </w:r>
      <w:r w:rsidR="00085849" w:rsidRPr="0023106C">
        <w:rPr>
          <w:rFonts w:ascii="Times New Roman" w:hAnsi="Times New Roman" w:cs="Times New Roman"/>
          <w:color w:val="000000"/>
        </w:rPr>
        <w:t xml:space="preserve">Sequential user input prompts were implemented using structured </w:t>
      </w:r>
      <w:proofErr w:type="gramStart"/>
      <w:r w:rsidR="00085849" w:rsidRPr="0023106C">
        <w:rPr>
          <w:rFonts w:ascii="Times New Roman" w:hAnsi="Times New Roman" w:cs="Times New Roman"/>
          <w:color w:val="000000"/>
        </w:rPr>
        <w:t>input(</w:t>
      </w:r>
      <w:proofErr w:type="gramEnd"/>
      <w:r w:rsidR="00085849" w:rsidRPr="0023106C">
        <w:rPr>
          <w:rFonts w:ascii="Times New Roman" w:hAnsi="Times New Roman" w:cs="Times New Roman"/>
          <w:color w:val="000000"/>
        </w:rPr>
        <w:t>) statements to mirror the layout of the Excel workshee</w:t>
      </w:r>
      <w:r w:rsidR="00085849" w:rsidRPr="0023106C">
        <w:rPr>
          <w:rFonts w:ascii="Times New Roman" w:hAnsi="Times New Roman" w:cs="Times New Roman"/>
          <w:color w:val="000000"/>
        </w:rPr>
        <w:t xml:space="preserve">t (Figure 1). </w:t>
      </w:r>
    </w:p>
    <w:tbl>
      <w:tblPr>
        <w:tblStyle w:val="TableGrid"/>
        <w:tblW w:w="0" w:type="auto"/>
        <w:tblLook w:val="04A0" w:firstRow="1" w:lastRow="0" w:firstColumn="1" w:lastColumn="0" w:noHBand="0" w:noVBand="1"/>
      </w:tblPr>
      <w:tblGrid>
        <w:gridCol w:w="5215"/>
        <w:gridCol w:w="4135"/>
      </w:tblGrid>
      <w:tr w:rsidR="006149F1" w:rsidRPr="0023106C" w14:paraId="151F744F" w14:textId="77777777" w:rsidTr="00085849">
        <w:tc>
          <w:tcPr>
            <w:tcW w:w="5215" w:type="dxa"/>
          </w:tcPr>
          <w:p w14:paraId="41B28211" w14:textId="1AC00F9F" w:rsidR="006149F1" w:rsidRPr="0023106C" w:rsidRDefault="006149F1" w:rsidP="006149F1">
            <w:pPr>
              <w:pStyle w:val="NormalWeb"/>
              <w:rPr>
                <w:b/>
                <w:bCs/>
              </w:rPr>
            </w:pPr>
            <w:r w:rsidRPr="0023106C">
              <w:rPr>
                <w:b/>
                <w:bCs/>
              </w:rPr>
              <w:t>Input Parameters</w:t>
            </w:r>
          </w:p>
        </w:tc>
        <w:tc>
          <w:tcPr>
            <w:tcW w:w="4135" w:type="dxa"/>
          </w:tcPr>
          <w:p w14:paraId="78349AB1" w14:textId="10EF39FC" w:rsidR="006149F1" w:rsidRPr="0023106C" w:rsidRDefault="006149F1" w:rsidP="002F4033">
            <w:pPr>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Output Parameters</w:t>
            </w:r>
          </w:p>
        </w:tc>
      </w:tr>
      <w:tr w:rsidR="006149F1" w:rsidRPr="0023106C" w14:paraId="5822EA96" w14:textId="77777777" w:rsidTr="00085849">
        <w:tc>
          <w:tcPr>
            <w:tcW w:w="5215" w:type="dxa"/>
          </w:tcPr>
          <w:p w14:paraId="5C222ACD" w14:textId="35A3A0C2" w:rsidR="006149F1" w:rsidRPr="0023106C" w:rsidRDefault="006149F1" w:rsidP="006149F1">
            <w:pPr>
              <w:pStyle w:val="NormalWeb"/>
            </w:pPr>
            <w:r w:rsidRPr="0023106C">
              <w:t>Cement weight (</w:t>
            </w:r>
            <w:proofErr w:type="spellStart"/>
            <w:r w:rsidRPr="0023106C">
              <w:t>lb</w:t>
            </w:r>
            <w:proofErr w:type="spellEnd"/>
            <w:r w:rsidRPr="0023106C">
              <w:t>/yd³)</w:t>
            </w:r>
          </w:p>
        </w:tc>
        <w:tc>
          <w:tcPr>
            <w:tcW w:w="4135" w:type="dxa"/>
          </w:tcPr>
          <w:p w14:paraId="25D0D909" w14:textId="3645B3A6"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Water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w:t>
            </w:r>
          </w:p>
        </w:tc>
      </w:tr>
      <w:tr w:rsidR="006149F1" w:rsidRPr="0023106C" w14:paraId="58D2D441" w14:textId="77777777" w:rsidTr="00085849">
        <w:tc>
          <w:tcPr>
            <w:tcW w:w="5215" w:type="dxa"/>
          </w:tcPr>
          <w:p w14:paraId="4E8E5ECC" w14:textId="180EAB11" w:rsidR="006149F1" w:rsidRPr="0023106C" w:rsidRDefault="006149F1"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Fly ash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/yd³)</w:t>
            </w:r>
          </w:p>
        </w:tc>
        <w:tc>
          <w:tcPr>
            <w:tcW w:w="4135" w:type="dxa"/>
          </w:tcPr>
          <w:p w14:paraId="46D79DF0" w14:textId="6A08866F"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Cementitious material volumes (ft³)</w:t>
            </w:r>
          </w:p>
        </w:tc>
      </w:tr>
      <w:tr w:rsidR="006149F1" w:rsidRPr="0023106C" w14:paraId="5671D61F" w14:textId="77777777" w:rsidTr="00085849">
        <w:tc>
          <w:tcPr>
            <w:tcW w:w="5215" w:type="dxa"/>
          </w:tcPr>
          <w:p w14:paraId="2B25BA2D" w14:textId="06AECA87" w:rsidR="006149F1" w:rsidRPr="0023106C" w:rsidRDefault="006149F1"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Silica fume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/yd³)</w:t>
            </w:r>
          </w:p>
        </w:tc>
        <w:tc>
          <w:tcPr>
            <w:tcW w:w="4135" w:type="dxa"/>
          </w:tcPr>
          <w:p w14:paraId="61640DCA" w14:textId="19A7C753"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Air volume (ft³)</w:t>
            </w:r>
          </w:p>
        </w:tc>
      </w:tr>
      <w:tr w:rsidR="006149F1" w:rsidRPr="0023106C" w14:paraId="7DF53708" w14:textId="77777777" w:rsidTr="00085849">
        <w:tc>
          <w:tcPr>
            <w:tcW w:w="5215" w:type="dxa"/>
          </w:tcPr>
          <w:p w14:paraId="683057FF" w14:textId="74B85948" w:rsidR="006149F1" w:rsidRPr="0023106C" w:rsidRDefault="006149F1"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Other supplementary cementitious material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/yd³)</w:t>
            </w:r>
          </w:p>
        </w:tc>
        <w:tc>
          <w:tcPr>
            <w:tcW w:w="4135" w:type="dxa"/>
          </w:tcPr>
          <w:p w14:paraId="21ACD1B1" w14:textId="2B3A92CA"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Water volume (ft³)</w:t>
            </w:r>
          </w:p>
        </w:tc>
      </w:tr>
      <w:tr w:rsidR="006149F1" w:rsidRPr="0023106C" w14:paraId="67FA515B" w14:textId="77777777" w:rsidTr="00085849">
        <w:tc>
          <w:tcPr>
            <w:tcW w:w="5215" w:type="dxa"/>
          </w:tcPr>
          <w:p w14:paraId="434D35E7" w14:textId="45F33891" w:rsidR="006149F1" w:rsidRPr="0023106C" w:rsidRDefault="006149F1"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Water–cement ratio</w:t>
            </w:r>
          </w:p>
        </w:tc>
        <w:tc>
          <w:tcPr>
            <w:tcW w:w="4135" w:type="dxa"/>
          </w:tcPr>
          <w:p w14:paraId="0419AC79" w14:textId="60623708"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Total aggregate volume (ft³)</w:t>
            </w:r>
          </w:p>
        </w:tc>
      </w:tr>
      <w:tr w:rsidR="006149F1" w:rsidRPr="0023106C" w14:paraId="3CE03A91" w14:textId="77777777" w:rsidTr="00085849">
        <w:tc>
          <w:tcPr>
            <w:tcW w:w="5215" w:type="dxa"/>
          </w:tcPr>
          <w:p w14:paraId="09100121" w14:textId="67394E39"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Air content (%)</w:t>
            </w:r>
          </w:p>
        </w:tc>
        <w:tc>
          <w:tcPr>
            <w:tcW w:w="4135" w:type="dxa"/>
          </w:tcPr>
          <w:p w14:paraId="46080623" w14:textId="7263D796"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Fine aggregate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w:t>
            </w:r>
          </w:p>
        </w:tc>
      </w:tr>
      <w:tr w:rsidR="006149F1" w:rsidRPr="0023106C" w14:paraId="7D056BEE" w14:textId="77777777" w:rsidTr="00085849">
        <w:tc>
          <w:tcPr>
            <w:tcW w:w="5215" w:type="dxa"/>
          </w:tcPr>
          <w:p w14:paraId="01339BF4" w14:textId="001D049F"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Fine aggregate percentage (%)</w:t>
            </w:r>
          </w:p>
        </w:tc>
        <w:tc>
          <w:tcPr>
            <w:tcW w:w="4135" w:type="dxa"/>
          </w:tcPr>
          <w:p w14:paraId="33F299DC" w14:textId="3588DF39"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Coarse aggregate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w:t>
            </w:r>
          </w:p>
        </w:tc>
      </w:tr>
      <w:tr w:rsidR="006149F1" w:rsidRPr="0023106C" w14:paraId="591241AE" w14:textId="77777777" w:rsidTr="00085849">
        <w:tc>
          <w:tcPr>
            <w:tcW w:w="5215" w:type="dxa"/>
          </w:tcPr>
          <w:p w14:paraId="540A7B17" w14:textId="3DD1B4D8" w:rsidR="006149F1" w:rsidRPr="0023106C" w:rsidRDefault="00085849" w:rsidP="002F4033">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Coarse aggregate percentage (%)</w:t>
            </w:r>
          </w:p>
        </w:tc>
        <w:tc>
          <w:tcPr>
            <w:tcW w:w="4135" w:type="dxa"/>
          </w:tcPr>
          <w:p w14:paraId="3120F98C" w14:textId="669FD7AB" w:rsidR="006149F1" w:rsidRPr="0023106C" w:rsidRDefault="00085849" w:rsidP="00085849">
            <w:pPr>
              <w:rPr>
                <w:rFonts w:ascii="Times New Roman" w:eastAsia="Times New Roman" w:hAnsi="Times New Roman" w:cs="Times New Roman"/>
                <w:b/>
                <w:bCs/>
                <w:color w:val="000000"/>
                <w:kern w:val="0"/>
                <w14:ligatures w14:val="none"/>
              </w:rPr>
            </w:pPr>
            <w:r w:rsidRPr="0023106C">
              <w:rPr>
                <w:rFonts w:ascii="Times New Roman" w:hAnsi="Times New Roman" w:cs="Times New Roman"/>
                <w:color w:val="000000"/>
              </w:rPr>
              <w:t>Other aggregate weight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w:t>
            </w:r>
          </w:p>
        </w:tc>
      </w:tr>
      <w:tr w:rsidR="00085849" w:rsidRPr="0023106C" w14:paraId="0E2363DE" w14:textId="77777777" w:rsidTr="00085849">
        <w:tc>
          <w:tcPr>
            <w:tcW w:w="5215" w:type="dxa"/>
          </w:tcPr>
          <w:p w14:paraId="249776A2" w14:textId="1419BEB6" w:rsidR="00085849" w:rsidRPr="0023106C" w:rsidRDefault="00085849" w:rsidP="002F4033">
            <w:pPr>
              <w:rPr>
                <w:rFonts w:ascii="Times New Roman" w:hAnsi="Times New Roman" w:cs="Times New Roman"/>
                <w:color w:val="000000"/>
              </w:rPr>
            </w:pPr>
            <w:r w:rsidRPr="0023106C">
              <w:rPr>
                <w:rFonts w:ascii="Times New Roman" w:hAnsi="Times New Roman" w:cs="Times New Roman"/>
                <w:color w:val="000000"/>
              </w:rPr>
              <w:t>Other aggregate percentage (%)</w:t>
            </w:r>
          </w:p>
        </w:tc>
        <w:tc>
          <w:tcPr>
            <w:tcW w:w="4135" w:type="dxa"/>
          </w:tcPr>
          <w:p w14:paraId="61AEE8BC" w14:textId="77777777" w:rsidR="00085849" w:rsidRPr="0023106C" w:rsidRDefault="00085849" w:rsidP="002F4033">
            <w:pPr>
              <w:rPr>
                <w:rFonts w:ascii="Times New Roman" w:eastAsia="Times New Roman" w:hAnsi="Times New Roman" w:cs="Times New Roman"/>
                <w:b/>
                <w:bCs/>
                <w:color w:val="000000"/>
                <w:kern w:val="0"/>
                <w14:ligatures w14:val="none"/>
              </w:rPr>
            </w:pPr>
          </w:p>
        </w:tc>
      </w:tr>
      <w:tr w:rsidR="00085849" w:rsidRPr="0023106C" w14:paraId="5255342A" w14:textId="77777777" w:rsidTr="00085849">
        <w:tc>
          <w:tcPr>
            <w:tcW w:w="5215" w:type="dxa"/>
          </w:tcPr>
          <w:p w14:paraId="7934F528" w14:textId="04F0E275" w:rsidR="00085849" w:rsidRPr="0023106C" w:rsidRDefault="00085849" w:rsidP="00085849">
            <w:pPr>
              <w:tabs>
                <w:tab w:val="left" w:pos="1407"/>
              </w:tabs>
              <w:rPr>
                <w:rFonts w:ascii="Times New Roman" w:hAnsi="Times New Roman" w:cs="Times New Roman"/>
                <w:color w:val="000000"/>
              </w:rPr>
            </w:pPr>
            <w:r w:rsidRPr="0023106C">
              <w:rPr>
                <w:rFonts w:ascii="Times New Roman" w:hAnsi="Times New Roman" w:cs="Times New Roman"/>
                <w:color w:val="000000"/>
              </w:rPr>
              <w:t>Specific gravities for each cementitious material</w:t>
            </w:r>
          </w:p>
        </w:tc>
        <w:tc>
          <w:tcPr>
            <w:tcW w:w="4135" w:type="dxa"/>
          </w:tcPr>
          <w:p w14:paraId="7FAE0726" w14:textId="77777777" w:rsidR="00085849" w:rsidRPr="0023106C" w:rsidRDefault="00085849" w:rsidP="002F4033">
            <w:pPr>
              <w:rPr>
                <w:rFonts w:ascii="Times New Roman" w:eastAsia="Times New Roman" w:hAnsi="Times New Roman" w:cs="Times New Roman"/>
                <w:b/>
                <w:bCs/>
                <w:color w:val="000000"/>
                <w:kern w:val="0"/>
                <w14:ligatures w14:val="none"/>
              </w:rPr>
            </w:pPr>
          </w:p>
        </w:tc>
      </w:tr>
      <w:tr w:rsidR="00085849" w:rsidRPr="0023106C" w14:paraId="4FECE844" w14:textId="77777777" w:rsidTr="00085849">
        <w:tc>
          <w:tcPr>
            <w:tcW w:w="5215" w:type="dxa"/>
          </w:tcPr>
          <w:p w14:paraId="53406E9A" w14:textId="7F79DC35" w:rsidR="00085849" w:rsidRPr="0023106C" w:rsidRDefault="00085849" w:rsidP="002F4033">
            <w:pPr>
              <w:rPr>
                <w:rFonts w:ascii="Times New Roman" w:hAnsi="Times New Roman" w:cs="Times New Roman"/>
                <w:color w:val="000000"/>
              </w:rPr>
            </w:pPr>
            <w:r w:rsidRPr="0023106C">
              <w:rPr>
                <w:rFonts w:ascii="Times New Roman" w:hAnsi="Times New Roman" w:cs="Times New Roman"/>
                <w:color w:val="000000"/>
              </w:rPr>
              <w:t>Specific gravities for each aggregate</w:t>
            </w:r>
          </w:p>
        </w:tc>
        <w:tc>
          <w:tcPr>
            <w:tcW w:w="4135" w:type="dxa"/>
          </w:tcPr>
          <w:p w14:paraId="69DFF5FD" w14:textId="77777777" w:rsidR="00085849" w:rsidRPr="0023106C" w:rsidRDefault="00085849" w:rsidP="00085849">
            <w:pPr>
              <w:keepNext/>
              <w:rPr>
                <w:rFonts w:ascii="Times New Roman" w:eastAsia="Times New Roman" w:hAnsi="Times New Roman" w:cs="Times New Roman"/>
                <w:b/>
                <w:bCs/>
                <w:color w:val="000000"/>
                <w:kern w:val="0"/>
                <w14:ligatures w14:val="none"/>
              </w:rPr>
            </w:pPr>
          </w:p>
        </w:tc>
      </w:tr>
    </w:tbl>
    <w:p w14:paraId="32B83DCA" w14:textId="0ADEF5F5" w:rsidR="00E31AD4" w:rsidRPr="0023106C" w:rsidRDefault="00085849" w:rsidP="00957E32">
      <w:pPr>
        <w:pStyle w:val="Caption"/>
        <w:rPr>
          <w:rFonts w:ascii="Times New Roman" w:eastAsia="Times New Roman" w:hAnsi="Times New Roman" w:cs="Times New Roman"/>
          <w:b/>
          <w:bCs/>
          <w:color w:val="000000"/>
          <w:kern w:val="0"/>
          <w:sz w:val="24"/>
          <w:szCs w:val="24"/>
          <w14:ligatures w14:val="none"/>
        </w:rPr>
      </w:pPr>
      <w:r w:rsidRPr="0023106C">
        <w:rPr>
          <w:rFonts w:ascii="Times New Roman" w:hAnsi="Times New Roman" w:cs="Times New Roman"/>
        </w:rPr>
        <w:t xml:space="preserve">Figure </w:t>
      </w:r>
      <w:r w:rsidRPr="0023106C">
        <w:rPr>
          <w:rFonts w:ascii="Times New Roman" w:hAnsi="Times New Roman" w:cs="Times New Roman"/>
        </w:rPr>
        <w:fldChar w:fldCharType="begin"/>
      </w:r>
      <w:r w:rsidRPr="0023106C">
        <w:rPr>
          <w:rFonts w:ascii="Times New Roman" w:hAnsi="Times New Roman" w:cs="Times New Roman"/>
        </w:rPr>
        <w:instrText xml:space="preserve"> SEQ Figure \* ARABIC </w:instrText>
      </w:r>
      <w:r w:rsidRPr="0023106C">
        <w:rPr>
          <w:rFonts w:ascii="Times New Roman" w:hAnsi="Times New Roman" w:cs="Times New Roman"/>
        </w:rPr>
        <w:fldChar w:fldCharType="separate"/>
      </w:r>
      <w:r w:rsidR="00EA020F" w:rsidRPr="0023106C">
        <w:rPr>
          <w:rFonts w:ascii="Times New Roman" w:hAnsi="Times New Roman" w:cs="Times New Roman"/>
          <w:noProof/>
        </w:rPr>
        <w:t>1</w:t>
      </w:r>
      <w:r w:rsidRPr="0023106C">
        <w:rPr>
          <w:rFonts w:ascii="Times New Roman" w:hAnsi="Times New Roman" w:cs="Times New Roman"/>
        </w:rPr>
        <w:fldChar w:fldCharType="end"/>
      </w:r>
      <w:r w:rsidRPr="0023106C">
        <w:rPr>
          <w:rFonts w:ascii="Times New Roman" w:hAnsi="Times New Roman" w:cs="Times New Roman"/>
        </w:rPr>
        <w:t>: Input and Output Parameters in Sequential Order</w:t>
      </w:r>
    </w:p>
    <w:p w14:paraId="0C891C29" w14:textId="021E0B0C" w:rsidR="00E31AD4" w:rsidRPr="0023106C" w:rsidRDefault="00085849" w:rsidP="002F4033">
      <w:pPr>
        <w:rPr>
          <w:rFonts w:ascii="Times New Roman" w:hAnsi="Times New Roman" w:cs="Times New Roman"/>
          <w:color w:val="000000"/>
        </w:rPr>
      </w:pPr>
      <w:r w:rsidRPr="0023106C">
        <w:rPr>
          <w:rFonts w:ascii="Times New Roman" w:hAnsi="Times New Roman" w:cs="Times New Roman"/>
          <w:color w:val="000000"/>
        </w:rPr>
        <w:t>Verification was performed by running identical input sets through both the original Excel worksheet and the Python script. Intermediate results and final weight charts were compared to ensure consistency within rounding tolerances</w:t>
      </w:r>
      <w:r w:rsidR="00EA020F" w:rsidRPr="0023106C">
        <w:rPr>
          <w:rFonts w:ascii="Times New Roman" w:hAnsi="Times New Roman" w:cs="Times New Roman"/>
          <w:color w:val="000000"/>
        </w:rPr>
        <w:t xml:space="preserve"> and both showed the same results.</w:t>
      </w:r>
      <w:r w:rsidR="00957E32" w:rsidRPr="0023106C">
        <w:rPr>
          <w:rFonts w:ascii="Times New Roman" w:hAnsi="Times New Roman" w:cs="Times New Roman"/>
          <w:color w:val="000000"/>
        </w:rPr>
        <w:t xml:space="preserve"> </w:t>
      </w:r>
      <w:r w:rsidR="00957E32" w:rsidRPr="0023106C">
        <w:rPr>
          <w:rFonts w:ascii="Times New Roman" w:hAnsi="Times New Roman" w:cs="Times New Roman"/>
          <w:color w:val="000000"/>
        </w:rPr>
        <w:t>After validation, four realistic mix scenarios were evaluated using the automated model to demonstrate its applicability to different engineering contexts.</w:t>
      </w:r>
    </w:p>
    <w:p w14:paraId="3247E9C9" w14:textId="77777777" w:rsidR="00957E32" w:rsidRPr="0023106C" w:rsidRDefault="00957E32" w:rsidP="002F4033">
      <w:pPr>
        <w:rPr>
          <w:rFonts w:ascii="Times New Roman" w:hAnsi="Times New Roman" w:cs="Times New Roman"/>
          <w:color w:val="000000"/>
        </w:rPr>
      </w:pPr>
    </w:p>
    <w:p w14:paraId="3D905199" w14:textId="7AEB5344" w:rsidR="00957E32" w:rsidRPr="0023106C" w:rsidRDefault="00957E32" w:rsidP="002F4033">
      <w:pPr>
        <w:rPr>
          <w:rFonts w:ascii="Times New Roman" w:hAnsi="Times New Roman" w:cs="Times New Roman"/>
          <w:b/>
          <w:bCs/>
          <w:color w:val="000000"/>
        </w:rPr>
      </w:pPr>
      <w:r w:rsidRPr="0023106C">
        <w:rPr>
          <w:rFonts w:ascii="Times New Roman" w:hAnsi="Times New Roman" w:cs="Times New Roman"/>
          <w:b/>
          <w:bCs/>
          <w:color w:val="000000"/>
        </w:rPr>
        <w:t>Results &amp; Discussion</w:t>
      </w:r>
    </w:p>
    <w:p w14:paraId="11651E69" w14:textId="69503773" w:rsidR="00957E32" w:rsidRPr="0023106C" w:rsidRDefault="00957E32" w:rsidP="002F4033">
      <w:pPr>
        <w:rPr>
          <w:rFonts w:ascii="Times New Roman" w:hAnsi="Times New Roman" w:cs="Times New Roman"/>
          <w:color w:val="000000"/>
        </w:rPr>
      </w:pPr>
      <w:r w:rsidRPr="0023106C">
        <w:rPr>
          <w:rFonts w:ascii="Times New Roman" w:hAnsi="Times New Roman" w:cs="Times New Roman"/>
          <w:color w:val="000000"/>
        </w:rPr>
        <w:t xml:space="preserve">Four concrete mix designs were evaluated using the automated Python </w:t>
      </w:r>
      <w:r w:rsidR="00255D78" w:rsidRPr="0023106C">
        <w:rPr>
          <w:rFonts w:ascii="Times New Roman" w:hAnsi="Times New Roman" w:cs="Times New Roman"/>
          <w:color w:val="000000"/>
        </w:rPr>
        <w:t>workflow (</w:t>
      </w:r>
      <w:r w:rsidR="00255D78" w:rsidRPr="0023106C">
        <w:rPr>
          <w:rFonts w:ascii="Times New Roman" w:hAnsi="Times New Roman" w:cs="Times New Roman"/>
          <w:color w:val="000000"/>
        </w:rPr>
        <w:t xml:space="preserve">SCN-1 through SCN-4). Each scenario was defined using the same set of required model </w:t>
      </w:r>
      <w:r w:rsidR="001C2670" w:rsidRPr="0023106C">
        <w:rPr>
          <w:rFonts w:ascii="Times New Roman" w:hAnsi="Times New Roman" w:cs="Times New Roman"/>
          <w:color w:val="000000"/>
        </w:rPr>
        <w:t>inputs (</w:t>
      </w:r>
      <w:r w:rsidR="00255D78" w:rsidRPr="0023106C">
        <w:rPr>
          <w:rFonts w:ascii="Times New Roman" w:hAnsi="Times New Roman" w:cs="Times New Roman"/>
          <w:color w:val="000000"/>
        </w:rPr>
        <w:t xml:space="preserve">Figure 2). </w:t>
      </w:r>
      <w:r w:rsidR="00255D78" w:rsidRPr="0023106C">
        <w:rPr>
          <w:rFonts w:ascii="Times New Roman" w:hAnsi="Times New Roman" w:cs="Times New Roman"/>
          <w:color w:val="000000"/>
        </w:rPr>
        <w:t>The model then produced a final</w:t>
      </w:r>
      <w:r w:rsidR="00255D78" w:rsidRPr="0023106C">
        <w:rPr>
          <w:rStyle w:val="apple-converted-space"/>
          <w:rFonts w:ascii="Times New Roman" w:hAnsi="Times New Roman" w:cs="Times New Roman"/>
          <w:color w:val="000000"/>
        </w:rPr>
        <w:t> </w:t>
      </w:r>
      <w:r w:rsidR="00255D78" w:rsidRPr="0023106C">
        <w:rPr>
          <w:rStyle w:val="Strong"/>
          <w:rFonts w:ascii="Times New Roman" w:hAnsi="Times New Roman" w:cs="Times New Roman"/>
          <w:b w:val="0"/>
          <w:bCs w:val="0"/>
          <w:color w:val="000000"/>
        </w:rPr>
        <w:t>1-cubic-yard weight summary</w:t>
      </w:r>
      <w:r w:rsidR="00255D78" w:rsidRPr="0023106C">
        <w:rPr>
          <w:rStyle w:val="apple-converted-space"/>
          <w:rFonts w:ascii="Times New Roman" w:hAnsi="Times New Roman" w:cs="Times New Roman"/>
          <w:color w:val="000000"/>
        </w:rPr>
        <w:t> </w:t>
      </w:r>
      <w:r w:rsidR="00255D78" w:rsidRPr="0023106C">
        <w:rPr>
          <w:rFonts w:ascii="Times New Roman" w:hAnsi="Times New Roman" w:cs="Times New Roman"/>
          <w:color w:val="000000"/>
        </w:rPr>
        <w:t>for cementitious materials, water, and three aggregate bins (fine, coarse, other), which is the required output format for the NDOT deliverable</w:t>
      </w:r>
      <w:r w:rsidR="001C2670" w:rsidRPr="0023106C">
        <w:rPr>
          <w:rFonts w:ascii="Times New Roman" w:hAnsi="Times New Roman" w:cs="Times New Roman"/>
          <w:color w:val="000000"/>
        </w:rPr>
        <w:t xml:space="preserve"> (Figure 3).</w:t>
      </w:r>
    </w:p>
    <w:tbl>
      <w:tblPr>
        <w:tblStyle w:val="TableGrid"/>
        <w:tblW w:w="0" w:type="auto"/>
        <w:tblLook w:val="04A0" w:firstRow="1" w:lastRow="0" w:firstColumn="1" w:lastColumn="0" w:noHBand="0" w:noVBand="1"/>
      </w:tblPr>
      <w:tblGrid>
        <w:gridCol w:w="1111"/>
        <w:gridCol w:w="834"/>
        <w:gridCol w:w="1016"/>
        <w:gridCol w:w="709"/>
        <w:gridCol w:w="838"/>
        <w:gridCol w:w="847"/>
        <w:gridCol w:w="779"/>
        <w:gridCol w:w="694"/>
        <w:gridCol w:w="761"/>
        <w:gridCol w:w="936"/>
        <w:gridCol w:w="825"/>
      </w:tblGrid>
      <w:tr w:rsidR="001C2670" w:rsidRPr="0023106C" w14:paraId="4D435C4D" w14:textId="7822B07F" w:rsidTr="001C2670">
        <w:tc>
          <w:tcPr>
            <w:tcW w:w="1110" w:type="dxa"/>
          </w:tcPr>
          <w:p w14:paraId="1B66B6F8" w14:textId="75ADCCEE"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Scenario</w:t>
            </w:r>
          </w:p>
        </w:tc>
        <w:tc>
          <w:tcPr>
            <w:tcW w:w="877" w:type="dxa"/>
          </w:tcPr>
          <w:p w14:paraId="4E861233" w14:textId="4053CA84"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Class</w:t>
            </w:r>
          </w:p>
        </w:tc>
        <w:tc>
          <w:tcPr>
            <w:tcW w:w="1001" w:type="dxa"/>
          </w:tcPr>
          <w:p w14:paraId="0874FAA9" w14:textId="7489BDD9"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 xml:space="preserve">Cement </w:t>
            </w:r>
          </w:p>
        </w:tc>
        <w:tc>
          <w:tcPr>
            <w:tcW w:w="778" w:type="dxa"/>
          </w:tcPr>
          <w:p w14:paraId="0AC0C77E" w14:textId="634519C4"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 xml:space="preserve">Fly Ash </w:t>
            </w:r>
          </w:p>
        </w:tc>
        <w:tc>
          <w:tcPr>
            <w:tcW w:w="864" w:type="dxa"/>
          </w:tcPr>
          <w:p w14:paraId="20B1D2B0" w14:textId="0DE4B11D"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Silica Fume</w:t>
            </w:r>
          </w:p>
        </w:tc>
        <w:tc>
          <w:tcPr>
            <w:tcW w:w="864" w:type="dxa"/>
          </w:tcPr>
          <w:p w14:paraId="60EC8054" w14:textId="0C730586"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Other SCM</w:t>
            </w:r>
          </w:p>
        </w:tc>
        <w:tc>
          <w:tcPr>
            <w:tcW w:w="831" w:type="dxa"/>
          </w:tcPr>
          <w:p w14:paraId="6C0400E9" w14:textId="60DCDC5A"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w/c ratio</w:t>
            </w:r>
          </w:p>
        </w:tc>
        <w:tc>
          <w:tcPr>
            <w:tcW w:w="795" w:type="dxa"/>
          </w:tcPr>
          <w:p w14:paraId="70A3E826" w14:textId="4FC45698"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Air %</w:t>
            </w:r>
          </w:p>
        </w:tc>
        <w:tc>
          <w:tcPr>
            <w:tcW w:w="828" w:type="dxa"/>
          </w:tcPr>
          <w:p w14:paraId="5B0DDD3C" w14:textId="45C6546D"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Fine %</w:t>
            </w:r>
          </w:p>
        </w:tc>
        <w:tc>
          <w:tcPr>
            <w:tcW w:w="701" w:type="dxa"/>
          </w:tcPr>
          <w:p w14:paraId="3DED2223" w14:textId="01F7610D"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Coarse %</w:t>
            </w:r>
          </w:p>
        </w:tc>
        <w:tc>
          <w:tcPr>
            <w:tcW w:w="701" w:type="dxa"/>
          </w:tcPr>
          <w:p w14:paraId="65D9E6CE" w14:textId="618299F8" w:rsidR="001C2670" w:rsidRPr="0023106C" w:rsidRDefault="001C2670" w:rsidP="002F4033">
            <w:pPr>
              <w:rPr>
                <w:rFonts w:ascii="Times New Roman" w:hAnsi="Times New Roman" w:cs="Times New Roman"/>
                <w:b/>
                <w:bCs/>
                <w:color w:val="000000"/>
              </w:rPr>
            </w:pPr>
            <w:r w:rsidRPr="0023106C">
              <w:rPr>
                <w:rFonts w:ascii="Times New Roman" w:hAnsi="Times New Roman" w:cs="Times New Roman"/>
                <w:b/>
                <w:bCs/>
                <w:color w:val="000000"/>
              </w:rPr>
              <w:t>Other %</w:t>
            </w:r>
          </w:p>
        </w:tc>
      </w:tr>
      <w:tr w:rsidR="001C2670" w:rsidRPr="0023106C" w14:paraId="724074A5" w14:textId="7378519D" w:rsidTr="001C2670">
        <w:tc>
          <w:tcPr>
            <w:tcW w:w="1110" w:type="dxa"/>
          </w:tcPr>
          <w:p w14:paraId="2C38C9AB" w14:textId="668D48E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SCN-1</w:t>
            </w:r>
          </w:p>
        </w:tc>
        <w:tc>
          <w:tcPr>
            <w:tcW w:w="877" w:type="dxa"/>
          </w:tcPr>
          <w:p w14:paraId="199D7AD7" w14:textId="466F88E6"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47B</w:t>
            </w:r>
          </w:p>
        </w:tc>
        <w:tc>
          <w:tcPr>
            <w:tcW w:w="1001" w:type="dxa"/>
          </w:tcPr>
          <w:p w14:paraId="497E5C27" w14:textId="0B705BBC"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600</w:t>
            </w:r>
          </w:p>
        </w:tc>
        <w:tc>
          <w:tcPr>
            <w:tcW w:w="778" w:type="dxa"/>
          </w:tcPr>
          <w:p w14:paraId="0FA21A0A" w14:textId="6B8364B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64" w:type="dxa"/>
          </w:tcPr>
          <w:p w14:paraId="58CDAB40" w14:textId="6E01B79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64" w:type="dxa"/>
          </w:tcPr>
          <w:p w14:paraId="652FAA3D" w14:textId="52ECB4E1"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31" w:type="dxa"/>
          </w:tcPr>
          <w:p w14:paraId="70A2C6E4" w14:textId="66BC53E9"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5.0</w:t>
            </w:r>
          </w:p>
        </w:tc>
        <w:tc>
          <w:tcPr>
            <w:tcW w:w="795" w:type="dxa"/>
          </w:tcPr>
          <w:p w14:paraId="2FB505C6" w14:textId="0BF1718E"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5.0</w:t>
            </w:r>
          </w:p>
        </w:tc>
        <w:tc>
          <w:tcPr>
            <w:tcW w:w="828" w:type="dxa"/>
          </w:tcPr>
          <w:p w14:paraId="4EAB5AD0" w14:textId="448E035C"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45</w:t>
            </w:r>
          </w:p>
        </w:tc>
        <w:tc>
          <w:tcPr>
            <w:tcW w:w="701" w:type="dxa"/>
          </w:tcPr>
          <w:p w14:paraId="1EC7CE42" w14:textId="52EC542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55</w:t>
            </w:r>
          </w:p>
        </w:tc>
        <w:tc>
          <w:tcPr>
            <w:tcW w:w="701" w:type="dxa"/>
          </w:tcPr>
          <w:p w14:paraId="69DFD9A3" w14:textId="7F97CFA4"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r>
      <w:tr w:rsidR="001C2670" w:rsidRPr="0023106C" w14:paraId="707256F1" w14:textId="4BAD27BE" w:rsidTr="001C2670">
        <w:tc>
          <w:tcPr>
            <w:tcW w:w="1110" w:type="dxa"/>
          </w:tcPr>
          <w:p w14:paraId="2DC7C066" w14:textId="36775477"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SCN-2</w:t>
            </w:r>
          </w:p>
        </w:tc>
        <w:tc>
          <w:tcPr>
            <w:tcW w:w="877" w:type="dxa"/>
          </w:tcPr>
          <w:p w14:paraId="632CD674" w14:textId="79A3DA09"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47BR</w:t>
            </w:r>
          </w:p>
        </w:tc>
        <w:tc>
          <w:tcPr>
            <w:tcW w:w="1001" w:type="dxa"/>
          </w:tcPr>
          <w:p w14:paraId="4A2C1255" w14:textId="516628AE"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560</w:t>
            </w:r>
          </w:p>
        </w:tc>
        <w:tc>
          <w:tcPr>
            <w:tcW w:w="778" w:type="dxa"/>
          </w:tcPr>
          <w:p w14:paraId="17C819D4" w14:textId="71B8CE11"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40</w:t>
            </w:r>
          </w:p>
        </w:tc>
        <w:tc>
          <w:tcPr>
            <w:tcW w:w="864" w:type="dxa"/>
          </w:tcPr>
          <w:p w14:paraId="72939069" w14:textId="15AB770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64" w:type="dxa"/>
          </w:tcPr>
          <w:p w14:paraId="22180767" w14:textId="5DE40F34"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31" w:type="dxa"/>
          </w:tcPr>
          <w:p w14:paraId="0EE0CC9E" w14:textId="679138B6"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6.0</w:t>
            </w:r>
          </w:p>
        </w:tc>
        <w:tc>
          <w:tcPr>
            <w:tcW w:w="795" w:type="dxa"/>
          </w:tcPr>
          <w:p w14:paraId="611686D7" w14:textId="37E311F6"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6.0</w:t>
            </w:r>
          </w:p>
        </w:tc>
        <w:tc>
          <w:tcPr>
            <w:tcW w:w="828" w:type="dxa"/>
          </w:tcPr>
          <w:p w14:paraId="383FBDD9" w14:textId="0D887B93"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43</w:t>
            </w:r>
          </w:p>
        </w:tc>
        <w:tc>
          <w:tcPr>
            <w:tcW w:w="701" w:type="dxa"/>
          </w:tcPr>
          <w:p w14:paraId="0062FC36" w14:textId="703BDF76"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57</w:t>
            </w:r>
          </w:p>
        </w:tc>
        <w:tc>
          <w:tcPr>
            <w:tcW w:w="701" w:type="dxa"/>
          </w:tcPr>
          <w:p w14:paraId="4CDA8295" w14:textId="29641574"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r>
      <w:tr w:rsidR="001C2670" w:rsidRPr="0023106C" w14:paraId="6AC48A5A" w14:textId="75D070CE" w:rsidTr="001C2670">
        <w:tc>
          <w:tcPr>
            <w:tcW w:w="1110" w:type="dxa"/>
          </w:tcPr>
          <w:p w14:paraId="6D7E45A6" w14:textId="721CC47F"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SCN-3</w:t>
            </w:r>
          </w:p>
        </w:tc>
        <w:tc>
          <w:tcPr>
            <w:tcW w:w="877" w:type="dxa"/>
          </w:tcPr>
          <w:p w14:paraId="2042E153" w14:textId="105C606C"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47B</w:t>
            </w:r>
          </w:p>
        </w:tc>
        <w:tc>
          <w:tcPr>
            <w:tcW w:w="1001" w:type="dxa"/>
          </w:tcPr>
          <w:p w14:paraId="40CAF5E8" w14:textId="5FFBB5C2"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520</w:t>
            </w:r>
          </w:p>
        </w:tc>
        <w:tc>
          <w:tcPr>
            <w:tcW w:w="778" w:type="dxa"/>
          </w:tcPr>
          <w:p w14:paraId="4548AD6E" w14:textId="264F47BD"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60</w:t>
            </w:r>
          </w:p>
        </w:tc>
        <w:tc>
          <w:tcPr>
            <w:tcW w:w="864" w:type="dxa"/>
          </w:tcPr>
          <w:p w14:paraId="1032413C" w14:textId="04358E94"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20</w:t>
            </w:r>
          </w:p>
        </w:tc>
        <w:tc>
          <w:tcPr>
            <w:tcW w:w="864" w:type="dxa"/>
          </w:tcPr>
          <w:p w14:paraId="72FD6054" w14:textId="11281436"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31" w:type="dxa"/>
          </w:tcPr>
          <w:p w14:paraId="7D6565EE" w14:textId="3F29E0F0"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5.5</w:t>
            </w:r>
          </w:p>
        </w:tc>
        <w:tc>
          <w:tcPr>
            <w:tcW w:w="795" w:type="dxa"/>
          </w:tcPr>
          <w:p w14:paraId="36045F8F" w14:textId="1588110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5.5</w:t>
            </w:r>
          </w:p>
        </w:tc>
        <w:tc>
          <w:tcPr>
            <w:tcW w:w="828" w:type="dxa"/>
          </w:tcPr>
          <w:p w14:paraId="60D2D3C7" w14:textId="25730BE7"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40</w:t>
            </w:r>
          </w:p>
        </w:tc>
        <w:tc>
          <w:tcPr>
            <w:tcW w:w="701" w:type="dxa"/>
          </w:tcPr>
          <w:p w14:paraId="1313698A" w14:textId="32A6DE6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55</w:t>
            </w:r>
          </w:p>
        </w:tc>
        <w:tc>
          <w:tcPr>
            <w:tcW w:w="701" w:type="dxa"/>
          </w:tcPr>
          <w:p w14:paraId="58849781" w14:textId="59A1A5D7"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w:t>
            </w:r>
          </w:p>
        </w:tc>
      </w:tr>
      <w:tr w:rsidR="001C2670" w:rsidRPr="0023106C" w14:paraId="1F347DD7" w14:textId="71B515B0" w:rsidTr="001C2670">
        <w:tc>
          <w:tcPr>
            <w:tcW w:w="1110" w:type="dxa"/>
          </w:tcPr>
          <w:p w14:paraId="10FC99E1" w14:textId="63DFAA2B"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SCN-4</w:t>
            </w:r>
          </w:p>
        </w:tc>
        <w:tc>
          <w:tcPr>
            <w:tcW w:w="877" w:type="dxa"/>
          </w:tcPr>
          <w:p w14:paraId="45A817E4" w14:textId="79B82297"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47BR</w:t>
            </w:r>
          </w:p>
        </w:tc>
        <w:tc>
          <w:tcPr>
            <w:tcW w:w="1001" w:type="dxa"/>
          </w:tcPr>
          <w:p w14:paraId="5CA966C9" w14:textId="63AFD4CB"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580</w:t>
            </w:r>
          </w:p>
        </w:tc>
        <w:tc>
          <w:tcPr>
            <w:tcW w:w="778" w:type="dxa"/>
          </w:tcPr>
          <w:p w14:paraId="69D90881" w14:textId="4A7FD901"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64" w:type="dxa"/>
          </w:tcPr>
          <w:p w14:paraId="462834C0" w14:textId="25B4CFCF"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w:t>
            </w:r>
          </w:p>
        </w:tc>
        <w:tc>
          <w:tcPr>
            <w:tcW w:w="864" w:type="dxa"/>
          </w:tcPr>
          <w:p w14:paraId="0F7C7535" w14:textId="046BCCD7"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20</w:t>
            </w:r>
          </w:p>
        </w:tc>
        <w:tc>
          <w:tcPr>
            <w:tcW w:w="831" w:type="dxa"/>
          </w:tcPr>
          <w:p w14:paraId="34A9225C" w14:textId="2B5D0240"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0.47</w:t>
            </w:r>
          </w:p>
        </w:tc>
        <w:tc>
          <w:tcPr>
            <w:tcW w:w="795" w:type="dxa"/>
          </w:tcPr>
          <w:p w14:paraId="5797EE6D" w14:textId="5A587D61"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4.5</w:t>
            </w:r>
          </w:p>
        </w:tc>
        <w:tc>
          <w:tcPr>
            <w:tcW w:w="828" w:type="dxa"/>
          </w:tcPr>
          <w:p w14:paraId="7AA29E9D" w14:textId="0E57CBD5"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47</w:t>
            </w:r>
          </w:p>
        </w:tc>
        <w:tc>
          <w:tcPr>
            <w:tcW w:w="701" w:type="dxa"/>
          </w:tcPr>
          <w:p w14:paraId="4BABF721" w14:textId="355EA46A" w:rsidR="001C2670" w:rsidRPr="0023106C" w:rsidRDefault="001C2670" w:rsidP="002F4033">
            <w:pPr>
              <w:rPr>
                <w:rFonts w:ascii="Times New Roman" w:hAnsi="Times New Roman" w:cs="Times New Roman"/>
                <w:color w:val="000000"/>
              </w:rPr>
            </w:pPr>
            <w:r w:rsidRPr="0023106C">
              <w:rPr>
                <w:rFonts w:ascii="Times New Roman" w:hAnsi="Times New Roman" w:cs="Times New Roman"/>
                <w:color w:val="000000"/>
              </w:rPr>
              <w:t>50</w:t>
            </w:r>
          </w:p>
        </w:tc>
        <w:tc>
          <w:tcPr>
            <w:tcW w:w="701" w:type="dxa"/>
          </w:tcPr>
          <w:p w14:paraId="4B0DFB5F" w14:textId="0AD64855" w:rsidR="001C2670" w:rsidRPr="0023106C" w:rsidRDefault="001C2670" w:rsidP="001C2670">
            <w:pPr>
              <w:keepNext/>
              <w:rPr>
                <w:rFonts w:ascii="Times New Roman" w:hAnsi="Times New Roman" w:cs="Times New Roman"/>
                <w:color w:val="000000"/>
              </w:rPr>
            </w:pPr>
            <w:r w:rsidRPr="0023106C">
              <w:rPr>
                <w:rFonts w:ascii="Times New Roman" w:hAnsi="Times New Roman" w:cs="Times New Roman"/>
                <w:color w:val="000000"/>
              </w:rPr>
              <w:t>3</w:t>
            </w:r>
          </w:p>
        </w:tc>
      </w:tr>
    </w:tbl>
    <w:p w14:paraId="7C0FACFA" w14:textId="7BD17113" w:rsidR="00255D78" w:rsidRPr="0023106C" w:rsidRDefault="001C2670" w:rsidP="001C2670">
      <w:pPr>
        <w:pStyle w:val="Caption"/>
        <w:rPr>
          <w:rFonts w:ascii="Times New Roman" w:hAnsi="Times New Roman" w:cs="Times New Roman"/>
          <w:color w:val="000000"/>
          <w:sz w:val="24"/>
          <w:szCs w:val="24"/>
        </w:rPr>
      </w:pPr>
      <w:r w:rsidRPr="0023106C">
        <w:rPr>
          <w:rFonts w:ascii="Times New Roman" w:hAnsi="Times New Roman" w:cs="Times New Roman"/>
        </w:rPr>
        <w:t xml:space="preserve">Figure </w:t>
      </w:r>
      <w:r w:rsidRPr="0023106C">
        <w:rPr>
          <w:rFonts w:ascii="Times New Roman" w:hAnsi="Times New Roman" w:cs="Times New Roman"/>
        </w:rPr>
        <w:fldChar w:fldCharType="begin"/>
      </w:r>
      <w:r w:rsidRPr="0023106C">
        <w:rPr>
          <w:rFonts w:ascii="Times New Roman" w:hAnsi="Times New Roman" w:cs="Times New Roman"/>
        </w:rPr>
        <w:instrText xml:space="preserve"> SEQ Figure \* ARABIC </w:instrText>
      </w:r>
      <w:r w:rsidRPr="0023106C">
        <w:rPr>
          <w:rFonts w:ascii="Times New Roman" w:hAnsi="Times New Roman" w:cs="Times New Roman"/>
        </w:rPr>
        <w:fldChar w:fldCharType="separate"/>
      </w:r>
      <w:r w:rsidR="00EA020F" w:rsidRPr="0023106C">
        <w:rPr>
          <w:rFonts w:ascii="Times New Roman" w:hAnsi="Times New Roman" w:cs="Times New Roman"/>
          <w:noProof/>
        </w:rPr>
        <w:t>2</w:t>
      </w:r>
      <w:r w:rsidRPr="0023106C">
        <w:rPr>
          <w:rFonts w:ascii="Times New Roman" w:hAnsi="Times New Roman" w:cs="Times New Roman"/>
        </w:rPr>
        <w:fldChar w:fldCharType="end"/>
      </w:r>
      <w:r w:rsidRPr="0023106C">
        <w:rPr>
          <w:rFonts w:ascii="Times New Roman" w:hAnsi="Times New Roman" w:cs="Times New Roman"/>
        </w:rPr>
        <w:t>: Model Inputs Used in Python</w:t>
      </w:r>
    </w:p>
    <w:p w14:paraId="57B6BBB7" w14:textId="77777777" w:rsidR="00957E32" w:rsidRPr="0023106C" w:rsidRDefault="00957E32" w:rsidP="002F4033">
      <w:pPr>
        <w:rPr>
          <w:rFonts w:ascii="Times New Roman" w:hAnsi="Times New Roman" w:cs="Times New Roman"/>
          <w:color w:val="000000"/>
        </w:rPr>
      </w:pPr>
    </w:p>
    <w:p w14:paraId="21DC75D1" w14:textId="6767C845" w:rsidR="00957E32" w:rsidRPr="0023106C" w:rsidRDefault="00957E32" w:rsidP="002F4033">
      <w:pPr>
        <w:rPr>
          <w:rFonts w:ascii="Times New Roman" w:hAnsi="Times New Roman" w:cs="Times New Roman"/>
          <w:color w:val="000000"/>
        </w:rPr>
      </w:pPr>
    </w:p>
    <w:p w14:paraId="6C447DEA" w14:textId="77777777" w:rsidR="001C2670" w:rsidRPr="0023106C" w:rsidRDefault="001C2670" w:rsidP="002F4033">
      <w:pPr>
        <w:rPr>
          <w:rFonts w:ascii="Times New Roman" w:hAnsi="Times New Roman" w:cs="Times New Roman"/>
        </w:rPr>
      </w:pPr>
    </w:p>
    <w:tbl>
      <w:tblPr>
        <w:tblStyle w:val="TableGrid"/>
        <w:tblW w:w="9921" w:type="dxa"/>
        <w:tblLook w:val="04A0" w:firstRow="1" w:lastRow="0" w:firstColumn="1" w:lastColumn="0" w:noHBand="0" w:noVBand="1"/>
      </w:tblPr>
      <w:tblGrid>
        <w:gridCol w:w="1112"/>
        <w:gridCol w:w="817"/>
        <w:gridCol w:w="1017"/>
        <w:gridCol w:w="741"/>
        <w:gridCol w:w="804"/>
        <w:gridCol w:w="831"/>
        <w:gridCol w:w="870"/>
        <w:gridCol w:w="998"/>
        <w:gridCol w:w="1217"/>
        <w:gridCol w:w="1514"/>
      </w:tblGrid>
      <w:tr w:rsidR="0023106C" w:rsidRPr="0023106C" w14:paraId="5EF27903" w14:textId="77777777" w:rsidTr="0023106C">
        <w:trPr>
          <w:trHeight w:val="509"/>
        </w:trPr>
        <w:tc>
          <w:tcPr>
            <w:tcW w:w="1112" w:type="dxa"/>
          </w:tcPr>
          <w:p w14:paraId="3E125428" w14:textId="7942D656"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b/>
                <w:bCs/>
                <w:color w:val="000000"/>
              </w:rPr>
              <w:lastRenderedPageBreak/>
              <w:t>Scenario</w:t>
            </w:r>
          </w:p>
        </w:tc>
        <w:tc>
          <w:tcPr>
            <w:tcW w:w="817" w:type="dxa"/>
          </w:tcPr>
          <w:p w14:paraId="3B7C67C9" w14:textId="4A877BE1"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b/>
                <w:bCs/>
                <w:color w:val="000000"/>
              </w:rPr>
              <w:t>Class</w:t>
            </w:r>
          </w:p>
        </w:tc>
        <w:tc>
          <w:tcPr>
            <w:tcW w:w="1017" w:type="dxa"/>
          </w:tcPr>
          <w:p w14:paraId="2EA65C84" w14:textId="4AA83CD5"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b/>
                <w:bCs/>
                <w:color w:val="000000"/>
              </w:rPr>
              <w:t xml:space="preserve">Cement </w:t>
            </w:r>
          </w:p>
        </w:tc>
        <w:tc>
          <w:tcPr>
            <w:tcW w:w="741" w:type="dxa"/>
          </w:tcPr>
          <w:p w14:paraId="3F380D45" w14:textId="333285E8"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b/>
                <w:bCs/>
                <w:color w:val="000000"/>
              </w:rPr>
              <w:t xml:space="preserve">Fly Ash </w:t>
            </w:r>
          </w:p>
        </w:tc>
        <w:tc>
          <w:tcPr>
            <w:tcW w:w="804" w:type="dxa"/>
          </w:tcPr>
          <w:p w14:paraId="6461D752" w14:textId="3447D68B" w:rsidR="00EA020F" w:rsidRPr="0023106C" w:rsidRDefault="00EA020F" w:rsidP="00EA020F">
            <w:pPr>
              <w:rPr>
                <w:rFonts w:ascii="Times New Roman" w:eastAsia="Times New Roman" w:hAnsi="Times New Roman" w:cs="Times New Roman"/>
                <w:color w:val="000000"/>
                <w:kern w:val="0"/>
                <w14:ligatures w14:val="none"/>
              </w:rPr>
            </w:pPr>
            <w:r w:rsidRPr="0023106C">
              <w:rPr>
                <w:rFonts w:ascii="Times New Roman" w:hAnsi="Times New Roman" w:cs="Times New Roman"/>
                <w:b/>
                <w:bCs/>
                <w:color w:val="000000"/>
              </w:rPr>
              <w:t>Silica Fume</w:t>
            </w:r>
          </w:p>
        </w:tc>
        <w:tc>
          <w:tcPr>
            <w:tcW w:w="831" w:type="dxa"/>
          </w:tcPr>
          <w:p w14:paraId="403C4250" w14:textId="53635549" w:rsidR="00EA020F" w:rsidRPr="0023106C" w:rsidRDefault="00EA020F" w:rsidP="00EA020F">
            <w:pPr>
              <w:spacing w:line="360" w:lineRule="auto"/>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Other SCM</w:t>
            </w:r>
          </w:p>
        </w:tc>
        <w:tc>
          <w:tcPr>
            <w:tcW w:w="870" w:type="dxa"/>
          </w:tcPr>
          <w:p w14:paraId="5FD5BCE2" w14:textId="36C860F4" w:rsidR="00EA020F" w:rsidRPr="0023106C" w:rsidRDefault="00EA020F" w:rsidP="00EA020F">
            <w:pPr>
              <w:spacing w:line="360" w:lineRule="auto"/>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Water</w:t>
            </w:r>
          </w:p>
        </w:tc>
        <w:tc>
          <w:tcPr>
            <w:tcW w:w="998" w:type="dxa"/>
          </w:tcPr>
          <w:p w14:paraId="25BC1806" w14:textId="00C175BD" w:rsidR="00EA020F" w:rsidRPr="0023106C" w:rsidRDefault="00EA020F" w:rsidP="00EA020F">
            <w:pPr>
              <w:spacing w:line="360" w:lineRule="auto"/>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Fine Agg</w:t>
            </w:r>
          </w:p>
        </w:tc>
        <w:tc>
          <w:tcPr>
            <w:tcW w:w="1217" w:type="dxa"/>
          </w:tcPr>
          <w:p w14:paraId="3BF26390" w14:textId="4E7D34A5" w:rsidR="00EA020F" w:rsidRPr="0023106C" w:rsidRDefault="00EA020F" w:rsidP="00EA020F">
            <w:pPr>
              <w:spacing w:line="360" w:lineRule="auto"/>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Coarse Agg</w:t>
            </w:r>
          </w:p>
        </w:tc>
        <w:tc>
          <w:tcPr>
            <w:tcW w:w="1514" w:type="dxa"/>
          </w:tcPr>
          <w:p w14:paraId="5CE26CCB" w14:textId="5BBFC34E" w:rsidR="00EA020F" w:rsidRPr="0023106C" w:rsidRDefault="00EA020F" w:rsidP="00EA020F">
            <w:pPr>
              <w:spacing w:line="360" w:lineRule="auto"/>
              <w:rPr>
                <w:rFonts w:ascii="Times New Roman" w:eastAsia="Times New Roman" w:hAnsi="Times New Roman" w:cs="Times New Roman"/>
                <w:b/>
                <w:bCs/>
                <w:color w:val="000000"/>
                <w:kern w:val="0"/>
                <w14:ligatures w14:val="none"/>
              </w:rPr>
            </w:pPr>
            <w:r w:rsidRPr="0023106C">
              <w:rPr>
                <w:rFonts w:ascii="Times New Roman" w:eastAsia="Times New Roman" w:hAnsi="Times New Roman" w:cs="Times New Roman"/>
                <w:b/>
                <w:bCs/>
                <w:color w:val="000000"/>
                <w:kern w:val="0"/>
                <w14:ligatures w14:val="none"/>
              </w:rPr>
              <w:t>Other Agg</w:t>
            </w:r>
          </w:p>
        </w:tc>
      </w:tr>
      <w:tr w:rsidR="0023106C" w:rsidRPr="0023106C" w14:paraId="5DB7AA7A" w14:textId="77777777" w:rsidTr="0023106C">
        <w:trPr>
          <w:trHeight w:val="390"/>
        </w:trPr>
        <w:tc>
          <w:tcPr>
            <w:tcW w:w="1112" w:type="dxa"/>
          </w:tcPr>
          <w:p w14:paraId="2BB68DD8" w14:textId="1425A1F9"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SCN-1</w:t>
            </w:r>
          </w:p>
        </w:tc>
        <w:tc>
          <w:tcPr>
            <w:tcW w:w="817" w:type="dxa"/>
          </w:tcPr>
          <w:p w14:paraId="2846E726" w14:textId="42FE745A"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47B</w:t>
            </w:r>
          </w:p>
        </w:tc>
        <w:tc>
          <w:tcPr>
            <w:tcW w:w="1017" w:type="dxa"/>
          </w:tcPr>
          <w:p w14:paraId="431E5AD8" w14:textId="36C28314"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600</w:t>
            </w:r>
          </w:p>
        </w:tc>
        <w:tc>
          <w:tcPr>
            <w:tcW w:w="741" w:type="dxa"/>
          </w:tcPr>
          <w:p w14:paraId="7E8FF997" w14:textId="5F2B5CB2"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0</w:t>
            </w:r>
          </w:p>
        </w:tc>
        <w:tc>
          <w:tcPr>
            <w:tcW w:w="804" w:type="dxa"/>
          </w:tcPr>
          <w:p w14:paraId="74670FFC" w14:textId="1D900EFA"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0</w:t>
            </w:r>
          </w:p>
        </w:tc>
        <w:tc>
          <w:tcPr>
            <w:tcW w:w="831" w:type="dxa"/>
          </w:tcPr>
          <w:p w14:paraId="4CF1C05E" w14:textId="24CBAF55"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0</w:t>
            </w:r>
          </w:p>
        </w:tc>
        <w:tc>
          <w:tcPr>
            <w:tcW w:w="870" w:type="dxa"/>
          </w:tcPr>
          <w:p w14:paraId="17194022" w14:textId="62C8D073"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4</w:t>
            </w:r>
          </w:p>
        </w:tc>
        <w:tc>
          <w:tcPr>
            <w:tcW w:w="998" w:type="dxa"/>
          </w:tcPr>
          <w:p w14:paraId="3EBE1C3D" w14:textId="12C416D9"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217" w:type="dxa"/>
          </w:tcPr>
          <w:p w14:paraId="1E4E195E" w14:textId="0201355F"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514" w:type="dxa"/>
          </w:tcPr>
          <w:p w14:paraId="352FF062" w14:textId="16388AE4"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r>
      <w:tr w:rsidR="0023106C" w:rsidRPr="0023106C" w14:paraId="3F807808" w14:textId="77777777" w:rsidTr="0023106C">
        <w:trPr>
          <w:trHeight w:val="390"/>
        </w:trPr>
        <w:tc>
          <w:tcPr>
            <w:tcW w:w="1112" w:type="dxa"/>
          </w:tcPr>
          <w:p w14:paraId="7855A2A2" w14:textId="02C3832F"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SCN-2</w:t>
            </w:r>
          </w:p>
        </w:tc>
        <w:tc>
          <w:tcPr>
            <w:tcW w:w="817" w:type="dxa"/>
          </w:tcPr>
          <w:p w14:paraId="31F77095" w14:textId="3A9B5F64"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47BR</w:t>
            </w:r>
          </w:p>
        </w:tc>
        <w:tc>
          <w:tcPr>
            <w:tcW w:w="1017" w:type="dxa"/>
          </w:tcPr>
          <w:p w14:paraId="7CA6E156" w14:textId="75A75F9C"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560</w:t>
            </w:r>
          </w:p>
        </w:tc>
        <w:tc>
          <w:tcPr>
            <w:tcW w:w="741" w:type="dxa"/>
          </w:tcPr>
          <w:p w14:paraId="291F9EF3" w14:textId="310BCD2C"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40</w:t>
            </w:r>
          </w:p>
        </w:tc>
        <w:tc>
          <w:tcPr>
            <w:tcW w:w="804" w:type="dxa"/>
          </w:tcPr>
          <w:p w14:paraId="3D2189BF" w14:textId="2CCAE13C"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0</w:t>
            </w:r>
          </w:p>
        </w:tc>
        <w:tc>
          <w:tcPr>
            <w:tcW w:w="831" w:type="dxa"/>
          </w:tcPr>
          <w:p w14:paraId="15E8E6E6" w14:textId="3512133E"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0</w:t>
            </w:r>
          </w:p>
        </w:tc>
        <w:tc>
          <w:tcPr>
            <w:tcW w:w="870" w:type="dxa"/>
          </w:tcPr>
          <w:p w14:paraId="6A13E74E" w14:textId="716DA1E6"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4</w:t>
            </w:r>
          </w:p>
        </w:tc>
        <w:tc>
          <w:tcPr>
            <w:tcW w:w="998" w:type="dxa"/>
          </w:tcPr>
          <w:p w14:paraId="189D8523" w14:textId="07AD338A"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217" w:type="dxa"/>
          </w:tcPr>
          <w:p w14:paraId="6E095578" w14:textId="03693C3B"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514" w:type="dxa"/>
          </w:tcPr>
          <w:p w14:paraId="7720E0EA" w14:textId="123511D7"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r>
      <w:tr w:rsidR="0023106C" w:rsidRPr="0023106C" w14:paraId="5D1A3DB5" w14:textId="77777777" w:rsidTr="0023106C">
        <w:trPr>
          <w:trHeight w:val="390"/>
        </w:trPr>
        <w:tc>
          <w:tcPr>
            <w:tcW w:w="1112" w:type="dxa"/>
          </w:tcPr>
          <w:p w14:paraId="0F988341" w14:textId="218C5E9E"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SCN-3</w:t>
            </w:r>
          </w:p>
        </w:tc>
        <w:tc>
          <w:tcPr>
            <w:tcW w:w="817" w:type="dxa"/>
          </w:tcPr>
          <w:p w14:paraId="1B6A93AA" w14:textId="7E2F82E0"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47B</w:t>
            </w:r>
          </w:p>
        </w:tc>
        <w:tc>
          <w:tcPr>
            <w:tcW w:w="1017" w:type="dxa"/>
          </w:tcPr>
          <w:p w14:paraId="62AFA697" w14:textId="7FBCC189"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520</w:t>
            </w:r>
          </w:p>
        </w:tc>
        <w:tc>
          <w:tcPr>
            <w:tcW w:w="741" w:type="dxa"/>
          </w:tcPr>
          <w:p w14:paraId="0796D3CA" w14:textId="07598FD9"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60</w:t>
            </w:r>
          </w:p>
        </w:tc>
        <w:tc>
          <w:tcPr>
            <w:tcW w:w="804" w:type="dxa"/>
          </w:tcPr>
          <w:p w14:paraId="40479332" w14:textId="11F01AAD"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20</w:t>
            </w:r>
          </w:p>
        </w:tc>
        <w:tc>
          <w:tcPr>
            <w:tcW w:w="831" w:type="dxa"/>
          </w:tcPr>
          <w:p w14:paraId="3C4B6D6C" w14:textId="1178F051"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0</w:t>
            </w:r>
          </w:p>
        </w:tc>
        <w:tc>
          <w:tcPr>
            <w:tcW w:w="870" w:type="dxa"/>
          </w:tcPr>
          <w:p w14:paraId="3E89A7D1" w14:textId="22EEC013"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4</w:t>
            </w:r>
          </w:p>
        </w:tc>
        <w:tc>
          <w:tcPr>
            <w:tcW w:w="998" w:type="dxa"/>
          </w:tcPr>
          <w:p w14:paraId="41F7DFC2" w14:textId="1A9EEB29"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217" w:type="dxa"/>
          </w:tcPr>
          <w:p w14:paraId="5D4FDF5B" w14:textId="7738582F"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514" w:type="dxa"/>
          </w:tcPr>
          <w:p w14:paraId="5C3883A5" w14:textId="18FA23C0"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r>
      <w:tr w:rsidR="0023106C" w:rsidRPr="0023106C" w14:paraId="63E3455E" w14:textId="77777777" w:rsidTr="0023106C">
        <w:trPr>
          <w:trHeight w:val="390"/>
        </w:trPr>
        <w:tc>
          <w:tcPr>
            <w:tcW w:w="1112" w:type="dxa"/>
          </w:tcPr>
          <w:p w14:paraId="5B1FCFC7" w14:textId="2116A440"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SCN-4</w:t>
            </w:r>
          </w:p>
        </w:tc>
        <w:tc>
          <w:tcPr>
            <w:tcW w:w="817" w:type="dxa"/>
          </w:tcPr>
          <w:p w14:paraId="73BE9515" w14:textId="433C2415"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47BR</w:t>
            </w:r>
          </w:p>
        </w:tc>
        <w:tc>
          <w:tcPr>
            <w:tcW w:w="1017" w:type="dxa"/>
          </w:tcPr>
          <w:p w14:paraId="716A48A0" w14:textId="75410D2C"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580</w:t>
            </w:r>
          </w:p>
        </w:tc>
        <w:tc>
          <w:tcPr>
            <w:tcW w:w="741" w:type="dxa"/>
          </w:tcPr>
          <w:p w14:paraId="15712806" w14:textId="5BA33F21"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0</w:t>
            </w:r>
          </w:p>
        </w:tc>
        <w:tc>
          <w:tcPr>
            <w:tcW w:w="804" w:type="dxa"/>
          </w:tcPr>
          <w:p w14:paraId="3119386F" w14:textId="20B9AF47"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color w:val="000000"/>
              </w:rPr>
              <w:t>0</w:t>
            </w:r>
          </w:p>
        </w:tc>
        <w:tc>
          <w:tcPr>
            <w:tcW w:w="831" w:type="dxa"/>
          </w:tcPr>
          <w:p w14:paraId="1D028BD2" w14:textId="3559CF5D"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20</w:t>
            </w:r>
          </w:p>
        </w:tc>
        <w:tc>
          <w:tcPr>
            <w:tcW w:w="870" w:type="dxa"/>
          </w:tcPr>
          <w:p w14:paraId="52BE22AB" w14:textId="34B19DE1"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4</w:t>
            </w:r>
          </w:p>
        </w:tc>
        <w:tc>
          <w:tcPr>
            <w:tcW w:w="998" w:type="dxa"/>
          </w:tcPr>
          <w:p w14:paraId="6344D2C2" w14:textId="5DB035F2"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217" w:type="dxa"/>
          </w:tcPr>
          <w:p w14:paraId="6256581B" w14:textId="479BEF1E" w:rsidR="00EA020F" w:rsidRPr="0023106C" w:rsidRDefault="00EA020F" w:rsidP="00EA020F">
            <w:pPr>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c>
          <w:tcPr>
            <w:tcW w:w="1514" w:type="dxa"/>
          </w:tcPr>
          <w:p w14:paraId="257EF8C6" w14:textId="4F3A2A88" w:rsidR="00EA020F" w:rsidRPr="0023106C" w:rsidRDefault="00EA020F" w:rsidP="00EA020F">
            <w:pPr>
              <w:keepNext/>
              <w:spacing w:line="360" w:lineRule="auto"/>
              <w:rPr>
                <w:rFonts w:ascii="Times New Roman" w:eastAsia="Times New Roman" w:hAnsi="Times New Roman" w:cs="Times New Roman"/>
                <w:color w:val="000000"/>
                <w:kern w:val="0"/>
                <w14:ligatures w14:val="none"/>
              </w:rPr>
            </w:pPr>
            <w:r w:rsidRPr="0023106C">
              <w:rPr>
                <w:rFonts w:ascii="Times New Roman" w:eastAsia="Times New Roman" w:hAnsi="Times New Roman" w:cs="Times New Roman"/>
                <w:color w:val="000000"/>
                <w:kern w:val="0"/>
                <w14:ligatures w14:val="none"/>
              </w:rPr>
              <w:t>17</w:t>
            </w:r>
          </w:p>
        </w:tc>
      </w:tr>
    </w:tbl>
    <w:p w14:paraId="03C108CA" w14:textId="5FEC8CFA" w:rsidR="001C2670" w:rsidRPr="0023106C" w:rsidRDefault="00EA020F" w:rsidP="00EA020F">
      <w:pPr>
        <w:pStyle w:val="Caption"/>
        <w:rPr>
          <w:rFonts w:ascii="Times New Roman" w:hAnsi="Times New Roman" w:cs="Times New Roman"/>
        </w:rPr>
      </w:pPr>
      <w:r w:rsidRPr="0023106C">
        <w:rPr>
          <w:rFonts w:ascii="Times New Roman" w:hAnsi="Times New Roman" w:cs="Times New Roman"/>
        </w:rPr>
        <w:t xml:space="preserve">Figure </w:t>
      </w:r>
      <w:r w:rsidRPr="0023106C">
        <w:rPr>
          <w:rFonts w:ascii="Times New Roman" w:hAnsi="Times New Roman" w:cs="Times New Roman"/>
        </w:rPr>
        <w:fldChar w:fldCharType="begin"/>
      </w:r>
      <w:r w:rsidRPr="0023106C">
        <w:rPr>
          <w:rFonts w:ascii="Times New Roman" w:hAnsi="Times New Roman" w:cs="Times New Roman"/>
        </w:rPr>
        <w:instrText xml:space="preserve"> SEQ Figure \* ARABIC </w:instrText>
      </w:r>
      <w:r w:rsidRPr="0023106C">
        <w:rPr>
          <w:rFonts w:ascii="Times New Roman" w:hAnsi="Times New Roman" w:cs="Times New Roman"/>
        </w:rPr>
        <w:fldChar w:fldCharType="separate"/>
      </w:r>
      <w:r w:rsidRPr="0023106C">
        <w:rPr>
          <w:rFonts w:ascii="Times New Roman" w:hAnsi="Times New Roman" w:cs="Times New Roman"/>
          <w:noProof/>
        </w:rPr>
        <w:t>3</w:t>
      </w:r>
      <w:r w:rsidRPr="0023106C">
        <w:rPr>
          <w:rFonts w:ascii="Times New Roman" w:hAnsi="Times New Roman" w:cs="Times New Roman"/>
        </w:rPr>
        <w:fldChar w:fldCharType="end"/>
      </w:r>
      <w:r w:rsidRPr="0023106C">
        <w:rPr>
          <w:rFonts w:ascii="Times New Roman" w:hAnsi="Times New Roman" w:cs="Times New Roman"/>
        </w:rPr>
        <w:t>: Final Output Weight Summary</w:t>
      </w:r>
    </w:p>
    <w:p w14:paraId="001BCC1C" w14:textId="7F62BC6C" w:rsidR="00EA020F" w:rsidRPr="0023106C" w:rsidRDefault="004437C8" w:rsidP="00EA020F">
      <w:pPr>
        <w:rPr>
          <w:rFonts w:ascii="Times New Roman" w:hAnsi="Times New Roman" w:cs="Times New Roman"/>
          <w:color w:val="000000"/>
        </w:rPr>
      </w:pPr>
      <w:r w:rsidRPr="0023106C">
        <w:rPr>
          <w:rFonts w:ascii="Times New Roman" w:hAnsi="Times New Roman" w:cs="Times New Roman"/>
          <w:color w:val="000000"/>
        </w:rPr>
        <w:t>SCN-1 represents a traditional NDOT Class 47B concrete mix relying entirely on Portland cement as the binder. The moderate water–cement ratio provides a balance between strength and workability, while 5% air content provides freeze-thaw durability suitable for Nebraska climates.</w:t>
      </w:r>
      <w:r w:rsidRPr="0023106C">
        <w:rPr>
          <w:rFonts w:ascii="Times New Roman" w:hAnsi="Times New Roman" w:cs="Times New Roman"/>
          <w:color w:val="000000"/>
        </w:rPr>
        <w:t xml:space="preserve"> </w:t>
      </w:r>
      <w:r w:rsidRPr="0023106C">
        <w:rPr>
          <w:rFonts w:ascii="Times New Roman" w:hAnsi="Times New Roman" w:cs="Times New Roman"/>
          <w:color w:val="000000"/>
        </w:rPr>
        <w:t>This mix serves as a baseline for comparing sustainability, strength potential, and durability improvements in the other scenarios.</w:t>
      </w:r>
    </w:p>
    <w:p w14:paraId="5ADB04ED" w14:textId="1C352D9A" w:rsidR="004437C8" w:rsidRPr="0023106C" w:rsidRDefault="004437C8" w:rsidP="00EA020F">
      <w:pPr>
        <w:rPr>
          <w:rFonts w:ascii="Times New Roman" w:hAnsi="Times New Roman" w:cs="Times New Roman"/>
          <w:color w:val="000000"/>
        </w:rPr>
      </w:pPr>
      <w:r w:rsidRPr="0023106C">
        <w:rPr>
          <w:rFonts w:ascii="Times New Roman" w:hAnsi="Times New Roman" w:cs="Times New Roman"/>
          <w:color w:val="000000"/>
        </w:rPr>
        <w:t xml:space="preserve">SCN-2 partially replaces Portland cement with fly ash while slightly reducing the water–cement ratio. The addition of 40 </w:t>
      </w:r>
      <w:proofErr w:type="spellStart"/>
      <w:r w:rsidRPr="0023106C">
        <w:rPr>
          <w:rFonts w:ascii="Times New Roman" w:hAnsi="Times New Roman" w:cs="Times New Roman"/>
          <w:color w:val="000000"/>
        </w:rPr>
        <w:t>lb</w:t>
      </w:r>
      <w:proofErr w:type="spellEnd"/>
      <w:r w:rsidRPr="0023106C">
        <w:rPr>
          <w:rFonts w:ascii="Times New Roman" w:hAnsi="Times New Roman" w:cs="Times New Roman"/>
          <w:color w:val="000000"/>
        </w:rPr>
        <w:t>/yd³ of fly ash lowers the required cement content and improves long-term durability.</w:t>
      </w:r>
      <w:r w:rsidR="002871BE" w:rsidRPr="0023106C">
        <w:rPr>
          <w:rFonts w:ascii="Times New Roman" w:hAnsi="Times New Roman" w:cs="Times New Roman"/>
          <w:color w:val="000000"/>
        </w:rPr>
        <w:t xml:space="preserve"> </w:t>
      </w:r>
      <w:r w:rsidR="002871BE" w:rsidRPr="0023106C">
        <w:rPr>
          <w:rFonts w:ascii="Times New Roman" w:hAnsi="Times New Roman" w:cs="Times New Roman"/>
          <w:color w:val="000000"/>
        </w:rPr>
        <w:t xml:space="preserve">The lower w/c indicates a higher potential compressive </w:t>
      </w:r>
      <w:r w:rsidR="002871BE" w:rsidRPr="0023106C">
        <w:rPr>
          <w:rFonts w:ascii="Times New Roman" w:hAnsi="Times New Roman" w:cs="Times New Roman"/>
          <w:color w:val="000000"/>
        </w:rPr>
        <w:t>strength, and t</w:t>
      </w:r>
      <w:r w:rsidR="002871BE" w:rsidRPr="0023106C">
        <w:rPr>
          <w:rFonts w:ascii="Times New Roman" w:hAnsi="Times New Roman" w:cs="Times New Roman"/>
          <w:color w:val="000000"/>
        </w:rPr>
        <w:t>he slightly higher air content enhances freeze-thaw resistance, making this mix well suited for pavement applications.</w:t>
      </w:r>
    </w:p>
    <w:p w14:paraId="242C028D" w14:textId="1E87A469" w:rsidR="004437C8" w:rsidRPr="0023106C" w:rsidRDefault="004437C8" w:rsidP="00EA020F">
      <w:pPr>
        <w:rPr>
          <w:rFonts w:ascii="Times New Roman" w:hAnsi="Times New Roman" w:cs="Times New Roman"/>
        </w:rPr>
      </w:pPr>
      <w:r w:rsidRPr="0023106C">
        <w:rPr>
          <w:rFonts w:ascii="Times New Roman" w:hAnsi="Times New Roman" w:cs="Times New Roman"/>
          <w:color w:val="000000"/>
        </w:rPr>
        <w:t>SCN-3 introduces a more advanced SCM system by incorporating both fly ash and silica fume. This combination significantly alters the paste microstructure.</w:t>
      </w:r>
      <w:r w:rsidRPr="0023106C">
        <w:rPr>
          <w:rFonts w:ascii="Times New Roman" w:hAnsi="Times New Roman" w:cs="Times New Roman"/>
          <w:color w:val="000000"/>
        </w:rPr>
        <w:t xml:space="preserve"> </w:t>
      </w:r>
      <w:r w:rsidRPr="0023106C">
        <w:rPr>
          <w:rFonts w:ascii="Times New Roman" w:hAnsi="Times New Roman" w:cs="Times New Roman"/>
          <w:color w:val="000000"/>
        </w:rPr>
        <w:t>The w/c ratio of 0.40 is the lowest among all four scenarios, indicating the highest compressive strength potential.</w:t>
      </w:r>
      <w:r w:rsidRPr="0023106C">
        <w:rPr>
          <w:rFonts w:ascii="Times New Roman" w:hAnsi="Times New Roman" w:cs="Times New Roman"/>
          <w:color w:val="000000"/>
        </w:rPr>
        <w:t xml:space="preserve"> </w:t>
      </w:r>
      <w:r w:rsidRPr="0023106C">
        <w:rPr>
          <w:rFonts w:ascii="Times New Roman" w:hAnsi="Times New Roman" w:cs="Times New Roman"/>
          <w:color w:val="000000"/>
        </w:rPr>
        <w:t>This mix would be appropriate for high-performance structural elements, bridge decks, or environments with aggressive exposure conditions.</w:t>
      </w:r>
    </w:p>
    <w:p w14:paraId="5BBC0E49" w14:textId="69FE44D9" w:rsidR="004437C8" w:rsidRPr="0023106C" w:rsidRDefault="004437C8" w:rsidP="00EA020F">
      <w:pPr>
        <w:rPr>
          <w:rFonts w:ascii="Times New Roman" w:hAnsi="Times New Roman" w:cs="Times New Roman"/>
        </w:rPr>
      </w:pPr>
      <w:r w:rsidRPr="0023106C">
        <w:rPr>
          <w:rFonts w:ascii="Times New Roman" w:hAnsi="Times New Roman" w:cs="Times New Roman"/>
          <w:color w:val="000000"/>
        </w:rPr>
        <w:t>SCN-4 increases the water–cement ratio to 0.47, which generally reduces compressive strength but improves workability. The lower air content slightly reduces freeze-thaw resistance relative to other scenarios.</w:t>
      </w:r>
      <w:r w:rsidRPr="0023106C">
        <w:rPr>
          <w:rFonts w:ascii="Times New Roman" w:hAnsi="Times New Roman" w:cs="Times New Roman"/>
          <w:color w:val="000000"/>
        </w:rPr>
        <w:t xml:space="preserve"> </w:t>
      </w:r>
      <w:r w:rsidRPr="0023106C">
        <w:rPr>
          <w:rFonts w:ascii="Times New Roman" w:hAnsi="Times New Roman" w:cs="Times New Roman"/>
          <w:color w:val="000000"/>
        </w:rPr>
        <w:t>This mix may be suitable for applications where workability and ease of placement are prioritized over maximum structural performance.</w:t>
      </w:r>
    </w:p>
    <w:p w14:paraId="0A3C3E2F" w14:textId="64C95C54" w:rsidR="002871BE" w:rsidRPr="0023106C" w:rsidRDefault="002871BE" w:rsidP="002871BE">
      <w:pPr>
        <w:pStyle w:val="NormalWeb"/>
        <w:rPr>
          <w:b/>
          <w:bCs/>
        </w:rPr>
      </w:pPr>
      <w:r w:rsidRPr="0023106C">
        <w:t xml:space="preserve">Overall, </w:t>
      </w:r>
      <w:r w:rsidRPr="0023106C">
        <w:rPr>
          <w:rStyle w:val="Strong"/>
          <w:rFonts w:eastAsiaTheme="majorEastAsia"/>
          <w:b w:val="0"/>
          <w:bCs w:val="0"/>
        </w:rPr>
        <w:t>SCN-3 provides the highest technical performance potential</w:t>
      </w:r>
      <w:r w:rsidRPr="0023106C">
        <w:rPr>
          <w:b/>
          <w:bCs/>
        </w:rPr>
        <w:t>,</w:t>
      </w:r>
      <w:r w:rsidRPr="0023106C">
        <w:rPr>
          <w:b/>
          <w:bCs/>
        </w:rPr>
        <w:t xml:space="preserve"> </w:t>
      </w:r>
      <w:r w:rsidRPr="0023106C">
        <w:rPr>
          <w:rStyle w:val="Strong"/>
          <w:rFonts w:eastAsiaTheme="majorEastAsia"/>
          <w:b w:val="0"/>
          <w:bCs w:val="0"/>
        </w:rPr>
        <w:t>SCN-2 offers the best balance of sustainability and durability</w:t>
      </w:r>
      <w:r w:rsidRPr="0023106C">
        <w:rPr>
          <w:b/>
          <w:bCs/>
        </w:rPr>
        <w:t>,</w:t>
      </w:r>
      <w:r w:rsidRPr="0023106C">
        <w:rPr>
          <w:b/>
          <w:bCs/>
        </w:rPr>
        <w:t xml:space="preserve"> </w:t>
      </w:r>
      <w:r w:rsidRPr="0023106C">
        <w:rPr>
          <w:rStyle w:val="Strong"/>
          <w:rFonts w:eastAsiaTheme="majorEastAsia"/>
          <w:b w:val="0"/>
          <w:bCs w:val="0"/>
        </w:rPr>
        <w:t>SCN-1 serves as a reliable baseline</w:t>
      </w:r>
      <w:r w:rsidRPr="0023106C">
        <w:rPr>
          <w:b/>
          <w:bCs/>
        </w:rPr>
        <w:t xml:space="preserve">, </w:t>
      </w:r>
      <w:r w:rsidRPr="0023106C">
        <w:t>and</w:t>
      </w:r>
      <w:r w:rsidRPr="0023106C">
        <w:rPr>
          <w:b/>
          <w:bCs/>
        </w:rPr>
        <w:t xml:space="preserve"> </w:t>
      </w:r>
      <w:r w:rsidRPr="0023106C">
        <w:rPr>
          <w:rStyle w:val="Strong"/>
          <w:rFonts w:eastAsiaTheme="majorEastAsia"/>
          <w:b w:val="0"/>
          <w:bCs w:val="0"/>
        </w:rPr>
        <w:t>SCN-4 prioritizes workability over strength optimization</w:t>
      </w:r>
      <w:r w:rsidRPr="0023106C">
        <w:rPr>
          <w:b/>
          <w:bCs/>
        </w:rPr>
        <w:t>.</w:t>
      </w:r>
    </w:p>
    <w:p w14:paraId="41824F5D" w14:textId="1BACCEB3" w:rsidR="00EA020F" w:rsidRPr="0023106C" w:rsidRDefault="002871BE" w:rsidP="00EA020F">
      <w:pPr>
        <w:rPr>
          <w:rFonts w:ascii="Times New Roman" w:hAnsi="Times New Roman" w:cs="Times New Roman"/>
        </w:rPr>
      </w:pPr>
      <w:r w:rsidRPr="0023106C">
        <w:rPr>
          <w:rFonts w:ascii="Times New Roman" w:hAnsi="Times New Roman" w:cs="Times New Roman"/>
        </w:rPr>
        <w:t xml:space="preserve">From the Final output weight summary (figure 3) </w:t>
      </w:r>
      <w:r w:rsidRPr="0023106C">
        <w:rPr>
          <w:rFonts w:ascii="Times New Roman" w:hAnsi="Times New Roman" w:cs="Times New Roman"/>
          <w:color w:val="000000"/>
        </w:rPr>
        <w:t>a</w:t>
      </w:r>
      <w:r w:rsidR="00EA020F" w:rsidRPr="0023106C">
        <w:rPr>
          <w:rFonts w:ascii="Times New Roman" w:hAnsi="Times New Roman" w:cs="Times New Roman"/>
          <w:color w:val="000000"/>
        </w:rPr>
        <w:t>cross the four scenarios, the</w:t>
      </w:r>
      <w:r w:rsidR="00EA020F" w:rsidRPr="0023106C">
        <w:rPr>
          <w:rStyle w:val="apple-converted-space"/>
          <w:rFonts w:ascii="Times New Roman" w:hAnsi="Times New Roman" w:cs="Times New Roman"/>
          <w:color w:val="000000"/>
        </w:rPr>
        <w:t> </w:t>
      </w:r>
      <w:r w:rsidR="00EA020F" w:rsidRPr="0023106C">
        <w:rPr>
          <w:rStyle w:val="Strong"/>
          <w:rFonts w:ascii="Times New Roman" w:hAnsi="Times New Roman" w:cs="Times New Roman"/>
          <w:b w:val="0"/>
          <w:bCs w:val="0"/>
          <w:color w:val="000000"/>
        </w:rPr>
        <w:t>cementitious breakdown changes as expected</w:t>
      </w:r>
      <w:r w:rsidR="00EA020F" w:rsidRPr="0023106C">
        <w:rPr>
          <w:rStyle w:val="apple-converted-space"/>
          <w:rFonts w:ascii="Times New Roman" w:hAnsi="Times New Roman" w:cs="Times New Roman"/>
          <w:color w:val="000000"/>
        </w:rPr>
        <w:t> </w:t>
      </w:r>
      <w:r w:rsidR="00EA020F" w:rsidRPr="0023106C">
        <w:rPr>
          <w:rFonts w:ascii="Times New Roman" w:hAnsi="Times New Roman" w:cs="Times New Roman"/>
          <w:color w:val="000000"/>
        </w:rPr>
        <w:t>based on the inputs</w:t>
      </w:r>
      <w:r w:rsidR="00EA020F" w:rsidRPr="0023106C">
        <w:rPr>
          <w:rFonts w:ascii="Times New Roman" w:hAnsi="Times New Roman" w:cs="Times New Roman"/>
          <w:color w:val="000000"/>
        </w:rPr>
        <w:t xml:space="preserve">. </w:t>
      </w:r>
      <w:r w:rsidR="00EA020F" w:rsidRPr="0023106C">
        <w:rPr>
          <w:rFonts w:ascii="Times New Roman" w:hAnsi="Times New Roman" w:cs="Times New Roman"/>
          <w:color w:val="000000"/>
        </w:rPr>
        <w:t>This confirms the program is correctly passing scenario inputs through to the final reporting section and producing consistent formatted summaries for each design</w:t>
      </w:r>
      <w:r w:rsidR="00EA020F" w:rsidRPr="0023106C">
        <w:rPr>
          <w:rFonts w:ascii="Times New Roman" w:hAnsi="Times New Roman" w:cs="Times New Roman"/>
          <w:color w:val="000000"/>
        </w:rPr>
        <w:t xml:space="preserve">. </w:t>
      </w:r>
      <w:r w:rsidR="00486537" w:rsidRPr="0023106C">
        <w:rPr>
          <w:rFonts w:ascii="Times New Roman" w:hAnsi="Times New Roman" w:cs="Times New Roman"/>
          <w:color w:val="000000"/>
        </w:rPr>
        <w:t xml:space="preserve">The </w:t>
      </w:r>
      <w:r w:rsidR="004437C8" w:rsidRPr="0023106C">
        <w:rPr>
          <w:rStyle w:val="Strong"/>
          <w:rFonts w:ascii="Times New Roman" w:hAnsi="Times New Roman" w:cs="Times New Roman"/>
          <w:b w:val="0"/>
          <w:bCs w:val="0"/>
          <w:color w:val="000000"/>
        </w:rPr>
        <w:t>water and aggregate weights are identical across all four scenarios</w:t>
      </w:r>
      <w:r w:rsidR="004437C8" w:rsidRPr="0023106C">
        <w:rPr>
          <w:rStyle w:val="Strong"/>
          <w:rFonts w:ascii="Times New Roman" w:hAnsi="Times New Roman" w:cs="Times New Roman"/>
          <w:b w:val="0"/>
          <w:bCs w:val="0"/>
          <w:color w:val="000000"/>
        </w:rPr>
        <w:t xml:space="preserve"> with water being 4lb and all aggregates being 17lbs each. </w:t>
      </w:r>
    </w:p>
    <w:p w14:paraId="50BEFADC" w14:textId="77777777" w:rsidR="00486537" w:rsidRPr="0023106C" w:rsidRDefault="00486537" w:rsidP="00486537">
      <w:pPr>
        <w:spacing w:after="0" w:line="360" w:lineRule="auto"/>
        <w:rPr>
          <w:rFonts w:ascii="Times New Roman" w:hAnsi="Times New Roman" w:cs="Times New Roman"/>
        </w:rPr>
      </w:pPr>
    </w:p>
    <w:p w14:paraId="125B5795" w14:textId="23E2D981" w:rsidR="00B07240" w:rsidRPr="0023106C" w:rsidRDefault="00957E32" w:rsidP="00486537">
      <w:pPr>
        <w:spacing w:after="0" w:line="360" w:lineRule="auto"/>
        <w:rPr>
          <w:rFonts w:ascii="Times New Roman" w:eastAsia="Times New Roman" w:hAnsi="Times New Roman" w:cs="Times New Roman"/>
          <w:color w:val="000000"/>
          <w:kern w:val="0"/>
          <w14:ligatures w14:val="none"/>
        </w:rPr>
      </w:pPr>
      <w:r w:rsidRPr="0023106C">
        <w:rPr>
          <w:rFonts w:ascii="Times New Roman" w:hAnsi="Times New Roman" w:cs="Times New Roman"/>
          <w:b/>
          <w:bCs/>
        </w:rPr>
        <w:lastRenderedPageBreak/>
        <w:t>References</w:t>
      </w:r>
    </w:p>
    <w:p w14:paraId="6C05B6DC" w14:textId="77777777" w:rsidR="00486537" w:rsidRPr="0023106C" w:rsidRDefault="00486537" w:rsidP="00486537">
      <w:pPr>
        <w:pStyle w:val="NormalWeb"/>
        <w:spacing w:before="0" w:beforeAutospacing="0" w:after="0" w:afterAutospacing="0" w:line="480" w:lineRule="atLeast"/>
        <w:ind w:left="720" w:hanging="720"/>
        <w:rPr>
          <w:color w:val="000000"/>
        </w:rPr>
      </w:pPr>
      <w:r w:rsidRPr="0023106C">
        <w:rPr>
          <w:color w:val="000000"/>
        </w:rPr>
        <w:t>Barrett.</w:t>
      </w:r>
      <w:r w:rsidRPr="0023106C">
        <w:rPr>
          <w:rStyle w:val="apple-converted-space"/>
          <w:rFonts w:eastAsiaTheme="majorEastAsia"/>
          <w:color w:val="000000"/>
        </w:rPr>
        <w:t> </w:t>
      </w:r>
      <w:r w:rsidRPr="0023106C">
        <w:rPr>
          <w:i/>
          <w:iCs/>
          <w:color w:val="000000"/>
        </w:rPr>
        <w:t>NDOT Pavement Design Manual</w:t>
      </w:r>
      <w:r w:rsidRPr="0023106C">
        <w:rPr>
          <w:color w:val="000000"/>
        </w:rPr>
        <w:t>. 2018, pp. 2–9,</w:t>
      </w:r>
      <w:r w:rsidRPr="0023106C">
        <w:rPr>
          <w:rStyle w:val="apple-converted-space"/>
          <w:rFonts w:eastAsiaTheme="majorEastAsia"/>
          <w:color w:val="000000"/>
        </w:rPr>
        <w:t> </w:t>
      </w:r>
      <w:r w:rsidRPr="0023106C">
        <w:rPr>
          <w:rStyle w:val="url"/>
          <w:rFonts w:eastAsiaTheme="majorEastAsia"/>
          <w:color w:val="000000"/>
        </w:rPr>
        <w:t>dot.nebraska.gov/media/</w:t>
      </w:r>
      <w:proofErr w:type="spellStart"/>
      <w:r w:rsidRPr="0023106C">
        <w:rPr>
          <w:rStyle w:val="url"/>
          <w:rFonts w:eastAsiaTheme="majorEastAsia"/>
          <w:color w:val="000000"/>
        </w:rPr>
        <w:t>jjwpyezr</w:t>
      </w:r>
      <w:proofErr w:type="spellEnd"/>
      <w:r w:rsidRPr="0023106C">
        <w:rPr>
          <w:rStyle w:val="url"/>
          <w:rFonts w:eastAsiaTheme="majorEastAsia"/>
          <w:color w:val="000000"/>
        </w:rPr>
        <w:t>/pavdesignmanual.pdf</w:t>
      </w:r>
      <w:r w:rsidRPr="0023106C">
        <w:rPr>
          <w:color w:val="000000"/>
        </w:rPr>
        <w:t>.</w:t>
      </w:r>
    </w:p>
    <w:p w14:paraId="7666D178" w14:textId="77777777" w:rsidR="00486537" w:rsidRPr="0023106C" w:rsidRDefault="00486537" w:rsidP="00486537">
      <w:pPr>
        <w:pStyle w:val="NormalWeb"/>
        <w:spacing w:before="0" w:beforeAutospacing="0" w:after="0" w:afterAutospacing="0" w:line="480" w:lineRule="atLeast"/>
        <w:ind w:left="720" w:hanging="720"/>
        <w:rPr>
          <w:color w:val="000000"/>
        </w:rPr>
      </w:pPr>
    </w:p>
    <w:p w14:paraId="55A7A4D5" w14:textId="77777777" w:rsidR="00486537" w:rsidRPr="0023106C" w:rsidRDefault="00486537" w:rsidP="00486537">
      <w:pPr>
        <w:pStyle w:val="NormalWeb"/>
        <w:spacing w:before="0" w:beforeAutospacing="0" w:after="0" w:afterAutospacing="0" w:line="480" w:lineRule="atLeast"/>
        <w:ind w:left="720" w:hanging="720"/>
        <w:rPr>
          <w:color w:val="000000"/>
        </w:rPr>
      </w:pPr>
      <w:r w:rsidRPr="0023106C">
        <w:rPr>
          <w:color w:val="000000"/>
        </w:rPr>
        <w:t>Oie, Claude. “ADDENDUM NO. 3 AND ELECTRONIC BIDDING SYSTEM AMENDMENT NO. 1.”</w:t>
      </w:r>
      <w:r w:rsidRPr="0023106C">
        <w:rPr>
          <w:rStyle w:val="apple-converted-space"/>
          <w:rFonts w:eastAsiaTheme="majorEastAsia"/>
          <w:color w:val="000000"/>
        </w:rPr>
        <w:t> </w:t>
      </w:r>
      <w:r w:rsidRPr="0023106C">
        <w:rPr>
          <w:i/>
          <w:iCs/>
          <w:color w:val="000000"/>
        </w:rPr>
        <w:t>STATE OF NEBRASKA DEPARTMENT OF ROADS</w:t>
      </w:r>
      <w:r w:rsidRPr="0023106C">
        <w:rPr>
          <w:color w:val="000000"/>
        </w:rPr>
        <w:t>, 12 Mar. 2002,</w:t>
      </w:r>
      <w:r w:rsidRPr="0023106C">
        <w:rPr>
          <w:rStyle w:val="apple-converted-space"/>
          <w:rFonts w:eastAsiaTheme="majorEastAsia"/>
          <w:color w:val="000000"/>
        </w:rPr>
        <w:t> </w:t>
      </w:r>
      <w:r w:rsidRPr="0023106C">
        <w:rPr>
          <w:rStyle w:val="url"/>
          <w:rFonts w:eastAsiaTheme="majorEastAsia"/>
          <w:color w:val="000000"/>
        </w:rPr>
        <w:t>www.nebraskatransportation.org/letting/c-let-020314/f07ad303.pdf</w:t>
      </w:r>
      <w:r w:rsidRPr="0023106C">
        <w:rPr>
          <w:color w:val="000000"/>
        </w:rPr>
        <w:t>.</w:t>
      </w:r>
    </w:p>
    <w:p w14:paraId="3C0E0C7C" w14:textId="77777777" w:rsidR="00486537" w:rsidRPr="0023106C" w:rsidRDefault="00486537" w:rsidP="00957E32">
      <w:pPr>
        <w:rPr>
          <w:rFonts w:ascii="Times New Roman" w:hAnsi="Times New Roman" w:cs="Times New Roman"/>
          <w:b/>
          <w:bCs/>
        </w:rPr>
      </w:pPr>
    </w:p>
    <w:p w14:paraId="41A2E5F5" w14:textId="77777777" w:rsidR="00486537" w:rsidRPr="0023106C" w:rsidRDefault="00486537" w:rsidP="00486537">
      <w:pPr>
        <w:pStyle w:val="NormalWeb"/>
        <w:spacing w:before="0" w:beforeAutospacing="0" w:after="0" w:afterAutospacing="0" w:line="480" w:lineRule="atLeast"/>
        <w:ind w:left="720" w:hanging="720"/>
        <w:rPr>
          <w:color w:val="000000"/>
        </w:rPr>
      </w:pPr>
      <w:r w:rsidRPr="0023106C">
        <w:rPr>
          <w:i/>
          <w:iCs/>
          <w:color w:val="000000"/>
        </w:rPr>
        <w:t>Materials - NDOT</w:t>
      </w:r>
      <w:r w:rsidRPr="0023106C">
        <w:rPr>
          <w:color w:val="000000"/>
        </w:rPr>
        <w:t>.</w:t>
      </w:r>
      <w:r w:rsidRPr="0023106C">
        <w:rPr>
          <w:rStyle w:val="apple-converted-space"/>
          <w:rFonts w:eastAsiaTheme="majorEastAsia"/>
          <w:color w:val="000000"/>
        </w:rPr>
        <w:t> </w:t>
      </w:r>
      <w:r w:rsidRPr="0023106C">
        <w:rPr>
          <w:rStyle w:val="url"/>
          <w:rFonts w:eastAsiaTheme="majorEastAsia"/>
          <w:color w:val="000000"/>
        </w:rPr>
        <w:t>dot.nebraska.gov/business-center/materials</w:t>
      </w:r>
      <w:r w:rsidRPr="0023106C">
        <w:rPr>
          <w:color w:val="000000"/>
        </w:rPr>
        <w:t>.</w:t>
      </w:r>
    </w:p>
    <w:p w14:paraId="18B4B068" w14:textId="77777777" w:rsidR="00486537" w:rsidRPr="0023106C" w:rsidRDefault="00486537" w:rsidP="00957E32">
      <w:pPr>
        <w:rPr>
          <w:rFonts w:ascii="Times New Roman" w:hAnsi="Times New Roman" w:cs="Times New Roman"/>
          <w:b/>
          <w:bCs/>
        </w:rPr>
      </w:pPr>
    </w:p>
    <w:p w14:paraId="109ED6BA" w14:textId="0E64F9B0" w:rsidR="00957E32" w:rsidRPr="0023106C" w:rsidRDefault="00957E32" w:rsidP="00486537">
      <w:pPr>
        <w:rPr>
          <w:rFonts w:ascii="Times New Roman" w:eastAsia="Aptos" w:hAnsi="Times New Roman" w:cs="Times New Roman"/>
          <w:color w:val="000000" w:themeColor="text1"/>
        </w:rPr>
      </w:pPr>
      <w:r w:rsidRPr="0023106C">
        <w:rPr>
          <w:rFonts w:ascii="Times New Roman" w:eastAsia="Aptos" w:hAnsi="Times New Roman" w:cs="Times New Roman"/>
          <w:color w:val="000000" w:themeColor="text1"/>
        </w:rPr>
        <w:t>Janssen, C</w:t>
      </w:r>
      <w:r w:rsidR="00486537" w:rsidRPr="0023106C">
        <w:rPr>
          <w:rFonts w:ascii="Times New Roman" w:eastAsia="Aptos" w:hAnsi="Times New Roman" w:cs="Times New Roman"/>
          <w:color w:val="000000" w:themeColor="text1"/>
        </w:rPr>
        <w:t>, Moore, L, Meismer, A</w:t>
      </w:r>
      <w:r w:rsidRPr="0023106C">
        <w:rPr>
          <w:rFonts w:ascii="Times New Roman" w:eastAsia="Aptos" w:hAnsi="Times New Roman" w:cs="Times New Roman"/>
          <w:color w:val="000000" w:themeColor="text1"/>
        </w:rPr>
        <w:t xml:space="preserve">. (2026). </w:t>
      </w:r>
      <w:r w:rsidRPr="0023106C">
        <w:rPr>
          <w:rFonts w:ascii="Times New Roman" w:eastAsia="Aptos" w:hAnsi="Times New Roman" w:cs="Times New Roman"/>
          <w:i/>
          <w:iCs/>
          <w:color w:val="000000" w:themeColor="text1"/>
        </w:rPr>
        <w:t xml:space="preserve">CIVE202 Spring 2026 Project </w:t>
      </w:r>
      <w:r w:rsidR="00486537" w:rsidRPr="0023106C">
        <w:rPr>
          <w:rFonts w:ascii="Times New Roman" w:eastAsia="Aptos" w:hAnsi="Times New Roman" w:cs="Times New Roman"/>
          <w:i/>
          <w:iCs/>
          <w:color w:val="000000" w:themeColor="text1"/>
        </w:rPr>
        <w:t>2</w:t>
      </w:r>
      <w:r w:rsidRPr="0023106C">
        <w:rPr>
          <w:rFonts w:ascii="Times New Roman" w:eastAsia="Aptos" w:hAnsi="Times New Roman" w:cs="Times New Roman"/>
          <w:i/>
          <w:iCs/>
          <w:color w:val="000000" w:themeColor="text1"/>
        </w:rPr>
        <w:t xml:space="preserve"> Python Code Notebook.</w:t>
      </w:r>
      <w:r w:rsidRPr="0023106C">
        <w:rPr>
          <w:rFonts w:ascii="Times New Roman" w:eastAsia="Aptos" w:hAnsi="Times New Roman" w:cs="Times New Roman"/>
          <w:color w:val="000000" w:themeColor="text1"/>
        </w:rPr>
        <w:t xml:space="preserve"> Submitted as part of course deliverables.</w:t>
      </w:r>
    </w:p>
    <w:p w14:paraId="62701299" w14:textId="77777777" w:rsidR="00486537" w:rsidRPr="0023106C" w:rsidRDefault="00486537" w:rsidP="00957E32">
      <w:pPr>
        <w:rPr>
          <w:rFonts w:ascii="Times New Roman" w:eastAsia="Aptos" w:hAnsi="Times New Roman" w:cs="Times New Roman"/>
          <w:color w:val="000000" w:themeColor="text1"/>
        </w:rPr>
      </w:pPr>
    </w:p>
    <w:p w14:paraId="4562E63C" w14:textId="58E7FB49" w:rsidR="00486537" w:rsidRPr="0023106C" w:rsidRDefault="00486537" w:rsidP="00957E32">
      <w:pPr>
        <w:rPr>
          <w:rFonts w:ascii="Times New Roman" w:eastAsia="Aptos" w:hAnsi="Times New Roman" w:cs="Times New Roman"/>
          <w:color w:val="000000" w:themeColor="text1"/>
        </w:rPr>
      </w:pPr>
      <w:r w:rsidRPr="0023106C">
        <w:rPr>
          <w:rFonts w:ascii="Times New Roman" w:eastAsia="Aptos" w:hAnsi="Times New Roman" w:cs="Times New Roman"/>
          <w:color w:val="000000" w:themeColor="text1"/>
        </w:rPr>
        <w:t>NDOT Mix Design.xlsx</w:t>
      </w:r>
    </w:p>
    <w:p w14:paraId="34618A1B" w14:textId="77777777" w:rsidR="00486537" w:rsidRDefault="00486537" w:rsidP="00957E32"/>
    <w:p w14:paraId="6A13B1F4" w14:textId="77777777" w:rsidR="00957E32" w:rsidRPr="00957E32" w:rsidRDefault="00957E32" w:rsidP="00957E32">
      <w:pPr>
        <w:rPr>
          <w:rFonts w:ascii="Times New Roman" w:hAnsi="Times New Roman" w:cs="Times New Roman"/>
          <w:b/>
          <w:bCs/>
        </w:rPr>
      </w:pPr>
    </w:p>
    <w:sectPr w:rsidR="00957E32" w:rsidRPr="00957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D8"/>
    <w:rsid w:val="00080CB0"/>
    <w:rsid w:val="00085849"/>
    <w:rsid w:val="000D14E6"/>
    <w:rsid w:val="001C2670"/>
    <w:rsid w:val="0023106C"/>
    <w:rsid w:val="00255D78"/>
    <w:rsid w:val="002871BE"/>
    <w:rsid w:val="002F4033"/>
    <w:rsid w:val="004437C8"/>
    <w:rsid w:val="00486537"/>
    <w:rsid w:val="006149F1"/>
    <w:rsid w:val="009572D8"/>
    <w:rsid w:val="00957E32"/>
    <w:rsid w:val="009B4964"/>
    <w:rsid w:val="00B07240"/>
    <w:rsid w:val="00E31AD4"/>
    <w:rsid w:val="00EA0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6B1FB1"/>
  <w15:chartTrackingRefBased/>
  <w15:docId w15:val="{A7E66E6D-975F-5B47-8968-0DF4B648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B0"/>
  </w:style>
  <w:style w:type="paragraph" w:styleId="Heading1">
    <w:name w:val="heading 1"/>
    <w:basedOn w:val="Normal"/>
    <w:next w:val="Normal"/>
    <w:link w:val="Heading1Char"/>
    <w:uiPriority w:val="9"/>
    <w:qFormat/>
    <w:rsid w:val="00957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D8"/>
    <w:rPr>
      <w:rFonts w:eastAsiaTheme="majorEastAsia" w:cstheme="majorBidi"/>
      <w:color w:val="272727" w:themeColor="text1" w:themeTint="D8"/>
    </w:rPr>
  </w:style>
  <w:style w:type="paragraph" w:styleId="Title">
    <w:name w:val="Title"/>
    <w:basedOn w:val="Normal"/>
    <w:next w:val="Normal"/>
    <w:link w:val="TitleChar"/>
    <w:uiPriority w:val="10"/>
    <w:qFormat/>
    <w:rsid w:val="00957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D8"/>
    <w:pPr>
      <w:spacing w:before="160"/>
      <w:jc w:val="center"/>
    </w:pPr>
    <w:rPr>
      <w:i/>
      <w:iCs/>
      <w:color w:val="404040" w:themeColor="text1" w:themeTint="BF"/>
    </w:rPr>
  </w:style>
  <w:style w:type="character" w:customStyle="1" w:styleId="QuoteChar">
    <w:name w:val="Quote Char"/>
    <w:basedOn w:val="DefaultParagraphFont"/>
    <w:link w:val="Quote"/>
    <w:uiPriority w:val="29"/>
    <w:rsid w:val="009572D8"/>
    <w:rPr>
      <w:i/>
      <w:iCs/>
      <w:color w:val="404040" w:themeColor="text1" w:themeTint="BF"/>
    </w:rPr>
  </w:style>
  <w:style w:type="paragraph" w:styleId="ListParagraph">
    <w:name w:val="List Paragraph"/>
    <w:basedOn w:val="Normal"/>
    <w:uiPriority w:val="34"/>
    <w:qFormat/>
    <w:rsid w:val="009572D8"/>
    <w:pPr>
      <w:ind w:left="720"/>
      <w:contextualSpacing/>
    </w:pPr>
  </w:style>
  <w:style w:type="character" w:styleId="IntenseEmphasis">
    <w:name w:val="Intense Emphasis"/>
    <w:basedOn w:val="DefaultParagraphFont"/>
    <w:uiPriority w:val="21"/>
    <w:qFormat/>
    <w:rsid w:val="009572D8"/>
    <w:rPr>
      <w:i/>
      <w:iCs/>
      <w:color w:val="0F4761" w:themeColor="accent1" w:themeShade="BF"/>
    </w:rPr>
  </w:style>
  <w:style w:type="paragraph" w:styleId="IntenseQuote">
    <w:name w:val="Intense Quote"/>
    <w:basedOn w:val="Normal"/>
    <w:next w:val="Normal"/>
    <w:link w:val="IntenseQuoteChar"/>
    <w:uiPriority w:val="30"/>
    <w:qFormat/>
    <w:rsid w:val="00957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D8"/>
    <w:rPr>
      <w:i/>
      <w:iCs/>
      <w:color w:val="0F4761" w:themeColor="accent1" w:themeShade="BF"/>
    </w:rPr>
  </w:style>
  <w:style w:type="character" w:styleId="IntenseReference">
    <w:name w:val="Intense Reference"/>
    <w:basedOn w:val="DefaultParagraphFont"/>
    <w:uiPriority w:val="32"/>
    <w:qFormat/>
    <w:rsid w:val="009572D8"/>
    <w:rPr>
      <w:b/>
      <w:bCs/>
      <w:smallCaps/>
      <w:color w:val="0F4761" w:themeColor="accent1" w:themeShade="BF"/>
      <w:spacing w:val="5"/>
    </w:rPr>
  </w:style>
  <w:style w:type="table" w:styleId="TableGrid">
    <w:name w:val="Table Grid"/>
    <w:basedOn w:val="TableNormal"/>
    <w:uiPriority w:val="39"/>
    <w:rsid w:val="0061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49F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085849"/>
    <w:pPr>
      <w:spacing w:after="200" w:line="240" w:lineRule="auto"/>
    </w:pPr>
    <w:rPr>
      <w:i/>
      <w:iCs/>
      <w:color w:val="0E2841" w:themeColor="text2"/>
      <w:sz w:val="18"/>
      <w:szCs w:val="18"/>
    </w:rPr>
  </w:style>
  <w:style w:type="character" w:customStyle="1" w:styleId="mord">
    <w:name w:val="mord"/>
    <w:basedOn w:val="DefaultParagraphFont"/>
    <w:rsid w:val="00255D78"/>
  </w:style>
  <w:style w:type="character" w:customStyle="1" w:styleId="mspace">
    <w:name w:val="mspace"/>
    <w:basedOn w:val="DefaultParagraphFont"/>
    <w:rsid w:val="00255D78"/>
  </w:style>
  <w:style w:type="character" w:customStyle="1" w:styleId="mrel">
    <w:name w:val="mrel"/>
    <w:basedOn w:val="DefaultParagraphFont"/>
    <w:rsid w:val="00255D78"/>
  </w:style>
  <w:style w:type="character" w:customStyle="1" w:styleId="mopen">
    <w:name w:val="mopen"/>
    <w:basedOn w:val="DefaultParagraphFont"/>
    <w:rsid w:val="00255D78"/>
  </w:style>
  <w:style w:type="character" w:customStyle="1" w:styleId="mclose">
    <w:name w:val="mclose"/>
    <w:basedOn w:val="DefaultParagraphFont"/>
    <w:rsid w:val="00255D78"/>
  </w:style>
  <w:style w:type="character" w:customStyle="1" w:styleId="mbin">
    <w:name w:val="mbin"/>
    <w:basedOn w:val="DefaultParagraphFont"/>
    <w:rsid w:val="00255D78"/>
  </w:style>
  <w:style w:type="character" w:customStyle="1" w:styleId="apple-converted-space">
    <w:name w:val="apple-converted-space"/>
    <w:basedOn w:val="DefaultParagraphFont"/>
    <w:rsid w:val="00255D78"/>
  </w:style>
  <w:style w:type="character" w:styleId="Strong">
    <w:name w:val="Strong"/>
    <w:basedOn w:val="DefaultParagraphFont"/>
    <w:uiPriority w:val="22"/>
    <w:qFormat/>
    <w:rsid w:val="00255D78"/>
    <w:rPr>
      <w:b/>
      <w:bCs/>
    </w:rPr>
  </w:style>
  <w:style w:type="character" w:customStyle="1" w:styleId="url">
    <w:name w:val="url"/>
    <w:basedOn w:val="DefaultParagraphFont"/>
    <w:rsid w:val="00486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1263</Words>
  <Characters>6242</Characters>
  <Application>Microsoft Office Word</Application>
  <DocSecurity>0</DocSecurity>
  <Lines>135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Janssen</dc:creator>
  <cp:keywords/>
  <dc:description/>
  <cp:lastModifiedBy>Carter Janssen</cp:lastModifiedBy>
  <cp:revision>2</cp:revision>
  <dcterms:created xsi:type="dcterms:W3CDTF">2026-02-24T19:30:00Z</dcterms:created>
  <dcterms:modified xsi:type="dcterms:W3CDTF">2026-02-24T19:30:00Z</dcterms:modified>
</cp:coreProperties>
</file>