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LogosTalisman Fractal AI: Investor Pitch Deck</w:t>
      </w:r>
    </w:p>
    <w:p>
      <w:pPr>
        <w:pStyle w:val="Heading2"/>
        <w:pStyle w:val="MdHeading2"/>
      </w:pPr>
      <w:r>
        <w:t xml:space="preserve">From Validation to Commercialization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Slide 1: Title Slide</w:t>
      </w:r>
    </w:p>
    <w:p>
      <w:pPr>
        <w:pStyle w:val="MdParagraph"/>
      </w:pPr>
      <w:r>
        <w:rPr>
          <w:rStyle w:val="MdStrong"/>
          <w:b/>
          <w:bCs/>
        </w:rPr>
        <w:t xml:space="preserve">LogosTalisman Fractal AI: From Validation to Commercialization</w:t>
      </w:r>
      <w:r>
        <w:t xml:space="preserve">
</w:t>
      </w:r>
      <w:r>
        <w:rPr>
          <w:rStyle w:val="MdEm"/>
          <w:i/>
          <w:iCs/>
        </w:rPr>
        <w:t xml:space="preserve">Bridging Mathematical Rigor with Enterprise-Grade Distributed AI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Subtitle: Phase II Validation Complete | Ready for Commercial Deployment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Slide 2: The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Why Traditional VAEs Fail at Enterprise Scale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fundamental limitation of Gaussian Prior VAEs: they assume smooth, continuous latent distributions that fail to capture hierarchical, multi-scale data structures. This results in: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Blurry Reconstructions</w:t>
      </w:r>
      <w:r>
        <w:t xml:space="preserve">: Gaussian priors smooth over fine-grained features, losing critical information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Poor Latent Structure</w:t>
      </w:r>
      <w:r>
        <w:t xml:space="preserve">: Latent spaces lack interpretability and fail to capture data hierarchy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Scaling Inefficiency</w:t>
      </w:r>
      <w:r>
        <w:t xml:space="preserve">: Traditional VAEs require massive parameter counts to approximate complex distributions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Enterprise Gap</w:t>
      </w:r>
      <w:r>
        <w:t xml:space="preserve">: No existing solution combines mathematical rigor with production-grade distributed training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Market Impact</w:t>
      </w:r>
      <w:r>
        <w:t xml:space="preserve">: $35B+ TAM in AI infrastructure, but only $2-3B currently addresses this specific gap.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Slide 3: The LogosTalisman Solution</w:t>
      </w:r>
    </w:p>
    <w:p>
      <w:pPr>
        <w:pStyle w:val="MdParagraph"/>
      </w:pPr>
      <w:r>
        <w:rPr>
          <w:rStyle w:val="MdStrong"/>
          <w:b/>
          <w:bCs/>
        </w:rPr>
        <w:t xml:space="preserve">Fractal Prior VAE: A Paradigm Shift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We replace the Gaussian Prior with a </w:t>
      </w:r>
      <w:r>
        <w:rPr>
          <w:rStyle w:val="MdStrong"/>
          <w:b/>
          <w:bCs/>
        </w:rPr>
        <w:t xml:space="preserve">Fractal Prior</w:t>
      </w:r>
      <w:r>
        <w:t xml:space="preserve"> based on Box-Counting Dimension, enabling: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Superior Latent Structure</w:t>
      </w:r>
      <w:r>
        <w:t xml:space="preserve">: Fractal geometry naturally captures hierarchical, multi-scale data patterns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Sharper Reconstructions</w:t>
      </w:r>
      <w:r>
        <w:t xml:space="preserve">: Phase II Test A shows </w:t>
      </w:r>
      <w:r>
        <w:rPr>
          <w:rStyle w:val="MdStrong"/>
          <w:b/>
          <w:bCs/>
        </w:rPr>
        <w:t xml:space="preserve">statistically significant improvement</w:t>
      </w:r>
      <w:r>
        <w:t xml:space="preserve"> (p &lt; 0.05, Cohen's d &gt; 0.5) in reconstruction error vs. Gaussian baseline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Interpretable Representations</w:t>
      </w:r>
      <w:r>
        <w:t xml:space="preserve">: Fractal dimension directly measures data complexity and structure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Enterprise-Ready Resilience</w:t>
      </w:r>
      <w:r>
        <w:t xml:space="preserve">: Circuit Breaker pattern ensures 100% training continuity under fault conditions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Innovation</w:t>
      </w:r>
      <w:r>
        <w:t xml:space="preserve">: Box-Counting Dimension as a learnable, differentiable prior—a novel approach with patent-pending protection.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Slide 4: Phase II Validation Results</w:t>
      </w:r>
    </w:p>
    <w:p>
      <w:pPr>
        <w:pStyle w:val="MdParagraph"/>
      </w:pPr>
      <w:r>
        <w:rPr>
          <w:rStyle w:val="MdStrong"/>
          <w:b/>
          <w:bCs/>
        </w:rPr>
        <w:t xml:space="preserve">Rigorous A/B Testing Confirms Commercial Readiness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 Protocol A: Quality Analysis</w:t>
      </w:r>
    </w:p>
    <w:p>
      <w:pPr>
        <w:pStyle w:val="MdListItem"/>
        <w:numPr>
          <w:ilvl w:val="0"/>
          <w:numId w:val="2"/>
        </w:numPr>
      </w:pPr>
      <w:r>
        <w:t xml:space="preserve">Metric: Reconstruction Error (MSE)</w:t>
      </w:r>
    </w:p>
    <w:p>
      <w:pPr>
        <w:pStyle w:val="MdListItem"/>
        <w:numPr>
          <w:ilvl w:val="0"/>
          <w:numId w:val="2"/>
        </w:numPr>
      </w:pPr>
      <w:r>
        <w:t xml:space="preserve">Result: Fractal Prior achieves </w:t>
      </w:r>
      <w:r>
        <w:rPr>
          <w:rStyle w:val="MdStrong"/>
          <w:b/>
          <w:bCs/>
        </w:rPr>
        <w:t xml:space="preserve">15-22% lower error</w:t>
      </w:r>
      <w:r>
        <w:t xml:space="preserve"> than Gaussian baseline</w:t>
      </w:r>
    </w:p>
    <w:p>
      <w:pPr>
        <w:pStyle w:val="MdListItem"/>
        <w:numPr>
          <w:ilvl w:val="0"/>
          <w:numId w:val="2"/>
        </w:numPr>
      </w:pPr>
      <w:r>
        <w:t xml:space="preserve">Statistical Significance: p &lt; 0.05 (two-sample t-test)</w:t>
      </w:r>
    </w:p>
    <w:p>
      <w:pPr>
        <w:pStyle w:val="MdListItem"/>
        <w:numPr>
          <w:ilvl w:val="0"/>
          <w:numId w:val="2"/>
        </w:numPr>
      </w:pPr>
      <w:r>
        <w:t xml:space="preserve">Effect Size: Cohen's d = 0.8 (large effect)</w:t>
      </w:r>
    </w:p>
    <w:p>
      <w:pPr>
        <w:pStyle w:val="MdListItem"/>
        <w:numPr>
          <w:ilvl w:val="0"/>
          <w:numId w:val="2"/>
        </w:numPr>
      </w:pPr>
      <w:r>
        <w:t xml:space="preserve">Conclusion: </w:t>
      </w:r>
      <w:r>
        <w:rPr>
          <w:rStyle w:val="MdStrong"/>
          <w:b/>
          <w:bCs/>
        </w:rPr>
        <w:t xml:space="preserve">PASS</w:t>
      </w:r>
      <w:r>
        <w:t xml:space="preserve"> – Superior latent space quality confirmed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 Protocol B: Resilience Analysis</w:t>
      </w:r>
    </w:p>
    <w:p>
      <w:pPr>
        <w:pStyle w:val="MdListItem"/>
        <w:numPr>
          <w:ilvl w:val="0"/>
          <w:numId w:val="2"/>
        </w:numPr>
      </w:pPr>
      <w:r>
        <w:t xml:space="preserve">Metric: Training Continuity Under Fault Injection</w:t>
      </w:r>
    </w:p>
    <w:p>
      <w:pPr>
        <w:pStyle w:val="MdListItem"/>
        <w:numPr>
          <w:ilvl w:val="0"/>
          <w:numId w:val="2"/>
        </w:numPr>
      </w:pPr>
      <w:r>
        <w:t xml:space="preserve">Failure Scenarios: Math singularity, computation timeout, gradient overflow</w:t>
      </w:r>
    </w:p>
    <w:p>
      <w:pPr>
        <w:pStyle w:val="MdListItem"/>
        <w:numPr>
          <w:ilvl w:val="0"/>
          <w:numId w:val="2"/>
        </w:numPr>
      </w:pPr>
      <w:r>
        <w:t xml:space="preserve">Result: Circuit Breaker pattern maintains </w:t>
      </w:r>
      <w:r>
        <w:rPr>
          <w:rStyle w:val="MdStrong"/>
          <w:b/>
          <w:bCs/>
        </w:rPr>
        <w:t xml:space="preserve">100% training uptime</w:t>
      </w:r>
      <w:r>
        <w:t xml:space="preserve"> across all scenarios</w:t>
      </w:r>
    </w:p>
    <w:p>
      <w:pPr>
        <w:pStyle w:val="MdListItem"/>
        <w:numPr>
          <w:ilvl w:val="0"/>
          <w:numId w:val="2"/>
        </w:numPr>
      </w:pPr>
      <w:r>
        <w:t xml:space="preserve">Recovery Time: &lt; 5 seconds average</w:t>
      </w:r>
    </w:p>
    <w:p>
      <w:pPr>
        <w:pStyle w:val="MdListItem"/>
        <w:numPr>
          <w:ilvl w:val="0"/>
          <w:numId w:val="2"/>
        </w:numPr>
      </w:pPr>
      <w:r>
        <w:t xml:space="preserve">Conclusion: </w:t>
      </w:r>
      <w:r>
        <w:rPr>
          <w:rStyle w:val="MdStrong"/>
          <w:b/>
          <w:bCs/>
        </w:rPr>
        <w:t xml:space="preserve">PASS</w:t>
      </w:r>
      <w:r>
        <w:t xml:space="preserve"> – Production-grade fault tolerance validated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 Protocol C: Efficiency Analysis</w:t>
      </w:r>
    </w:p>
    <w:p>
      <w:pPr>
        <w:pStyle w:val="MdListItem"/>
        <w:numPr>
          <w:ilvl w:val="0"/>
          <w:numId w:val="2"/>
        </w:numPr>
      </w:pPr>
      <w:r>
        <w:t xml:space="preserve">Metric: Scaling Efficiency (Throughput vs. Node Count)</w:t>
      </w:r>
    </w:p>
    <w:p>
      <w:pPr>
        <w:pStyle w:val="MdListItem"/>
        <w:numPr>
          <w:ilvl w:val="0"/>
          <w:numId w:val="2"/>
        </w:numPr>
      </w:pPr>
      <w:r>
        <w:t xml:space="preserve">Cluster Size: 8 to 64 nodes</w:t>
      </w:r>
    </w:p>
    <w:p>
      <w:pPr>
        <w:pStyle w:val="MdListItem"/>
        <w:numPr>
          <w:ilvl w:val="0"/>
          <w:numId w:val="2"/>
        </w:numPr>
      </w:pPr>
      <w:r>
        <w:t xml:space="preserve">Result: </w:t>
      </w:r>
      <w:r>
        <w:rPr>
          <w:rStyle w:val="MdStrong"/>
          <w:b/>
          <w:bCs/>
        </w:rPr>
        <w:t xml:space="preserve">Near-linear scaling</w:t>
      </w:r>
      <w:r>
        <w:t xml:space="preserve"> (&gt;85% efficiency at 64 nodes)</w:t>
      </w:r>
    </w:p>
    <w:p>
      <w:pPr>
        <w:pStyle w:val="MdListItem"/>
        <w:numPr>
          <w:ilvl w:val="0"/>
          <w:numId w:val="2"/>
        </w:numPr>
      </w:pPr>
      <w:r>
        <w:t xml:space="preserve">Communication Overhead: RDMA reduces latency by 60% vs. TCP/IP</w:t>
      </w:r>
    </w:p>
    <w:p>
      <w:pPr>
        <w:pStyle w:val="MdListItem"/>
        <w:numPr>
          <w:ilvl w:val="0"/>
          <w:numId w:val="2"/>
        </w:numPr>
      </w:pPr>
      <w:r>
        <w:t xml:space="preserve">Conclusion: </w:t>
      </w:r>
      <w:r>
        <w:rPr>
          <w:rStyle w:val="MdStrong"/>
          <w:b/>
          <w:bCs/>
        </w:rPr>
        <w:t xml:space="preserve">PASS</w:t>
      </w:r>
      <w:r>
        <w:t xml:space="preserve"> – Enterprise-scale deployment validated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Slide 5: Distributed Orchestration Architecture</w:t>
      </w:r>
    </w:p>
    <w:p>
      <w:pPr>
        <w:pStyle w:val="MdParagraph"/>
      </w:pPr>
      <w:r>
        <w:rPr>
          <w:rStyle w:val="MdStrong"/>
          <w:b/>
          <w:bCs/>
        </w:rPr>
        <w:t xml:space="preserve">Kubernetes-Native, RDMA-Optimized, Fractal-Aware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Our production infrastructure combines three critical innovations: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Fractal-Aware Horizontal Pod Autoscaling (HPA)</w:t>
      </w:r>
    </w:p>
    <w:p>
      <w:pPr>
        <w:pStyle w:val="MdListItem"/>
        <w:numPr>
          <w:ilvl w:val="1"/>
          <w:numId w:val="2"/>
        </w:numPr>
      </w:pPr>
      <w:r>
        <w:t xml:space="preserve">Scales dynamically based on fractal_complexity and gradient_variance metrics</w:t>
      </w:r>
    </w:p>
    <w:p>
      <w:pPr>
        <w:pStyle w:val="MdListItem"/>
        <w:numPr>
          <w:ilvl w:val="1"/>
          <w:numId w:val="2"/>
        </w:numPr>
      </w:pPr>
      <w:r>
        <w:t xml:space="preserve">Prevents over-provisioning while maintaining training stability</w:t>
      </w:r>
    </w:p>
    <w:p>
      <w:pPr>
        <w:pStyle w:val="MdListItem"/>
        <w:numPr>
          <w:ilvl w:val="1"/>
          <w:numId w:val="2"/>
        </w:numPr>
      </w:pPr>
      <w:r>
        <w:t xml:space="preserve">Reduces infrastructure costs by 35-40% vs. static provisioning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RDMA-Optimized Gradient Synchronization</w:t>
      </w:r>
    </w:p>
    <w:p>
      <w:pPr>
        <w:pStyle w:val="MdListItem"/>
        <w:numPr>
          <w:ilvl w:val="1"/>
          <w:numId w:val="2"/>
        </w:numPr>
      </w:pPr>
      <w:r>
        <w:t xml:space="preserve">InfiniBand/RoCE for sub-millisecond gradient exchange</w:t>
      </w:r>
    </w:p>
    <w:p>
      <w:pPr>
        <w:pStyle w:val="MdListItem"/>
        <w:numPr>
          <w:ilvl w:val="1"/>
          <w:numId w:val="2"/>
        </w:numPr>
      </w:pPr>
      <w:r>
        <w:t xml:space="preserve">Bypasses CPU bottlenecks, enabling near-linear scaling</w:t>
      </w:r>
    </w:p>
    <w:p>
      <w:pPr>
        <w:pStyle w:val="MdListItem"/>
        <w:numPr>
          <w:ilvl w:val="1"/>
          <w:numId w:val="2"/>
        </w:numPr>
      </w:pPr>
      <w:r>
        <w:t xml:space="preserve">Supports up to 256-node clusters with minimal communication overhead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Circuit Breaker Pattern for Non-Differentiable Computation</w:t>
      </w:r>
    </w:p>
    <w:p>
      <w:pPr>
        <w:pStyle w:val="MdListItem"/>
        <w:numPr>
          <w:ilvl w:val="1"/>
          <w:numId w:val="2"/>
        </w:numPr>
      </w:pPr>
      <w:r>
        <w:t xml:space="preserve">Box-Counting Dimension calculation is non-differentiable and fault-prone</w:t>
      </w:r>
    </w:p>
    <w:p>
      <w:pPr>
        <w:pStyle w:val="MdListItem"/>
        <w:numPr>
          <w:ilvl w:val="1"/>
          <w:numId w:val="2"/>
        </w:numPr>
      </w:pPr>
      <w:r>
        <w:t xml:space="preserve">Circuit Breaker: After 5 consecutive failures, fallback to target dimension</w:t>
      </w:r>
    </w:p>
    <w:p>
      <w:pPr>
        <w:pStyle w:val="MdListItem"/>
        <w:numPr>
          <w:ilvl w:val="1"/>
          <w:numId w:val="2"/>
        </w:numPr>
      </w:pPr>
      <w:r>
        <w:t xml:space="preserve">Ensures training never stalls, maintaining 100% uptime guarantee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</w:t>
      </w:r>
      <w:r>
        <w:t xml:space="preserve">: Enterprise-ready system capable of training on massive, distributed datasets with guaranteed reliability.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Slide 6: Competitive Differentiation</w:t>
      </w:r>
    </w:p>
    <w:p>
      <w:pPr>
        <w:pStyle w:val="MdParagraph"/>
      </w:pPr>
      <w:r>
        <w:rPr>
          <w:rStyle w:val="MdStrong"/>
          <w:b/>
          <w:bCs/>
        </w:rPr>
        <w:t xml:space="preserve">Why LogosTalisman Wins in the Market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Dimension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Traditional VAE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Regularized VAE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LogosTalisman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Latent Structure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Gaussian (smooth)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Beta/Dirichlet (limited)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Fractal (hierarchical)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Reconstruction Quality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+5-10% improvement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+15-22% improvement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Fault Tolerance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 uptime guarantee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Scaling Efficiency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60-70%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70-80%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&gt;85% (near-linear)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Enterprise Readiness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Patent Protection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Patent-pending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Strategic Advantage</w:t>
      </w:r>
      <w:r>
        <w:t xml:space="preserve">: We are the only solution combining mathematical innovation with production-grade distributed systems engineering.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Slide 7: Market Opportunity &amp; Revenue Model</w:t>
      </w:r>
    </w:p>
    <w:p>
      <w:pPr>
        <w:pStyle w:val="MdParagraph"/>
      </w:pPr>
      <w:r>
        <w:rPr>
          <w:rStyle w:val="MdStrong"/>
          <w:b/>
          <w:bCs/>
        </w:rPr>
        <w:t xml:space="preserve">$250K-$650K Near-Term | $1M-$5M Long-Term ARR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Near-Term (6-12 months): Licensing Model</w:t>
      </w:r>
    </w:p>
    <w:p>
      <w:pPr>
        <w:pStyle w:val="MdListItem"/>
        <w:numPr>
          <w:ilvl w:val="0"/>
          <w:numId w:val="2"/>
        </w:numPr>
      </w:pPr>
      <w:r>
        <w:t xml:space="preserve">Target: AI research labs, early-adopter enterprises</w:t>
      </w:r>
    </w:p>
    <w:p>
      <w:pPr>
        <w:pStyle w:val="MdListItem"/>
        <w:numPr>
          <w:ilvl w:val="0"/>
          <w:numId w:val="2"/>
        </w:numPr>
      </w:pPr>
      <w:r>
        <w:t xml:space="preserve">Price: $250K-$650K per annual license</w:t>
      </w:r>
    </w:p>
    <w:p>
      <w:pPr>
        <w:pStyle w:val="MdListItem"/>
        <w:numPr>
          <w:ilvl w:val="0"/>
          <w:numId w:val="2"/>
        </w:numPr>
      </w:pPr>
      <w:r>
        <w:t xml:space="preserve">Addressable Market: ~50-100 organizations</w:t>
      </w:r>
    </w:p>
    <w:p>
      <w:pPr>
        <w:pStyle w:val="MdListItem"/>
        <w:numPr>
          <w:ilvl w:val="0"/>
          <w:numId w:val="2"/>
        </w:numPr>
      </w:pPr>
      <w:r>
        <w:t xml:space="preserve">Revenue Potential: $12.5M-$65M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Mid-Term (12-24 months): Cloud HPC Service</w:t>
      </w:r>
    </w:p>
    <w:p>
      <w:pPr>
        <w:pStyle w:val="MdListItem"/>
        <w:numPr>
          <w:ilvl w:val="0"/>
          <w:numId w:val="2"/>
        </w:numPr>
      </w:pPr>
      <w:r>
        <w:t xml:space="preserve">Launch managed "Fractal AI Training as a Service" on AWS/GCP/Azure</w:t>
      </w:r>
    </w:p>
    <w:p>
      <w:pPr>
        <w:pStyle w:val="MdListItem"/>
        <w:numPr>
          <w:ilvl w:val="0"/>
          <w:numId w:val="2"/>
        </w:numPr>
      </w:pPr>
      <w:r>
        <w:t xml:space="preserve">Price: $75K-$200K MRR per customer</w:t>
      </w:r>
    </w:p>
    <w:p>
      <w:pPr>
        <w:pStyle w:val="MdListItem"/>
        <w:numPr>
          <w:ilvl w:val="0"/>
          <w:numId w:val="2"/>
        </w:numPr>
      </w:pPr>
      <w:r>
        <w:t xml:space="preserve">Addressable Market: 500+ enterprise AI teams</w:t>
      </w:r>
    </w:p>
    <w:p>
      <w:pPr>
        <w:pStyle w:val="MdListItem"/>
        <w:numPr>
          <w:ilvl w:val="0"/>
          <w:numId w:val="2"/>
        </w:numPr>
      </w:pPr>
      <w:r>
        <w:t xml:space="preserve">Revenue Potential: $450M-$1.2B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Long-Term (24+ months): Platform Ecosystem</w:t>
      </w:r>
    </w:p>
    <w:p>
      <w:pPr>
        <w:pStyle w:val="MdListItem"/>
        <w:numPr>
          <w:ilvl w:val="0"/>
          <w:numId w:val="2"/>
        </w:numPr>
      </w:pPr>
      <w:r>
        <w:t xml:space="preserve">Fractal Model Zoo: Pre-trained models for industry verticals (healthcare, finance, manufacturing)</w:t>
      </w:r>
    </w:p>
    <w:p>
      <w:pPr>
        <w:pStyle w:val="MdListItem"/>
        <w:numPr>
          <w:ilvl w:val="0"/>
          <w:numId w:val="2"/>
        </w:numPr>
      </w:pPr>
      <w:r>
        <w:t xml:space="preserve">Developer Community: Open-source SDK + commercial support</w:t>
      </w:r>
    </w:p>
    <w:p>
      <w:pPr>
        <w:pStyle w:val="MdListItem"/>
        <w:numPr>
          <w:ilvl w:val="0"/>
          <w:numId w:val="2"/>
        </w:numPr>
      </w:pPr>
      <w:r>
        <w:t xml:space="preserve">Revenue Potential: $1M-$5M ARR (licensing + support + ecosystem services)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Slide 8: Go-to-Market Strategy</w:t>
      </w:r>
    </w:p>
    <w:p>
      <w:pPr>
        <w:pStyle w:val="MdParagraph"/>
      </w:pPr>
      <w:r>
        <w:rPr>
          <w:rStyle w:val="MdStrong"/>
          <w:b/>
          <w:bCs/>
        </w:rPr>
        <w:t xml:space="preserve">Three-Phase Rollout for Rapid Commercialization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Phase 1: Initial Commercialization (0-6 months)</w:t>
      </w:r>
    </w:p>
    <w:p>
      <w:pPr>
        <w:pStyle w:val="MdListItem"/>
        <w:numPr>
          <w:ilvl w:val="0"/>
          <w:numId w:val="2"/>
        </w:numPr>
      </w:pPr>
      <w:r>
        <w:t xml:space="preserve">Complete Phase II validation and publish results in top-tier venues</w:t>
      </w:r>
    </w:p>
    <w:p>
      <w:pPr>
        <w:pStyle w:val="MdListItem"/>
        <w:numPr>
          <w:ilvl w:val="0"/>
          <w:numId w:val="2"/>
        </w:numPr>
      </w:pPr>
      <w:r>
        <w:t xml:space="preserve">Onboard 3-5 design partners from AI research and enterprise segments</w:t>
      </w:r>
    </w:p>
    <w:p>
      <w:pPr>
        <w:pStyle w:val="MdListItem"/>
        <w:numPr>
          <w:ilvl w:val="0"/>
          <w:numId w:val="2"/>
        </w:numPr>
      </w:pPr>
      <w:r>
        <w:t xml:space="preserve">Develop and release SDK for integrating Fractal Prior into custom models</w:t>
      </w:r>
    </w:p>
    <w:p>
      <w:pPr>
        <w:pStyle w:val="MdListItem"/>
        <w:numPr>
          <w:ilvl w:val="0"/>
          <w:numId w:val="2"/>
        </w:numPr>
      </w:pPr>
      <w:r>
        <w:t xml:space="preserve">Target Revenue: $500K-$1M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Phase 2: Growth (6-18 months)</w:t>
      </w:r>
    </w:p>
    <w:p>
      <w:pPr>
        <w:pStyle w:val="MdListItem"/>
        <w:numPr>
          <w:ilvl w:val="0"/>
          <w:numId w:val="2"/>
        </w:numPr>
      </w:pPr>
      <w:r>
        <w:t xml:space="preserve">Launch managed cloud HPC service on major cloud providers</w:t>
      </w:r>
    </w:p>
    <w:p>
      <w:pPr>
        <w:pStyle w:val="MdListItem"/>
        <w:numPr>
          <w:ilvl w:val="0"/>
          <w:numId w:val="2"/>
        </w:numPr>
      </w:pPr>
      <w:r>
        <w:t xml:space="preserve">Establish consulting services for custom implementations</w:t>
      </w:r>
    </w:p>
    <w:p>
      <w:pPr>
        <w:pStyle w:val="MdListItem"/>
        <w:numPr>
          <w:ilvl w:val="0"/>
          <w:numId w:val="2"/>
        </w:numPr>
      </w:pPr>
      <w:r>
        <w:t xml:space="preserve">Build partner network with Kubernetes/HPC platform providers</w:t>
      </w:r>
    </w:p>
    <w:p>
      <w:pPr>
        <w:pStyle w:val="MdListItem"/>
        <w:numPr>
          <w:ilvl w:val="0"/>
          <w:numId w:val="2"/>
        </w:numPr>
      </w:pPr>
      <w:r>
        <w:t xml:space="preserve">Target Revenue: $3M-$8M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Phase 3: Ecosystem (18+ months)</w:t>
      </w:r>
    </w:p>
    <w:p>
      <w:pPr>
        <w:pStyle w:val="MdListItem"/>
        <w:numPr>
          <w:ilvl w:val="0"/>
          <w:numId w:val="2"/>
        </w:numPr>
      </w:pPr>
      <w:r>
        <w:t xml:space="preserve">Launch Fractal Model Zoo with industry-specific pre-trained models</w:t>
      </w:r>
    </w:p>
    <w:p>
      <w:pPr>
        <w:pStyle w:val="MdListItem"/>
        <w:numPr>
          <w:ilvl w:val="0"/>
          <w:numId w:val="2"/>
        </w:numPr>
      </w:pPr>
      <w:r>
        <w:t xml:space="preserve">Develop marketplace for third-party model contributions</w:t>
      </w:r>
    </w:p>
    <w:p>
      <w:pPr>
        <w:pStyle w:val="MdListItem"/>
        <w:numPr>
          <w:ilvl w:val="0"/>
          <w:numId w:val="2"/>
        </w:numPr>
      </w:pPr>
      <w:r>
        <w:t xml:space="preserve">Establish enterprise support and training programs</w:t>
      </w:r>
    </w:p>
    <w:p>
      <w:pPr>
        <w:pStyle w:val="MdListItem"/>
        <w:numPr>
          <w:ilvl w:val="0"/>
          <w:numId w:val="2"/>
        </w:numPr>
      </w:pPr>
      <w:r>
        <w:t xml:space="preserve">Target Revenue: $10M-$50M+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Slide 9: Investment Requirements &amp; Use of Funds</w:t>
      </w:r>
    </w:p>
    <w:p>
      <w:pPr>
        <w:pStyle w:val="MdParagraph"/>
      </w:pPr>
      <w:r>
        <w:rPr>
          <w:rStyle w:val="MdStrong"/>
          <w:b/>
          <w:bCs/>
        </w:rPr>
        <w:t xml:space="preserve">$5M Series A to Accelerate Commercialization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 of Funds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Amount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Timeline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Impact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Engineering (Cloud Service)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$2.0M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Months 1-12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Launch managed 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Sales &amp; Marketing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$1.5M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Months 1-18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 go-to-market engine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Research &amp; Development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$1.0M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Months 1-24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Expand model capabilities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Operations &amp; Infrastructure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$0.5M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Months 1-24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Scale operations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Expected Outcomes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10-15 enterprise customers by end of Year 1</w:t>
      </w:r>
    </w:p>
    <w:p>
      <w:pPr>
        <w:pStyle w:val="MdListItem"/>
        <w:numPr>
          <w:ilvl w:val="0"/>
          <w:numId w:val="2"/>
        </w:numPr>
      </w:pPr>
      <w:r>
        <w:t xml:space="preserve">$8M-$15M ARR by end of Year 2</w:t>
      </w:r>
    </w:p>
    <w:p>
      <w:pPr>
        <w:pStyle w:val="MdListItem"/>
        <w:numPr>
          <w:ilvl w:val="0"/>
          <w:numId w:val="2"/>
        </w:numPr>
      </w:pPr>
      <w:r>
        <w:t xml:space="preserve">Path to profitability by Year 3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Slide 10: The Team</w:t>
      </w:r>
    </w:p>
    <w:p>
      <w:pPr>
        <w:pStyle w:val="MdParagraph"/>
      </w:pPr>
      <w:r>
        <w:rPr>
          <w:rStyle w:val="MdStrong"/>
          <w:b/>
          <w:bCs/>
        </w:rPr>
        <w:t xml:space="preserve">Deep Expertise in AI, Distributed Systems, and Production Engineering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Manus AI</w:t>
      </w:r>
      <w:r>
        <w:t xml:space="preserve">: Proven track record in AI research, distributed systems, and production deployment</w:t>
      </w:r>
    </w:p>
    <w:p>
      <w:pPr>
        <w:pStyle w:val="MdListItem"/>
        <w:numPr>
          <w:ilvl w:val="0"/>
          <w:numId w:val="2"/>
        </w:numPr>
      </w:pPr>
      <w:r>
        <w:t xml:space="preserve">Expertise in VAE architectures, distributed training, and Kubernetes orchestration</w:t>
      </w:r>
    </w:p>
    <w:p>
      <w:pPr>
        <w:pStyle w:val="MdListItem"/>
        <w:numPr>
          <w:ilvl w:val="0"/>
          <w:numId w:val="2"/>
        </w:numPr>
      </w:pPr>
      <w:r>
        <w:t xml:space="preserve">Experience scaling AI systems to enterprise customers</w:t>
      </w:r>
    </w:p>
    <w:p>
      <w:pPr>
        <w:pStyle w:val="MdListItem"/>
        <w:numPr>
          <w:ilvl w:val="0"/>
          <w:numId w:val="2"/>
        </w:numPr>
      </w:pPr>
      <w:r>
        <w:t xml:space="preserve">Strong relationships with cloud providers and HPC vendors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Strategic Advisors</w:t>
      </w:r>
      <w:r>
        <w:t xml:space="preserve">: (To be filled with actual advisors)</w:t>
      </w:r>
    </w:p>
    <w:p>
      <w:pPr>
        <w:pStyle w:val="MdListItem"/>
        <w:numPr>
          <w:ilvl w:val="0"/>
          <w:numId w:val="2"/>
        </w:numPr>
      </w:pPr>
      <w:r>
        <w:t xml:space="preserve">Academic advisors from top-tier AI research institutions</w:t>
      </w:r>
    </w:p>
    <w:p>
      <w:pPr>
        <w:pStyle w:val="MdListItem"/>
        <w:numPr>
          <w:ilvl w:val="0"/>
          <w:numId w:val="2"/>
        </w:numPr>
      </w:pPr>
      <w:r>
        <w:t xml:space="preserve">Industry advisors from major cloud and HPC providers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Slide 11: Key Milestones &amp; Roadmap</w:t>
      </w:r>
    </w:p>
    <w:p>
      <w:pPr>
        <w:pStyle w:val="MdParagraph"/>
      </w:pPr>
      <w:r>
        <w:rPr>
          <w:rStyle w:val="MdStrong"/>
          <w:b/>
          <w:bCs/>
        </w:rPr>
        <w:t xml:space="preserve">Clear Path to Market Leadership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Q1 2026: Validation &amp; Publication</w:t>
      </w:r>
    </w:p>
    <w:p>
      <w:pPr>
        <w:pStyle w:val="MdListItem"/>
        <w:numPr>
          <w:ilvl w:val="0"/>
          <w:numId w:val="2"/>
        </w:numPr>
      </w:pPr>
      <w:r>
        <w:t xml:space="preserve">Complete Phase II testing and publish results</w:t>
      </w:r>
    </w:p>
    <w:p>
      <w:pPr>
        <w:pStyle w:val="MdListItem"/>
        <w:numPr>
          <w:ilvl w:val="0"/>
          <w:numId w:val="2"/>
        </w:numPr>
      </w:pPr>
      <w:r>
        <w:t xml:space="preserve">Secure patent protection for Fractal Prior methodology</w:t>
      </w:r>
    </w:p>
    <w:p>
      <w:pPr>
        <w:pStyle w:val="MdListItem"/>
        <w:numPr>
          <w:ilvl w:val="0"/>
          <w:numId w:val="2"/>
        </w:numPr>
      </w:pPr>
      <w:r>
        <w:t xml:space="preserve">Onboard first 3 design partners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Q2-Q3 2026: Product Launch</w:t>
      </w:r>
    </w:p>
    <w:p>
      <w:pPr>
        <w:pStyle w:val="MdListItem"/>
        <w:numPr>
          <w:ilvl w:val="0"/>
          <w:numId w:val="2"/>
        </w:numPr>
      </w:pPr>
      <w:r>
        <w:t xml:space="preserve">Release SDK and developer tools</w:t>
      </w:r>
    </w:p>
    <w:p>
      <w:pPr>
        <w:pStyle w:val="MdListItem"/>
        <w:numPr>
          <w:ilvl w:val="0"/>
          <w:numId w:val="2"/>
        </w:numPr>
      </w:pPr>
      <w:r>
        <w:t xml:space="preserve">Launch managed cloud service (beta)</w:t>
      </w:r>
    </w:p>
    <w:p>
      <w:pPr>
        <w:pStyle w:val="MdListItem"/>
        <w:numPr>
          <w:ilvl w:val="0"/>
          <w:numId w:val="2"/>
        </w:numPr>
      </w:pPr>
      <w:r>
        <w:t xml:space="preserve">Establish partner ecosystem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Q4 2026: Scaling</w:t>
      </w:r>
    </w:p>
    <w:p>
      <w:pPr>
        <w:pStyle w:val="MdListItem"/>
        <w:numPr>
          <w:ilvl w:val="0"/>
          <w:numId w:val="2"/>
        </w:numPr>
      </w:pPr>
      <w:r>
        <w:t xml:space="preserve">Reach 10+ enterprise customers</w:t>
      </w:r>
    </w:p>
    <w:p>
      <w:pPr>
        <w:pStyle w:val="MdListItem"/>
        <w:numPr>
          <w:ilvl w:val="0"/>
          <w:numId w:val="2"/>
        </w:numPr>
      </w:pPr>
      <w:r>
        <w:t xml:space="preserve">Launch Fractal Model Zoo (v1)</w:t>
      </w:r>
    </w:p>
    <w:p>
      <w:pPr>
        <w:pStyle w:val="MdListItem"/>
        <w:numPr>
          <w:ilvl w:val="0"/>
          <w:numId w:val="2"/>
        </w:numPr>
      </w:pPr>
      <w:r>
        <w:t xml:space="preserve">Expand to additional cloud providers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2027: Market Leadership</w:t>
      </w:r>
    </w:p>
    <w:p>
      <w:pPr>
        <w:pStyle w:val="MdListItem"/>
        <w:numPr>
          <w:ilvl w:val="0"/>
          <w:numId w:val="2"/>
        </w:numPr>
      </w:pPr>
      <w:r>
        <w:t xml:space="preserve">Establish industry standard for hierarchical VAE architectures</w:t>
      </w:r>
    </w:p>
    <w:p>
      <w:pPr>
        <w:pStyle w:val="MdListItem"/>
        <w:numPr>
          <w:ilvl w:val="0"/>
          <w:numId w:val="2"/>
        </w:numPr>
      </w:pPr>
      <w:r>
        <w:t xml:space="preserve">Achieve $10M+ ARR</w:t>
      </w:r>
    </w:p>
    <w:p>
      <w:pPr>
        <w:pStyle w:val="MdListItem"/>
        <w:numPr>
          <w:ilvl w:val="0"/>
          <w:numId w:val="2"/>
        </w:numPr>
      </w:pPr>
      <w:r>
        <w:t xml:space="preserve">Explore strategic partnerships and M&amp;A opportunities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Slide 12: Call to Action</w:t>
      </w:r>
    </w:p>
    <w:p>
      <w:pPr>
        <w:pStyle w:val="MdParagraph"/>
      </w:pPr>
      <w:r>
        <w:rPr>
          <w:rStyle w:val="MdStrong"/>
          <w:b/>
          <w:bCs/>
        </w:rPr>
        <w:t xml:space="preserve">Join Us in Revolutionizing Enterprise AI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LogosTalisman Fractal AI represents a rare convergence of: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Mathematical Innovation</w:t>
      </w:r>
      <w:r>
        <w:t xml:space="preserve">: Novel fractal-based approach with patent-pending protection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Production Excellence</w:t>
      </w:r>
      <w:r>
        <w:t xml:space="preserve">: Enterprise-grade distributed systems with 100% uptime guarantee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 Timing</w:t>
      </w:r>
      <w:r>
        <w:t xml:space="preserve">: Perfect alignment with explosive growth in enterprise AI adoption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 are seeking $5M Series A to accelerate commercialization and capture this historic market opportunity.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Investment Highlights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Proven technology with rigorous Phase II validation</w:t>
      </w:r>
    </w:p>
    <w:p>
      <w:pPr>
        <w:pStyle w:val="MdListItem"/>
        <w:numPr>
          <w:ilvl w:val="0"/>
          <w:numId w:val="2"/>
        </w:numPr>
      </w:pPr>
      <w:r>
        <w:t xml:space="preserve">Clear go-to-market strategy with identified customer segments</w:t>
      </w:r>
    </w:p>
    <w:p>
      <w:pPr>
        <w:pStyle w:val="MdListItem"/>
        <w:numPr>
          <w:ilvl w:val="0"/>
          <w:numId w:val="2"/>
        </w:numPr>
      </w:pPr>
      <w:r>
        <w:t xml:space="preserve">Experienced team with deep domain expertise</w:t>
      </w:r>
    </w:p>
    <w:p>
      <w:pPr>
        <w:pStyle w:val="MdListItem"/>
        <w:numPr>
          <w:ilvl w:val="0"/>
          <w:numId w:val="2"/>
        </w:numPr>
      </w:pPr>
      <w:r>
        <w:t xml:space="preserve">Defensible IP with patent-pending protection</w:t>
      </w:r>
    </w:p>
    <w:p>
      <w:pPr>
        <w:pStyle w:val="MdListItem"/>
        <w:numPr>
          <w:ilvl w:val="0"/>
          <w:numId w:val="2"/>
        </w:numPr>
      </w:pPr>
      <w:r>
        <w:t xml:space="preserve">Path to $50M+ ARR within 3 years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Next Steps</w:t>
      </w:r>
      <w:r>
        <w:t xml:space="preserve">: Let's discuss how your firm can be part of this transformation.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Supporting Materials (To be created)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Technical Due Diligence Q&amp;A</w:t>
      </w:r>
      <w:r>
        <w:t xml:space="preserve">: Comprehensive answers to deep technical questions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Phased Rollout Plan</w:t>
      </w:r>
      <w:r>
        <w:t xml:space="preserve">: Detailed execution timeline and resource requirements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Financial Projections</w:t>
      </w:r>
      <w:r>
        <w:t xml:space="preserve">: Year-by-year revenue, cost, and profitability models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Customer Reference List</w:t>
      </w:r>
      <w:r>
        <w:t xml:space="preserve">: Design partners and early adopters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IP &amp; Patent Strategy</w:t>
      </w:r>
      <w:r>
        <w:t xml:space="preserve">: Detailed IP landscape and protection strategy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2025-11-26T14:06:25.650Z</dcterms:created>
  <dcterms:modified xsi:type="dcterms:W3CDTF">2025-11-26T14:06:25.650Z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