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A3C6E"/>
          <w:sz w:val="44"/>
        </w:rPr>
        <w:t>Future Builders Live — Strengths &amp; Opportunities</w:t>
      </w:r>
    </w:p>
    <w:p>
      <w:pPr>
        <w:jc w:val="center"/>
      </w:pPr>
      <w:r>
        <w:rPr>
          <w:color w:val="555555"/>
        </w:rPr>
        <w:t>Phase 1C: What's Working &amp; Where to Grow  •  May 2026</w:t>
      </w:r>
    </w:p>
    <w:p/>
    <w:p>
      <w:pPr>
        <w:pStyle w:val="Heading2"/>
      </w:pPr>
      <w:r>
        <w:rPr>
          <w:b/>
          <w:color w:val="2E5FA3"/>
          <w:sz w:val="28"/>
        </w:rPr>
        <w:t>Core Strengths</w:t>
      </w:r>
    </w:p>
    <w:p>
      <w:pPr>
        <w:pStyle w:val="ListBullet"/>
      </w:pPr>
      <w:r/>
      <w:r>
        <w:rPr>
          <w:b/>
        </w:rPr>
        <w:t>Format clarity and repeatability:</w:t>
      </w:r>
      <w:r>
        <w:t xml:space="preserve"> The defined 2.5–3 hour structure with specific components (3 adult talks, 4–6 student presentations, 1 keynote/demo, stations, networking) is programmable and replicable across events and cities — unlike the open-ended "do whatever" format of maker fairs and science festivals.</w:t>
      </w:r>
    </w:p>
    <w:p>
      <w:pPr>
        <w:pStyle w:val="ListBullet"/>
      </w:pPr>
      <w:r/>
      <w:r>
        <w:rPr>
          <w:b/>
        </w:rPr>
        <w:t>Dual-audience value proposition:</w:t>
      </w:r>
      <w:r>
        <w:t xml:space="preserve"> The event serves families (enrichment, inspiration, social proof for their kids) AND local community stakeholders (speaker platform, sponsor brand visibility, talent showcase) simultaneously. Most comparable events optimize for one side; FBL is designed to serve both.</w:t>
      </w:r>
    </w:p>
    <w:p>
      <w:pPr>
        <w:pStyle w:val="ListBullet"/>
      </w:pPr>
      <w:r/>
      <w:r>
        <w:rPr>
          <w:b/>
        </w:rPr>
        <w:t>Emotional differentiation — kids on stage:</w:t>
      </w:r>
      <w:r>
        <w:t xml:space="preserve"> "Children presenting to a real audience of peers, parents, and community experts" is a genuinely powerful emotional hook that no identified competitor packages in this way. Science fairs exist but are judged in isolation; maker fairs show projects but not on a stage with an audience. This is the strongest single differentiator.</w:t>
      </w:r>
    </w:p>
    <w:p>
      <w:pPr>
        <w:pStyle w:val="ListBullet"/>
      </w:pPr>
      <w:r/>
      <w:r>
        <w:rPr>
          <w:b/>
        </w:rPr>
        <w:t>AI/robotics cultural timing:</w:t>
      </w:r>
      <w:r>
        <w:t xml:space="preserve"> Launching an AI-and-robotics-themed first event at the height of popular AI awareness (post-GPT, post-Sora, with K–12 curriculum debates happening in real time) gives the first event a built-in cultural hook that requires no explanation or audience education.</w:t>
      </w:r>
    </w:p>
    <w:p>
      <w:pPr>
        <w:pStyle w:val="ListBullet"/>
      </w:pPr>
      <w:r/>
      <w:r>
        <w:rPr>
          <w:b/>
        </w:rPr>
        <w:t>Parent attendance model:</w:t>
      </w:r>
      <w:r>
        <w:t xml:space="preserve"> Requiring parents to stay on-site (vs. drop-off) creates a family learning experience that directly addresses the pitch's stated problem ("parents want meaningful enrichment beyond screens"). It also makes the social proof mechanism work in real-time — parents watching other parents be impressed generates organic testimonials.</w:t>
      </w:r>
    </w:p>
    <w:p>
      <w:pPr>
        <w:pStyle w:val="ListBullet"/>
      </w:pPr>
      <w:r/>
      <w:r>
        <w:rPr>
          <w:b/>
        </w:rPr>
        <w:t>Multi-stream revenue structure:</w:t>
      </w:r>
      <w:r>
        <w:t xml:space="preserve"> Tickets + sponsors + vendor tables + workshops + memberships diversifies revenue across five streams, reducing single-point-of-failure risk compared to ticket-only or sponsor-only models. Even if one stream underperforms, the event can still be viable.</w:t>
      </w:r>
    </w:p>
    <w:p>
      <w:pPr>
        <w:pStyle w:val="ListBullet"/>
      </w:pPr>
      <w:r/>
      <w:r>
        <w:rPr>
          <w:b/>
        </w:rPr>
        <w:t>Sponsor alignment with content:</w:t>
      </w:r>
      <w:r>
        <w:t xml:space="preserve"> Technology, education, and healthcare companies sponsoring a family STEM event is a natural alignment of brand with audience — less forced than generic local business sponsorships at unrelated events.</w:t>
      </w:r>
    </w:p>
    <w:p>
      <w:pPr>
        <w:pStyle w:val="Heading2"/>
      </w:pPr>
      <w:r>
        <w:rPr>
          <w:b/>
          <w:color w:val="2E5FA3"/>
          <w:sz w:val="28"/>
        </w:rPr>
        <w:t>Growth Opportunities</w:t>
      </w:r>
    </w:p>
    <w:p>
      <w:pPr>
        <w:pStyle w:val="ListBullet"/>
      </w:pPr>
      <w:r/>
      <w:r>
        <w:rPr>
          <w:b/>
        </w:rPr>
        <w:t>Content capture as free growth engine:</w:t>
      </w:r>
      <w:r>
        <w:t xml:space="preserve"> Recording student talks and expert presentations creates a library of compelling content (kids explaining AI, building robots, presenting original research) with high organic shareability. A 10-year-old confidently explaining machine learning to a room of adults is inherently viral-adjacent content.</w:t>
      </w:r>
    </w:p>
    <w:p>
      <w:pPr>
        <w:pStyle w:val="ListBullet"/>
      </w:pPr>
      <w:r/>
      <w:r>
        <w:rPr>
          <w:b/>
        </w:rPr>
        <w:t>Workshop-to-membership conversion flywheel:</w:t>
      </w:r>
      <w:r>
        <w:t xml:space="preserve"> The post-event workshop product is the highest-value adjacent offering. Parents who just watched their child inspired on stage are maximally motivated to enroll in a follow-up workshop. A membership tier creating recurring revenue is the strongest path to financial sustainability.</w:t>
      </w:r>
    </w:p>
    <w:p>
      <w:pPr>
        <w:pStyle w:val="ListBullet"/>
      </w:pPr>
      <w:r/>
      <w:r>
        <w:rPr>
          <w:b/>
        </w:rPr>
        <w:t>School district and homeschool co-op partnerships:</w:t>
      </w:r>
      <w:r>
        <w:t xml:space="preserve"> If a school district or homeschool network co-brands or officially endorses the event, student presenter recruitment and family ticket acquisition become dramatically cheaper and easier. A district email list reaching 10,000 families is worth more than any paid ad campaign.</w:t>
      </w:r>
    </w:p>
    <w:p>
      <w:pPr>
        <w:pStyle w:val="ListBullet"/>
      </w:pPr>
      <w:r/>
      <w:r>
        <w:rPr>
          <w:b/>
        </w:rPr>
        <w:t>City-to-city expansion via licensed operators:</w:t>
      </w:r>
      <w:r>
        <w:t xml:space="preserve"> A well-documented event playbook enables trusted local operators to run Future Builders Live in their city under a licensing model, generating royalty revenue without requiring the founder to be present at every event. This is the only clear path to business-level scale.</w:t>
      </w:r>
    </w:p>
    <w:p>
      <w:pPr>
        <w:pStyle w:val="ListBullet"/>
      </w:pPr>
      <w:r/>
      <w:r>
        <w:rPr>
          <w:b/>
        </w:rPr>
        <w:t>Annual awards / recognition program:</w:t>
      </w:r>
      <w:r>
        <w:t xml:space="preserve"> A "Young Builders Award" or similar annual recognition creates recurring urgency (families prepare presentations hoping to win), generates local media interest, and produces a natural annual content cycle.</w:t>
      </w:r>
    </w:p>
    <w:p>
      <w:pPr>
        <w:pStyle w:val="ListBullet"/>
      </w:pPr>
      <w:r/>
      <w:r>
        <w:rPr>
          <w:b/>
        </w:rPr>
        <w:t>Corporate STEM pipeline partnerships:</w:t>
      </w:r>
      <w:r>
        <w:t xml:space="preserve"> Regional and national technology companies with active youth STEM or diversity pipeline initiatives (Google, Microsoft, local tech companies) represent a much larger and more stable sponsorship pool than local small businesses. These relationships also bring credibility and cross-promotion to the brand.</w:t>
      </w:r>
    </w:p>
    <w:p>
      <w:pPr>
        <w:pStyle w:val="Heading2"/>
      </w:pPr>
      <w:r>
        <w:rPr>
          <w:b/>
          <w:color w:val="2E5FA3"/>
          <w:sz w:val="28"/>
        </w:rPr>
        <w:t>Unfair Advantages</w:t>
      </w:r>
    </w:p>
    <w:p>
      <w:pPr>
        <w:pStyle w:val="ListBullet"/>
      </w:pPr>
      <w:r/>
      <w:r>
        <w:rPr>
          <w:b/>
        </w:rPr>
        <w:t>First-mover in the specific positioning:</w:t>
      </w:r>
      <w:r>
        <w:t xml:space="preserve"> If FBL establishes community gravity in a specific city with 3–4 excellent events before any competitor appears, that community loyalty is difficult to displace. Parents who saw their child on stage at FBL will return and recruit other parents.</w:t>
      </w:r>
    </w:p>
    <w:p>
      <w:pPr>
        <w:pStyle w:val="ListBullet"/>
      </w:pPr>
      <w:r/>
      <w:r>
        <w:rPr>
          <w:b/>
        </w:rPr>
        <w:t>AI cultural moment:</w:t>
      </w:r>
      <w:r>
        <w:t xml:space="preserve"> The current cultural moment for AI + kids content is historically unusual — the combination of public fascination, K–12 curriculum uncertainty, and parent anxiety about their children's future creates a uniquely receptive audience for an event that demystifies and celebrates AI for families. This window will not remain as wide indefinitely.</w:t>
      </w:r>
    </w:p>
    <w:p>
      <w:pPr>
        <w:pStyle w:val="ListBullet"/>
      </w:pPr>
      <w:r/>
      <w:r>
        <w:rPr>
          <w:i/>
        </w:rPr>
        <w:t>No stated unfair advantages from proprietary technology, exclusive data, or locked-in distribution relationships.</w:t>
      </w:r>
      <w:r/>
    </w:p>
    <w:p>
      <w:pPr>
        <w:pStyle w:val="Heading2"/>
      </w:pPr>
      <w:r>
        <w:rPr>
          <w:b/>
          <w:color w:val="2E5FA3"/>
          <w:sz w:val="28"/>
        </w:rPr>
        <w:t>What Must Be True to Win at Scale</w:t>
      </w:r>
    </w:p>
    <w:p>
      <w:pPr>
        <w:pStyle w:val="ListNumber"/>
      </w:pPr>
      <w:r>
        <w:t xml:space="preserve">The first 2–3 events must be </w:t>
      </w:r>
      <w:r>
        <w:rPr>
          <w:b/>
        </w:rPr>
        <w:t>genuinely excellent</w:t>
      </w:r>
      <w:r>
        <w:t xml:space="preserve"> — not "decent for a first event." Premium positioning is earned or lost in the first few public impressions. One chaotic, underfunded, or poorly attended event is very hard to recover from in a local market.</w:t>
      </w:r>
    </w:p>
    <w:p>
      <w:pPr>
        <w:pStyle w:val="ListNumber"/>
      </w:pPr>
      <w:r/>
      <w:r>
        <w:rPr>
          <w:b/>
        </w:rPr>
        <w:t>Student presenter recruitment must be solved systemically</w:t>
      </w:r>
      <w:r>
        <w:t xml:space="preserve"> — with a defined playbook, school or community group relationships, and a student brief — before Event 2 at the latest.</w:t>
      </w:r>
    </w:p>
    <w:p>
      <w:pPr>
        <w:pStyle w:val="ListNumber"/>
      </w:pPr>
      <w:r/>
      <w:r>
        <w:rPr>
          <w:b/>
        </w:rPr>
        <w:t>At least one anchor sponsor must commit before the first event</w:t>
      </w:r>
      <w:r>
        <w:t xml:space="preserve"> to de-risk the revenue model and signal legitimacy to other sponsors and to attendees.</w:t>
      </w:r>
    </w:p>
    <w:p>
      <w:pPr>
        <w:pStyle w:val="ListNumber"/>
      </w:pPr>
      <w:r/>
      <w:r>
        <w:rPr>
          <w:b/>
        </w:rPr>
        <w:t>Content capture must be embedded from Day 1:</w:t>
      </w:r>
      <w:r>
        <w:t xml:space="preserve"> every event must produce usable photos, video testimonials, and written quotes. This content funds all future marketing at zero marginal cost.</w:t>
      </w:r>
    </w:p>
    <w:p>
      <w:pPr>
        <w:pStyle w:val="ListNumber"/>
      </w:pPr>
      <w:r>
        <w:t xml:space="preserve">The founder must </w:t>
      </w:r>
      <w:r>
        <w:rPr>
          <w:b/>
        </w:rPr>
        <w:t>explicitly choose the business model</w:t>
      </w:r>
      <w:r>
        <w:t xml:space="preserve"> — lifestyle local event series, or scalable franchise/licensing business — before attempting to raise capital or hire anyone, because these two paths require completely different operational decisions.</w:t>
      </w:r>
    </w:p>
    <w:p>
      <w:pPr>
        <w:pStyle w:val="Heading2"/>
      </w:pPr>
      <w:r>
        <w:rPr>
          <w:b/>
          <w:color w:val="2E5FA3"/>
          <w:sz w:val="28"/>
        </w:rPr>
        <w:t>Ideal Customers / Use Cases</w:t>
      </w:r>
    </w:p>
    <w:p>
      <w:pPr>
        <w:pStyle w:val="ListBullet"/>
      </w:pPr>
      <w:r/>
      <w:r>
        <w:rPr>
          <w:b/>
        </w:rPr>
        <w:t>Primary attendee:</w:t>
      </w:r>
      <w:r>
        <w:t xml:space="preserve"> Parent of a curious 8–14 year old who participates in coding clubs, LEGO robotics, maker activities, or school STEM programs — actively seeking an in-person community experience that goes beyond the classroom and beyond screens.</w:t>
      </w:r>
    </w:p>
    <w:p>
      <w:pPr>
        <w:pStyle w:val="ListBullet"/>
      </w:pPr>
      <w:r/>
      <w:r>
        <w:rPr>
          <w:b/>
        </w:rPr>
        <w:t>Student presenter:</w:t>
      </w:r>
      <w:r>
        <w:t xml:space="preserve"> A middle or high school student who has built something real (an app, a robot, a science experiment, a business, a design project) and wants a real-audience stage with peers and adults watching — not a judged competition, but a celebration.</w:t>
      </w:r>
    </w:p>
    <w:p>
      <w:pPr>
        <w:pStyle w:val="ListBullet"/>
      </w:pPr>
      <w:r/>
      <w:r>
        <w:rPr>
          <w:b/>
        </w:rPr>
        <w:t>Anchor sponsor:</w:t>
      </w:r>
      <w:r>
        <w:t xml:space="preserve"> A regional or local STEM company, children's educational platform, or technology firm with an active youth CSR or STEM pipeline budget and desire for family-audience brand association.</w:t>
      </w:r>
    </w:p>
    <w:p>
      <w:pPr>
        <w:pStyle w:val="ListBullet"/>
      </w:pPr>
      <w:r/>
      <w:r>
        <w:rPr>
          <w:b/>
        </w:rPr>
        <w:t>Local speaker:</w:t>
      </w:r>
      <w:r>
        <w:t xml:space="preserve"> An engineer, founder, educator, or maker who wants a polished, compensated platform to share their story with the next generation — differentiated from the typical "free speaker" ask at conferences and community events.</w:t>
      </w:r>
    </w:p>
    <w:p>
      <w:pPr>
        <w:pStyle w:val="ListBullet"/>
      </w:pPr>
      <w:r/>
      <w:r>
        <w:rPr>
          <w:b/>
        </w:rPr>
        <w:t>Repeat membership family:</w:t>
      </w:r>
      <w:r>
        <w:t xml:space="preserve"> A family whose child presented at Event 1, saw their kid's confidence spike, and now wants early access, workshop discounts, and a front-row seat at every future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