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B88A2E"/>
          <w:sz w:val="18"/>
        </w:rPr>
        <w:t>NEUE MITTE WERLTE · BAUFELD 3</w:t>
      </w:r>
    </w:p>
    <w:p>
      <w:pPr>
        <w:spacing w:after="40" w:before="0"/>
      </w:pPr>
      <w:r>
        <w:rPr>
          <w:rFonts w:ascii="Georgia" w:hAnsi="Georgia"/>
          <w:b w:val="0"/>
          <w:i w:val="0"/>
          <w:color w:val="2E4A3E"/>
          <w:sz w:val="44"/>
        </w:rPr>
        <w:t>Kosten, Nutzen und Gewinn pro Kopf</w:t>
      </w:r>
    </w:p>
    <w:p>
      <w:pPr>
        <w:spacing w:after="120" w:before="0"/>
      </w:pPr>
      <w:r>
        <w:rPr>
          <w:b w:val="0"/>
          <w:i/>
          <w:color w:val="5A5F66"/>
          <w:sz w:val="19"/>
        </w:rPr>
        <w:t>Kurze Erklärung für die Gesellschafter einer Vermietungs-GbR. Basis: Excel-Rechenmodell (12 Wohnungen, 2 Büros, Restaurant und Bar 510 m² als getrennte Betreiberfirma), Jahr 1 nach der Anlaufzeit, ohne Eigenkapital. Alle Zahlen sind Planungsannahmen, Stand Oktober 2026.</w:t>
      </w:r>
    </w:p>
    <w:p>
      <w:pPr>
        <w:keepNext/>
        <w:spacing w:after="60" w:before="160"/>
      </w:pPr>
      <w:r>
        <w:rPr>
          <w:rFonts w:ascii="Georgia" w:hAnsi="Georgia"/>
          <w:b w:val="0"/>
          <w:i w:val="0"/>
          <w:color w:val="8B3A2F"/>
          <w:sz w:val="28"/>
        </w:rPr>
        <w:t>1 Was kostet das Projekt?</w:t>
      </w:r>
    </w:p>
    <w:p>
      <w:pPr>
        <w:spacing w:after="80" w:before="0"/>
      </w:pPr>
      <w:r>
        <w:rPr>
          <w:b w:val="0"/>
          <w:i w:val="0"/>
        </w:rPr>
        <w:t>Die Gesamtkosten liegen bei 4.894.879 € (Grundstück, Bau, Nebenkosten, Ausbau, Mehrkosten für 4 zusätzliche Wohnungen, Finanzierungskosten der Bauzeit). Finanziert wird mit KfW-Krediten (2.947.500 €, 60 %) und Hausbank, die Gesellschafter zahlen im Basisfall kein Eigenkapital. Die KfW-Förderung spart 38.475 € Zinsen im Jahr gegenüber reiner Hausbank-Finanzierung. Zins und 1 % Tilgung betragen 17.189 € im Monat (206.269 € im Jahr).</w:t>
      </w:r>
    </w:p>
    <w:p>
      <w:pPr>
        <w:keepNext/>
        <w:spacing w:after="60" w:before="160"/>
      </w:pPr>
      <w:r>
        <w:rPr>
          <w:rFonts w:ascii="Georgia" w:hAnsi="Georgia"/>
          <w:b w:val="0"/>
          <w:i w:val="0"/>
          <w:color w:val="8B3A2F"/>
          <w:sz w:val="28"/>
        </w:rPr>
        <w:t>2 Was kommt rein? (Vermietungs-GbR, pro Jahr)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483"/>
        <w:gridCol w:w="2154"/>
      </w:tblGrid>
      <w:tr>
        <w:tc>
          <w:tcPr>
            <w:tcW w:type="dxa" w:w="7483"/>
            <w:shd w:val="clear" w:color="auto" w:fill="2E4A3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2154"/>
            <w:shd w:val="clear" w:color="auto" w:fill="2E4A3E"/>
          </w:tcPr>
          <w:p>
            <w:pPr>
              <w:spacing w:after="20"/>
              <w:jc w:val="right"/>
            </w:pPr>
            <w:r/>
            <w:r>
              <w:rPr>
                <w:b/>
                <w:color w:val="FFFFFF"/>
                <w:sz w:val="19"/>
              </w:rPr>
              <w:t>pro Jahr</w:t>
            </w:r>
          </w:p>
        </w:tc>
      </w:tr>
      <w:tr>
        <w:tc>
          <w:tcPr>
            <w:tcW w:type="dxa" w:w="7483"/>
          </w:tcPr>
          <w:p>
            <w:pPr>
              <w:spacing w:after="20"/>
            </w:pPr>
            <w:r/>
            <w:r>
              <w:rPr>
                <w:sz w:val="19"/>
              </w:rPr>
              <w:t>Mieten Wohnen (12 Wohnungen, 655 m²) + Büros (2 Ankermieter) + Gastro-Pacht (10 % vom Umsatz)</w:t>
            </w:r>
          </w:p>
        </w:tc>
        <w:tc>
          <w:tcPr>
            <w:tcW w:type="dxa" w:w="215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221.809 €</w:t>
            </w:r>
          </w:p>
        </w:tc>
      </w:tr>
      <w:tr>
        <w:tc>
          <w:tcPr>
            <w:tcW w:type="dxa" w:w="7483"/>
          </w:tcPr>
          <w:p>
            <w:pPr>
              <w:spacing w:after="20"/>
            </w:pPr>
            <w:r/>
            <w:r>
              <w:rPr>
                <w:sz w:val="19"/>
              </w:rPr>
              <w:t>abzüglich Rücklagen (10 %: Verwaltung, Instandhaltung, Leerstand)</w:t>
            </w:r>
          </w:p>
        </w:tc>
        <w:tc>
          <w:tcPr>
            <w:tcW w:type="dxa" w:w="215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−22.181 €</w:t>
            </w:r>
          </w:p>
        </w:tc>
      </w:tr>
      <w:tr>
        <w:tc>
          <w:tcPr>
            <w:tcW w:type="dxa" w:w="7483"/>
            <w:shd w:val="clear" w:color="auto" w:fill="E4ED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Nettoertrag der GbR</w:t>
            </w:r>
          </w:p>
        </w:tc>
        <w:tc>
          <w:tcPr>
            <w:tcW w:type="dxa" w:w="2154"/>
            <w:shd w:val="clear" w:color="auto" w:fill="E4EDE6"/>
          </w:tcPr>
          <w:p>
            <w:pPr>
              <w:spacing w:after="20"/>
              <w:jc w:val="right"/>
            </w:pPr>
            <w:r/>
            <w:r>
              <w:rPr>
                <w:b/>
                <w:sz w:val="19"/>
              </w:rPr>
              <w:t>199.628 €</w:t>
            </w:r>
          </w:p>
        </w:tc>
      </w:tr>
      <w:tr>
        <w:tc>
          <w:tcPr>
            <w:tcW w:type="dxa" w:w="7483"/>
          </w:tcPr>
          <w:p>
            <w:pPr>
              <w:spacing w:after="20"/>
            </w:pPr>
            <w:r/>
            <w:r>
              <w:rPr>
                <w:sz w:val="19"/>
              </w:rPr>
              <w:t>Zins und Tilgung an die Banken</w:t>
            </w:r>
          </w:p>
        </w:tc>
        <w:tc>
          <w:tcPr>
            <w:tcW w:type="dxa" w:w="215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−206.269 €</w:t>
            </w:r>
          </w:p>
        </w:tc>
      </w:tr>
      <w:tr>
        <w:tc>
          <w:tcPr>
            <w:tcW w:type="dxa" w:w="7483"/>
            <w:shd w:val="clear" w:color="auto" w:fill="E4ED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Cash der GbR für die Gesellschafter</w:t>
            </w:r>
          </w:p>
        </w:tc>
        <w:tc>
          <w:tcPr>
            <w:tcW w:type="dxa" w:w="2154"/>
            <w:shd w:val="clear" w:color="auto" w:fill="E4EDE6"/>
          </w:tcPr>
          <w:p>
            <w:pPr>
              <w:spacing w:after="20"/>
              <w:jc w:val="right"/>
            </w:pPr>
            <w:r/>
            <w:r>
              <w:rPr>
                <w:b/>
                <w:sz w:val="19"/>
              </w:rPr>
              <w:t>−6.641 €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>Nutzen-Faktor: Der Nettoertrag entspricht 4,1 % der Gesamtkosten (Anfangsrendite), die Kosten sind das 24,5-Fache des Jahresertrags. Die Kapitaldienstdeckung der GbR beträgt 0,97, Banken verlangen meist 1,2. Das Gastro-Betriebsergebnis (235.262 € im Jahr nach Pacht) gehört der Betreiberfirma des Bauherrn und ist nicht enthalten.</w:t>
      </w:r>
    </w:p>
    <w:p>
      <w:pPr>
        <w:keepNext/>
        <w:spacing w:after="60" w:before="160"/>
      </w:pPr>
      <w:r>
        <w:rPr>
          <w:rFonts w:ascii="Georgia" w:hAnsi="Georgia"/>
          <w:b w:val="0"/>
          <w:i w:val="0"/>
          <w:color w:val="8B3A2F"/>
          <w:sz w:val="28"/>
        </w:rPr>
        <w:t>3 Was bekommt jeder? (gleiche Anteile)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701"/>
        <w:gridCol w:w="1701"/>
        <w:gridCol w:w="1814"/>
        <w:gridCol w:w="1701"/>
        <w:gridCol w:w="1701"/>
      </w:tblGrid>
      <w:tr>
        <w:tc>
          <w:tcPr>
            <w:tcW w:type="dxa" w:w="1020"/>
            <w:shd w:val="clear" w:color="auto" w:fill="2E4A3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Personen</w:t>
            </w:r>
          </w:p>
        </w:tc>
        <w:tc>
          <w:tcPr>
            <w:tcW w:type="dxa" w:w="1701"/>
            <w:shd w:val="clear" w:color="auto" w:fill="2E4A3E"/>
          </w:tcPr>
          <w:p>
            <w:pPr>
              <w:spacing w:after="20"/>
              <w:jc w:val="right"/>
            </w:pPr>
            <w:r/>
            <w:r>
              <w:rPr>
                <w:b/>
                <w:color w:val="FFFFFF"/>
                <w:sz w:val="19"/>
              </w:rPr>
              <w:t>Cash pro Person / Monat</w:t>
            </w:r>
          </w:p>
        </w:tc>
        <w:tc>
          <w:tcPr>
            <w:tcW w:type="dxa" w:w="1701"/>
            <w:shd w:val="clear" w:color="auto" w:fill="2E4A3E"/>
          </w:tcPr>
          <w:p>
            <w:pPr>
              <w:spacing w:after="20"/>
              <w:jc w:val="right"/>
            </w:pPr>
            <w:r/>
            <w:r>
              <w:rPr>
                <w:b/>
                <w:color w:val="FFFFFF"/>
                <w:sz w:val="19"/>
              </w:rPr>
              <w:t>Cash pro Person / Jahr</w:t>
            </w:r>
          </w:p>
        </w:tc>
        <w:tc>
          <w:tcPr>
            <w:tcW w:type="dxa" w:w="1814"/>
            <w:shd w:val="clear" w:color="auto" w:fill="2E4A3E"/>
          </w:tcPr>
          <w:p>
            <w:pPr>
              <w:spacing w:after="20"/>
              <w:jc w:val="right"/>
            </w:pPr>
            <w:r/>
            <w:r>
              <w:rPr>
                <w:b/>
                <w:color w:val="FFFFFF"/>
                <w:sz w:val="19"/>
              </w:rPr>
              <w:t>Steuerlicher Verlust / Jahr</w:t>
            </w:r>
          </w:p>
        </w:tc>
        <w:tc>
          <w:tcPr>
            <w:tcW w:type="dxa" w:w="1701"/>
            <w:shd w:val="clear" w:color="auto" w:fill="2E4A3E"/>
          </w:tcPr>
          <w:p>
            <w:pPr>
              <w:spacing w:after="20"/>
              <w:jc w:val="right"/>
            </w:pPr>
            <w:r/>
            <w:r>
              <w:rPr>
                <w:b/>
                <w:color w:val="FFFFFF"/>
                <w:sz w:val="19"/>
              </w:rPr>
              <w:t>Nach Steuer / Monat</w:t>
            </w:r>
          </w:p>
        </w:tc>
        <w:tc>
          <w:tcPr>
            <w:tcW w:type="dxa" w:w="1701"/>
            <w:shd w:val="clear" w:color="auto" w:fill="2E4A3E"/>
          </w:tcPr>
          <w:p>
            <w:pPr>
              <w:spacing w:after="20"/>
              <w:jc w:val="right"/>
            </w:pPr>
            <w:r/>
            <w:r>
              <w:rPr>
                <w:b/>
                <w:color w:val="FFFFFF"/>
                <w:sz w:val="19"/>
              </w:rPr>
              <w:t>Mit Förder-option / Monat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−553 €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−6.641 €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−88.351 €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+2.024 €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+6.427 €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−277 €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−3.320 €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−44.176 €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+1.012 €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+3.214 €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−138 €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−1.660 €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−22.088 €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+506 €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+1.607 €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−69 €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−830 €</w:t>
            </w:r>
          </w:p>
        </w:tc>
        <w:tc>
          <w:tcPr>
            <w:tcW w:type="dxa" w:w="1814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−11.044 €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+253 €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sz w:val="19"/>
              </w:rPr>
              <w:t>+803 €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>Ohne Eigenkapital liegt der Cash knapp unter null. Nach Steuer (35 % Grenzsteuersatz, Annahme) bleibt es positiv, weil Zinsen (156.592 €) und Gebäudeabschreibung 3 % (131.387 €) einen steuerlichen Verlust von 88.351 € erzeugen, den die Gesellschafter mit anderen Einkünften verrechnen. Die Tilgung (49.677 € im Jahr, 6.210 € pro Person bei 8) baut Vermögen auf. Die Förderoption (degressive AfA und Sonder-AfA im Wohnteil) erhöht die Abschreibung auf 282.367 €, Fristen müssen geprüft werden.</w:t>
      </w:r>
    </w:p>
    <w:p>
      <w:pPr>
        <w:spacing w:after="80" w:before="0"/>
      </w:pPr>
      <w:r>
        <w:rPr>
          <w:b w:val="0"/>
          <w:i w:val="0"/>
        </w:rPr>
        <w:t>Mit Eigenkapital: Bringen die Gesellschafter 749.000 € ein (93.625 € pro Kopf bei 8 Personen), erreicht die GbR Deckung 1,2 und +2.776 € Cash im Monat (+347 € pro Kopf bei 8 Personen vor Steuern). Mit 8 statt 12 Wohnungen wären es 871.000 € Eigenkapital.</w:t>
      </w:r>
    </w:p>
    <w:p>
      <w:pPr>
        <w:keepNext/>
        <w:spacing w:after="60" w:before="160"/>
      </w:pPr>
      <w:r>
        <w:rPr>
          <w:rFonts w:ascii="Georgia" w:hAnsi="Georgia"/>
          <w:b w:val="0"/>
          <w:i w:val="0"/>
          <w:color w:val="8B3A2F"/>
          <w:sz w:val="28"/>
        </w:rPr>
        <w:t>4 Wo liegt das Risiko?</w:t>
      </w:r>
    </w:p>
    <w:p>
      <w:pPr>
        <w:pStyle w:val="ListBullet"/>
        <w:spacing w:after="20"/>
      </w:pPr>
      <w:r>
        <w:rPr>
          <w:sz w:val="19"/>
        </w:rPr>
        <w:t>Die Pacht hängt am Gastro-Umsatz (Plan 95.635 € im Monat). Fällt die Gastro aus, fehlen der GbR zusätzlich 103.286 € im Jahr (Deckung 0,47).</w:t>
      </w:r>
    </w:p>
    <w:p>
      <w:pPr>
        <w:pStyle w:val="ListBullet"/>
        <w:spacing w:after="20"/>
      </w:pPr>
      <w:r>
        <w:rPr>
          <w:sz w:val="19"/>
        </w:rPr>
        <w:t>Der Beleihungsauslauf liegt bei 151 %: Die Bank verlangt zusätzliche Sicherheiten oder Eigenkapital, die Lücke zur 80-%-Grenze beträgt etwa 2,31 Mio € insgesamt.</w:t>
      </w:r>
    </w:p>
    <w:p>
      <w:pPr>
        <w:pStyle w:val="ListBullet"/>
        <w:spacing w:after="20"/>
      </w:pPr>
      <w:r>
        <w:rPr>
          <w:sz w:val="19"/>
        </w:rPr>
        <w:t>Eine GbR haftet mit dem persönlichen Vermögen aller Gesellschafter. Die Gastro läuft deshalb in einer getrennten Betreiberfirma, die Pacht zahlt.</w:t>
      </w:r>
    </w:p>
    <w:p>
      <w:pPr>
        <w:pStyle w:val="ListBullet"/>
        <w:spacing w:after="20"/>
      </w:pPr>
      <w:r>
        <w:rPr>
          <w:sz w:val="19"/>
        </w:rPr>
        <w:t>Lohn des Bauherrn, Mehrkosten kleinerer Wohnungen über die angesetzten 15.000 € hinaus und Gewerbesteuer sind nicht gerechnet. Steuerberater und Bank müssen das prüfen.</w:t>
      </w:r>
    </w:p>
    <w:p>
      <w:pPr>
        <w:spacing w:after="0" w:before="0"/>
      </w:pPr>
      <w:r>
        <w:rPr>
          <w:b w:val="0"/>
          <w:i/>
          <w:color w:val="5A5F66"/>
          <w:sz w:val="17"/>
        </w:rPr>
        <w:t>Quelle: Bankunterlagen_Baufeld3.xlsx (Blätter Ertrag und Cashflow, Gesellschafter, Szenarien).</w:t>
      </w:r>
    </w:p>
    <w:sectPr w:rsidR="00FC693F" w:rsidRPr="0006063C" w:rsidSect="00034616">
      <w:pgSz w:w="11906" w:h="16838"/>
      <w:pgMar w:top="79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