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Große Gastro und 8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große Gastro im Erdgeschoss, 2 Büro-Ankermieter und 3 Wohnungen im 1. Obergeschoss, 5 Wohnungen im Staffelgeschoss in Holzbau</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4.845.506 € (100 % Fremdkapital), davon KfW-Kredite 2.347.500 €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liegt eine große Gastro mit ca. 510 m² und ca. 190 Plätzen. Im 1. Obergeschoss mieten zwei Ankermieter Büros (100 m² Versicherungsgesellschaft o. ä., 65 m² Makler o. ä., 10 Jahre fest), dazu kommen 3 Wohnungen. Im Staffelgeschoss in Holzbau liegen 5 Wohnungen. Die 8 Wohnungen haben zusammen 655 m² Wohnfläche und werden langfristig vermietet.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Darlehen insgesamt (kein Eigenkapital)</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2.347.500 € (48 %)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3,39 %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17.733 €</w:t>
            </w:r>
          </w:p>
        </w:tc>
      </w:tr>
      <w:tr>
        <w:trPr>
          <w:cantSplit/>
        </w:trPr>
        <w:tc>
          <w:tcPr>
            <w:tcW w:type="dxa" w:w="6236"/>
          </w:tcPr>
          <w:p>
            <w:pPr>
              <w:keepNext/>
              <w:spacing w:after="20" w:before="20"/>
            </w:pPr>
            <w:r/>
            <w:r>
              <w:rPr>
                <w:sz w:val="19"/>
              </w:rPr>
              <w:t>Nettoertrag vor Kapitaldienst pro Monat</w:t>
            </w:r>
          </w:p>
        </w:tc>
        <w:tc>
          <w:tcPr>
            <w:tcW w:type="dxa" w:w="3175"/>
          </w:tcPr>
          <w:p>
            <w:pPr>
              <w:keepNext/>
              <w:spacing w:after="20" w:before="20"/>
              <w:jc w:val="right"/>
            </w:pPr>
            <w:r/>
            <w:r>
              <w:rPr>
                <w:sz w:val="19"/>
              </w:rPr>
              <w:t>36.687 €</w:t>
            </w:r>
          </w:p>
        </w:tc>
      </w:tr>
      <w:tr>
        <w:trPr>
          <w:cantSplit/>
        </w:trPr>
        <w:tc>
          <w:tcPr>
            <w:tcW w:type="dxa" w:w="6236"/>
          </w:tcPr>
          <w:p>
            <w:pPr>
              <w:keepNext/>
              <w:spacing w:after="20" w:before="20"/>
            </w:pPr>
            <w:r/>
            <w:r>
              <w:rPr>
                <w:sz w:val="19"/>
              </w:rPr>
              <w:t>Ergebnis pro Monat nach Kapitaldienst (ohne Lohn des Bauherrn)</w:t>
            </w:r>
          </w:p>
        </w:tc>
        <w:tc>
          <w:tcPr>
            <w:tcW w:type="dxa" w:w="3175"/>
          </w:tcPr>
          <w:p>
            <w:pPr>
              <w:keepNext/>
              <w:spacing w:after="20" w:before="20"/>
              <w:jc w:val="right"/>
            </w:pPr>
            <w:r/>
            <w:r>
              <w:rPr>
                <w:sz w:val="19"/>
              </w:rPr>
              <w:t>+18.954 €</w:t>
            </w:r>
          </w:p>
        </w:tc>
      </w:tr>
      <w:tr>
        <w:trPr>
          <w:cantSplit/>
        </w:trPr>
        <w:tc>
          <w:tcPr>
            <w:tcW w:type="dxa" w:w="6236"/>
          </w:tcPr>
          <w:p>
            <w:pPr>
              <w:keepNext/>
              <w:spacing w:after="20" w:before="20"/>
            </w:pPr>
            <w:r/>
            <w:r>
              <w:rPr>
                <w:sz w:val="19"/>
              </w:rPr>
              <w:t>Kapitaldienstdeckung (DSCR, Verhältnis Ertrag zu Raten)</w:t>
            </w:r>
          </w:p>
        </w:tc>
        <w:tc>
          <w:tcPr>
            <w:tcW w:type="dxa" w:w="3175"/>
          </w:tcPr>
          <w:p>
            <w:pPr>
              <w:keepNext/>
              <w:spacing w:after="20" w:before="20"/>
              <w:jc w:val="right"/>
            </w:pPr>
            <w:r/>
            <w:r>
              <w:rPr>
                <w:sz w:val="19"/>
              </w:rPr>
              <w:t>2,07 gesamt, 0,71 nur Immobilie</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2.877.244 €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2.589.520 €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187 %</w:t>
            </w:r>
          </w:p>
        </w:tc>
      </w:tr>
    </w:tbl>
    <w:p>
      <w:pPr>
        <w:spacing w:after="40"/>
      </w:pPr>
    </w:p>
    <w:p>
      <w:pPr>
        <w:spacing w:after="40"/>
      </w:pPr>
      <w:r>
        <w:rPr>
          <w:b/>
          <w:i w:val="0"/>
          <w:color w:val="2F4A3E"/>
        </w:rPr>
        <w:t>Kernaussagen</w:t>
      </w:r>
    </w:p>
    <w:p>
      <w:pPr>
        <w:pStyle w:val="ListBullet"/>
        <w:spacing w:after="60"/>
      </w:pPr>
      <w:r>
        <w:rPr>
          <w:b/>
        </w:rPr>
        <w:t xml:space="preserve">Der Ertrag trägt die Raten, aber nur mit der Gastro. </w:t>
      </w:r>
      <w:r>
        <w:t>Mit dem Gastro-Gewinn liegt die Kapitaldienstdeckung bei 2,07. Allein aus Miete, Büromiete und Pacht wären es 0,71, aus Wohnen und Büro allein 0,45.</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45 %.</w:t>
      </w:r>
    </w:p>
    <w:p>
      <w:pPr>
        <w:pStyle w:val="ListBullet"/>
        <w:spacing w:after="60"/>
      </w:pPr>
      <w:r>
        <w:rPr>
          <w:b/>
        </w:rPr>
        <w:t xml:space="preserve">KfW senkt die Zinslast deutlich. </w:t>
      </w:r>
      <w:r>
        <w:t>Die drei KfW-Kreditprogramme decken 48 % des Darlehens zu 2,5 bis 3,0 % ab, der Mischzins liegt bei 3,39 % statt 4,0 %.</w:t>
      </w:r>
    </w:p>
    <w:p>
      <w:pPr>
        <w:pStyle w:val="ListBullet"/>
        <w:spacing w:after="60"/>
      </w:pPr>
      <w:r>
        <w:rPr>
          <w:b/>
        </w:rPr>
        <w:t xml:space="preserve">Der Beleihungswert ist die Hürde. </w:t>
      </w:r>
      <w:r>
        <w:t>Der Ertragswert von 2,88 Mio. € liegt weit unter den Kosten von 4,85 Mio. €. Die Bank wird zusätzliche Sicherheiten oder Eigenkapital in der Größenordnung von 2,77 Mio. € verlangen.</w:t>
      </w:r>
    </w:p>
    <w:p>
      <w:pPr>
        <w:pStyle w:val="ListBullet"/>
        <w:spacing w:after="60"/>
      </w:pPr>
      <w:r>
        <w:rPr>
          <w:b/>
        </w:rPr>
        <w:t xml:space="preserve">Airbnb lohnt sich nicht. </w:t>
      </w:r>
      <w:r>
        <w:t>Ein 60-m²-Airbnb-Apartment bringt bei der Werlter Auslastung (17 %, Emsland 36 %) deutlich weniger als eine langfristige Miete, deshalb bleiben alle 8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55</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3 Wohnungen, im Staffelgeschoss 5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Gastro mit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+ 3 × 107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5 × 67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8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Einheit</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2</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3</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4</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5</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6</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7</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8</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(10 €/m²)</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5.100 €</w:t>
            </w:r>
          </w:p>
        </w:tc>
        <w:tc>
          <w:tcPr>
            <w:tcW w:type="dxa" w:w="1701"/>
          </w:tcPr>
          <w:p>
            <w:pPr>
              <w:keepNext/>
              <w:spacing w:after="20" w:before="20"/>
              <w:jc w:val="right"/>
            </w:pPr>
            <w:r/>
            <w:r>
              <w:rPr>
                <w:sz w:val="18"/>
              </w:rPr>
              <w:t>61.200 €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14.021 €</w:t>
            </w:r>
          </w:p>
        </w:tc>
        <w:tc>
          <w:tcPr>
            <w:tcW w:type="dxa" w:w="1701"/>
            <w:shd w:val="clear" w:color="auto" w:fill="E3E8E5"/>
          </w:tcPr>
          <w:p>
            <w:pPr>
              <w:spacing w:after="20" w:before="20"/>
              <w:jc w:val="right"/>
            </w:pPr>
            <w:r/>
            <w:r>
              <w:rPr>
                <w:b/>
                <w:sz w:val="18"/>
              </w:rPr>
              <w:t>168.247 €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95.635 € im Monat entspricht ca. 6.040 € je Sitzplatz und Jahr. Zum Vergleich: Der Median in Österreich liegt für Betriebe mit weniger als 100 Plätzen bei ca. 12.000 € (Fitness-Check Gastronomie 2026). Die Annahme liegt damit deutlich unter dem Branchen-Median. Die Pacht von 10 €/m² entspricht 5,3 % vom Umsatz (üblich 6 bis 12 %).</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11 % des Rohertrags aus.</w:t>
      </w:r>
    </w:p>
    <w:p>
      <w:pPr>
        <w:pStyle w:val="ListBullet"/>
        <w:spacing w:after="60"/>
      </w:pPr>
      <w:r>
        <w:t>Sie decken 8 % des Kapitaldienstes. Zusammen mit den Wohnungen decken die langfristigen Mieten 45 %,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mit dem Hauptfokus auf dem Abend. Morgens gibt es Frühstück (am Wochenende Brunch), mittags einen Mittagstisch für Beschäftigte aus Rathaus und Umgebung. Ab dem späten Nachmittag wird das Haus zum Abendrestaurant mit regionaler, moderner Küche, ab 21 Uhr zur Bar mit Cocktails, Wein, Bier und leiser Musik (Fr und Sa bis 01 Uhr). Dazu kommen Feiern, Live-Abende und Themenabende im Séparée (abgetrennter Raum mit 30 Plätzen).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95.635 € pro Monat (netto), davon 75 % am Abend, ca. 6.000 € je Sitzplatz und Jahr</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5.100 € pro Monat (ca. 5,3 %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p>
      <w:pPr>
        <w:spacing w:after="80"/>
      </w:pPr>
      <w:r>
        <w:rPr>
          <w:b w:val="0"/>
          <w:i w:val="0"/>
        </w:rPr>
        <w:t>Der Umsatz setzt sich aus Tagesteilen zusammen. Der Abend (Restaurant, Bar, Feiern) bringt 75 % des Umsatzes, Frühstück und Mittag füllen das Haus am Tag. Öffnungstage, Gäste und Bon sind Annahmen, es liegen keine Marktdaten für Werlte vor.</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2381"/>
        <w:gridCol w:w="680"/>
        <w:gridCol w:w="964"/>
        <w:gridCol w:w="794"/>
        <w:gridCol w:w="1247"/>
        <w:gridCol w:w="737"/>
      </w:tblGrid>
      <w:tr>
        <w:trPr>
          <w:cantSplit/>
        </w:trPr>
        <w:tc>
          <w:tcPr>
            <w:tcW w:type="dxa" w:w="2608"/>
            <w:shd w:val="clear" w:color="auto" w:fill="2F4A3E"/>
          </w:tcPr>
          <w:p>
            <w:pPr>
              <w:keepNext/>
              <w:spacing w:after="20" w:before="20"/>
            </w:pPr>
            <w:r/>
            <w:r>
              <w:rPr>
                <w:b/>
                <w:color w:val="FFFFFF"/>
                <w:sz w:val="17"/>
              </w:rPr>
              <w:t>Tagesteil</w:t>
            </w:r>
          </w:p>
        </w:tc>
        <w:tc>
          <w:tcPr>
            <w:tcW w:type="dxa" w:w="2381"/>
            <w:shd w:val="clear" w:color="auto" w:fill="2F4A3E"/>
          </w:tcPr>
          <w:p>
            <w:pPr>
              <w:keepNext/>
              <w:spacing w:after="20" w:before="20"/>
            </w:pPr>
            <w:r/>
            <w:r>
              <w:rPr>
                <w:b/>
                <w:color w:val="FFFFFF"/>
                <w:sz w:val="17"/>
              </w:rPr>
              <w:t>Zeit</w:t>
            </w:r>
          </w:p>
        </w:tc>
        <w:tc>
          <w:tcPr>
            <w:tcW w:type="dxa" w:w="680"/>
            <w:shd w:val="clear" w:color="auto" w:fill="2F4A3E"/>
          </w:tcPr>
          <w:p>
            <w:pPr>
              <w:keepNext/>
              <w:spacing w:after="20" w:before="20"/>
              <w:jc w:val="right"/>
            </w:pPr>
            <w:r/>
            <w:r>
              <w:rPr>
                <w:b/>
                <w:color w:val="FFFFFF"/>
                <w:sz w:val="17"/>
              </w:rPr>
              <w:t>Tage</w:t>
            </w:r>
          </w:p>
        </w:tc>
        <w:tc>
          <w:tcPr>
            <w:tcW w:type="dxa" w:w="964"/>
            <w:shd w:val="clear" w:color="auto" w:fill="2F4A3E"/>
          </w:tcPr>
          <w:p>
            <w:pPr>
              <w:keepNext/>
              <w:spacing w:after="20" w:before="20"/>
              <w:jc w:val="right"/>
            </w:pPr>
            <w:r/>
            <w:r>
              <w:rPr>
                <w:b/>
                <w:color w:val="FFFFFF"/>
                <w:sz w:val="17"/>
              </w:rPr>
              <w:t>Gäste/Tag</w:t>
            </w:r>
          </w:p>
        </w:tc>
        <w:tc>
          <w:tcPr>
            <w:tcW w:type="dxa" w:w="794"/>
            <w:shd w:val="clear" w:color="auto" w:fill="2F4A3E"/>
          </w:tcPr>
          <w:p>
            <w:pPr>
              <w:keepNext/>
              <w:spacing w:after="20" w:before="20"/>
              <w:jc w:val="right"/>
            </w:pPr>
            <w:r/>
            <w:r>
              <w:rPr>
                <w:b/>
                <w:color w:val="FFFFFF"/>
                <w:sz w:val="17"/>
              </w:rPr>
              <w:t>Ø Bon</w:t>
            </w:r>
          </w:p>
        </w:tc>
        <w:tc>
          <w:tcPr>
            <w:tcW w:type="dxa" w:w="1247"/>
            <w:shd w:val="clear" w:color="auto" w:fill="2F4A3E"/>
          </w:tcPr>
          <w:p>
            <w:pPr>
              <w:keepNext/>
              <w:spacing w:after="20" w:before="20"/>
              <w:jc w:val="right"/>
            </w:pPr>
            <w:r/>
            <w:r>
              <w:rPr>
                <w:b/>
                <w:color w:val="FFFFFF"/>
                <w:sz w:val="17"/>
              </w:rPr>
              <w:t>Umsatz/Monat</w:t>
            </w:r>
          </w:p>
        </w:tc>
        <w:tc>
          <w:tcPr>
            <w:tcW w:type="dxa" w:w="737"/>
            <w:shd w:val="clear" w:color="auto" w:fill="2F4A3E"/>
          </w:tcPr>
          <w:p>
            <w:pPr>
              <w:keepNext/>
              <w:spacing w:after="20" w:before="20"/>
              <w:jc w:val="right"/>
            </w:pPr>
            <w:r/>
            <w:r>
              <w:rPr>
                <w:b/>
                <w:color w:val="FFFFFF"/>
                <w:sz w:val="17"/>
              </w:rPr>
              <w:t>Anteil</w:t>
            </w:r>
          </w:p>
        </w:tc>
      </w:tr>
      <w:tr>
        <w:trPr>
          <w:cantSplit/>
        </w:trPr>
        <w:tc>
          <w:tcPr>
            <w:tcW w:type="dxa" w:w="2608"/>
          </w:tcPr>
          <w:p>
            <w:pPr>
              <w:keepNext/>
              <w:spacing w:after="20" w:before="20"/>
            </w:pPr>
            <w:r/>
            <w:r>
              <w:rPr>
                <w:sz w:val="17"/>
              </w:rPr>
              <w:t>Frühstück werktags</w:t>
            </w:r>
          </w:p>
        </w:tc>
        <w:tc>
          <w:tcPr>
            <w:tcW w:type="dxa" w:w="2381"/>
          </w:tcPr>
          <w:p>
            <w:pPr>
              <w:keepNext/>
              <w:spacing w:after="20" w:before="20"/>
            </w:pPr>
            <w:r/>
            <w:r>
              <w:rPr>
                <w:sz w:val="17"/>
              </w:rPr>
              <w:t>Di–Fr 08:00–11:00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25</w:t>
            </w:r>
          </w:p>
        </w:tc>
        <w:tc>
          <w:tcPr>
            <w:tcW w:type="dxa" w:w="794"/>
          </w:tcPr>
          <w:p>
            <w:pPr>
              <w:keepNext/>
              <w:spacing w:after="20" w:before="20"/>
              <w:jc w:val="right"/>
            </w:pPr>
            <w:r/>
            <w:r>
              <w:rPr>
                <w:sz w:val="17"/>
              </w:rPr>
              <w:t>11 €</w:t>
            </w:r>
          </w:p>
        </w:tc>
        <w:tc>
          <w:tcPr>
            <w:tcW w:type="dxa" w:w="1247"/>
          </w:tcPr>
          <w:p>
            <w:pPr>
              <w:keepNext/>
              <w:spacing w:after="20" w:before="20"/>
              <w:jc w:val="right"/>
            </w:pPr>
            <w:r/>
            <w:r>
              <w:rPr>
                <w:sz w:val="17"/>
              </w:rPr>
              <w:t>4.675 €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Brunch am Wochenende</w:t>
            </w:r>
          </w:p>
        </w:tc>
        <w:tc>
          <w:tcPr>
            <w:tcW w:type="dxa" w:w="2381"/>
          </w:tcPr>
          <w:p>
            <w:pPr>
              <w:keepNext/>
              <w:spacing w:after="20" w:before="20"/>
            </w:pPr>
            <w:r/>
            <w:r>
              <w:rPr>
                <w:sz w:val="17"/>
              </w:rPr>
              <w:t>Sa, So 09:00–14:00</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60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7.560 €</w:t>
            </w:r>
          </w:p>
        </w:tc>
        <w:tc>
          <w:tcPr>
            <w:tcW w:type="dxa" w:w="737"/>
          </w:tcPr>
          <w:p>
            <w:pPr>
              <w:keepNext/>
              <w:spacing w:after="20" w:before="20"/>
              <w:jc w:val="right"/>
            </w:pPr>
            <w:r/>
            <w:r>
              <w:rPr>
                <w:sz w:val="17"/>
              </w:rPr>
              <w:t>8 %</w:t>
            </w:r>
          </w:p>
        </w:tc>
      </w:tr>
      <w:tr>
        <w:trPr>
          <w:cantSplit/>
        </w:trPr>
        <w:tc>
          <w:tcPr>
            <w:tcW w:type="dxa" w:w="2608"/>
          </w:tcPr>
          <w:p>
            <w:pPr>
              <w:keepNext/>
              <w:spacing w:after="20" w:before="20"/>
            </w:pPr>
            <w:r/>
            <w:r>
              <w:rPr>
                <w:sz w:val="17"/>
              </w:rPr>
              <w:t>Mittagstisch</w:t>
            </w:r>
          </w:p>
        </w:tc>
        <w:tc>
          <w:tcPr>
            <w:tcW w:type="dxa" w:w="2381"/>
          </w:tcPr>
          <w:p>
            <w:pPr>
              <w:keepNext/>
              <w:spacing w:after="20" w:before="20"/>
            </w:pPr>
            <w:r/>
            <w:r>
              <w:rPr>
                <w:sz w:val="17"/>
              </w:rPr>
              <w:t>Di–Fr 11:30–14:30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50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11.900 €</w:t>
            </w:r>
          </w:p>
        </w:tc>
        <w:tc>
          <w:tcPr>
            <w:tcW w:type="dxa" w:w="737"/>
          </w:tcPr>
          <w:p>
            <w:pPr>
              <w:keepNext/>
              <w:spacing w:after="20" w:before="20"/>
              <w:jc w:val="right"/>
            </w:pPr>
            <w:r/>
            <w:r>
              <w:rPr>
                <w:sz w:val="17"/>
              </w:rPr>
              <w:t>12 %</w:t>
            </w:r>
          </w:p>
        </w:tc>
      </w:tr>
      <w:tr>
        <w:trPr>
          <w:cantSplit/>
        </w:trPr>
        <w:tc>
          <w:tcPr>
            <w:tcW w:type="dxa" w:w="2608"/>
          </w:tcPr>
          <w:p>
            <w:pPr>
              <w:keepNext/>
              <w:spacing w:after="20" w:before="20"/>
            </w:pPr>
            <w:r/>
            <w:r>
              <w:rPr>
                <w:sz w:val="17"/>
              </w:rPr>
              <w:t>Abendessen Restaurant</w:t>
            </w:r>
          </w:p>
        </w:tc>
        <w:tc>
          <w:tcPr>
            <w:tcW w:type="dxa" w:w="2381"/>
          </w:tcPr>
          <w:p>
            <w:pPr>
              <w:keepNext/>
              <w:spacing w:after="20" w:before="20"/>
            </w:pPr>
            <w:r/>
            <w:r>
              <w:rPr>
                <w:sz w:val="17"/>
              </w:rPr>
              <w:t>Di–So 17:30–22:00</w:t>
            </w:r>
          </w:p>
        </w:tc>
        <w:tc>
          <w:tcPr>
            <w:tcW w:type="dxa" w:w="680"/>
          </w:tcPr>
          <w:p>
            <w:pPr>
              <w:keepNext/>
              <w:spacing w:after="20" w:before="20"/>
              <w:jc w:val="right"/>
            </w:pPr>
            <w:r/>
            <w:r>
              <w:rPr>
                <w:sz w:val="17"/>
              </w:rPr>
              <w:t>26</w:t>
            </w:r>
          </w:p>
        </w:tc>
        <w:tc>
          <w:tcPr>
            <w:tcW w:type="dxa" w:w="964"/>
          </w:tcPr>
          <w:p>
            <w:pPr>
              <w:keepNext/>
              <w:spacing w:after="20" w:before="20"/>
              <w:jc w:val="right"/>
            </w:pPr>
            <w:r/>
            <w:r>
              <w:rPr>
                <w:sz w:val="17"/>
              </w:rPr>
              <w:t>55</w:t>
            </w:r>
          </w:p>
        </w:tc>
        <w:tc>
          <w:tcPr>
            <w:tcW w:type="dxa" w:w="794"/>
          </w:tcPr>
          <w:p>
            <w:pPr>
              <w:keepNext/>
              <w:spacing w:after="20" w:before="20"/>
              <w:jc w:val="right"/>
            </w:pPr>
            <w:r/>
            <w:r>
              <w:rPr>
                <w:sz w:val="17"/>
              </w:rPr>
              <w:t>32 €</w:t>
            </w:r>
          </w:p>
        </w:tc>
        <w:tc>
          <w:tcPr>
            <w:tcW w:type="dxa" w:w="1247"/>
          </w:tcPr>
          <w:p>
            <w:pPr>
              <w:keepNext/>
              <w:spacing w:after="20" w:before="20"/>
              <w:jc w:val="right"/>
            </w:pPr>
            <w:r/>
            <w:r>
              <w:rPr>
                <w:sz w:val="17"/>
              </w:rPr>
              <w:t>45.760 €</w:t>
            </w:r>
          </w:p>
        </w:tc>
        <w:tc>
          <w:tcPr>
            <w:tcW w:type="dxa" w:w="737"/>
          </w:tcPr>
          <w:p>
            <w:pPr>
              <w:keepNext/>
              <w:spacing w:after="20" w:before="20"/>
              <w:jc w:val="right"/>
            </w:pPr>
            <w:r/>
            <w:r>
              <w:rPr>
                <w:sz w:val="17"/>
              </w:rPr>
              <w:t>48 %</w:t>
            </w:r>
          </w:p>
        </w:tc>
      </w:tr>
      <w:tr>
        <w:trPr>
          <w:cantSplit/>
        </w:trPr>
        <w:tc>
          <w:tcPr>
            <w:tcW w:type="dxa" w:w="2608"/>
          </w:tcPr>
          <w:p>
            <w:pPr>
              <w:keepNext/>
              <w:spacing w:after="20" w:before="20"/>
            </w:pPr>
            <w:r/>
            <w:r>
              <w:rPr>
                <w:sz w:val="17"/>
              </w:rPr>
              <w:t>Bar Di–Do</w:t>
            </w:r>
          </w:p>
        </w:tc>
        <w:tc>
          <w:tcPr>
            <w:tcW w:type="dxa" w:w="2381"/>
          </w:tcPr>
          <w:p>
            <w:pPr>
              <w:keepNext/>
              <w:spacing w:after="20" w:before="20"/>
            </w:pPr>
            <w:r/>
            <w:r>
              <w:rPr>
                <w:sz w:val="17"/>
              </w:rPr>
              <w:t>ab 21:00</w:t>
            </w:r>
          </w:p>
        </w:tc>
        <w:tc>
          <w:tcPr>
            <w:tcW w:type="dxa" w:w="680"/>
          </w:tcPr>
          <w:p>
            <w:pPr>
              <w:keepNext/>
              <w:spacing w:after="20" w:before="20"/>
              <w:jc w:val="right"/>
            </w:pPr>
            <w:r/>
            <w:r>
              <w:rPr>
                <w:sz w:val="17"/>
              </w:rPr>
              <w:t>13</w:t>
            </w:r>
          </w:p>
        </w:tc>
        <w:tc>
          <w:tcPr>
            <w:tcW w:type="dxa" w:w="964"/>
          </w:tcPr>
          <w:p>
            <w:pPr>
              <w:keepNext/>
              <w:spacing w:after="20" w:before="20"/>
              <w:jc w:val="right"/>
            </w:pPr>
            <w:r/>
            <w:r>
              <w:rPr>
                <w:sz w:val="17"/>
              </w:rPr>
              <w:t>20</w:t>
            </w:r>
          </w:p>
        </w:tc>
        <w:tc>
          <w:tcPr>
            <w:tcW w:type="dxa" w:w="794"/>
          </w:tcPr>
          <w:p>
            <w:pPr>
              <w:keepNext/>
              <w:spacing w:after="20" w:before="20"/>
              <w:jc w:val="right"/>
            </w:pPr>
            <w:r/>
            <w:r>
              <w:rPr>
                <w:sz w:val="17"/>
              </w:rPr>
              <w:t>18 €</w:t>
            </w:r>
          </w:p>
        </w:tc>
        <w:tc>
          <w:tcPr>
            <w:tcW w:type="dxa" w:w="1247"/>
          </w:tcPr>
          <w:p>
            <w:pPr>
              <w:keepNext/>
              <w:spacing w:after="20" w:before="20"/>
              <w:jc w:val="right"/>
            </w:pPr>
            <w:r/>
            <w:r>
              <w:rPr>
                <w:sz w:val="17"/>
              </w:rPr>
              <w:t>4.680 €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Bar Fr, Sa (bis 01:00)</w:t>
            </w:r>
          </w:p>
        </w:tc>
        <w:tc>
          <w:tcPr>
            <w:tcW w:type="dxa" w:w="2381"/>
          </w:tcPr>
          <w:p>
            <w:pPr>
              <w:keepNext/>
              <w:spacing w:after="20" w:before="20"/>
            </w:pPr>
            <w:r/>
            <w:r>
              <w:rPr>
                <w:sz w:val="17"/>
              </w:rPr>
              <w:t>Cocktails, Wein, Bier, Musik</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70</w:t>
            </w:r>
          </w:p>
        </w:tc>
        <w:tc>
          <w:tcPr>
            <w:tcW w:type="dxa" w:w="794"/>
          </w:tcPr>
          <w:p>
            <w:pPr>
              <w:keepNext/>
              <w:spacing w:after="20" w:before="20"/>
              <w:jc w:val="right"/>
            </w:pPr>
            <w:r/>
            <w:r>
              <w:rPr>
                <w:sz w:val="17"/>
              </w:rPr>
              <w:t>22 €</w:t>
            </w:r>
          </w:p>
        </w:tc>
        <w:tc>
          <w:tcPr>
            <w:tcW w:type="dxa" w:w="1247"/>
          </w:tcPr>
          <w:p>
            <w:pPr>
              <w:keepNext/>
              <w:spacing w:after="20" w:before="20"/>
              <w:jc w:val="right"/>
            </w:pPr>
            <w:r/>
            <w:r>
              <w:rPr>
                <w:sz w:val="17"/>
              </w:rPr>
              <w:t>13.860 €</w:t>
            </w:r>
          </w:p>
        </w:tc>
        <w:tc>
          <w:tcPr>
            <w:tcW w:type="dxa" w:w="737"/>
          </w:tcPr>
          <w:p>
            <w:pPr>
              <w:keepNext/>
              <w:spacing w:after="20" w:before="20"/>
              <w:jc w:val="right"/>
            </w:pPr>
            <w:r/>
            <w:r>
              <w:rPr>
                <w:sz w:val="17"/>
              </w:rPr>
              <w:t>14 %</w:t>
            </w:r>
          </w:p>
        </w:tc>
      </w:tr>
      <w:tr>
        <w:trPr>
          <w:cantSplit/>
        </w:trPr>
        <w:tc>
          <w:tcPr>
            <w:tcW w:type="dxa" w:w="2608"/>
          </w:tcPr>
          <w:p>
            <w:pPr>
              <w:keepNext/>
              <w:spacing w:after="20" w:before="20"/>
            </w:pPr>
            <w:r/>
            <w:r>
              <w:rPr>
                <w:sz w:val="17"/>
              </w:rPr>
              <w:t>Feiern, Live-Abende, Séparée</w:t>
            </w:r>
          </w:p>
        </w:tc>
        <w:tc>
          <w:tcPr>
            <w:tcW w:type="dxa" w:w="2381"/>
          </w:tcPr>
          <w:p>
            <w:pPr>
              <w:keepNext/>
              <w:spacing w:after="20" w:before="20"/>
            </w:pPr>
            <w:r/>
            <w:r>
              <w:rPr>
                <w:sz w:val="17"/>
              </w:rPr>
              <w:t>nach Absprache, 4 pro Monat</w:t>
            </w:r>
          </w:p>
        </w:tc>
        <w:tc>
          <w:tcPr>
            <w:tcW w:type="dxa" w:w="680"/>
          </w:tcPr>
          <w:p>
            <w:pPr>
              <w:keepNext/>
              <w:spacing w:after="20" w:before="20"/>
              <w:jc w:val="right"/>
            </w:pPr>
            <w:r/>
            <w:r>
              <w:rPr>
                <w:sz w:val="17"/>
              </w:rPr>
              <w:t>4</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45 €</w:t>
            </w:r>
          </w:p>
        </w:tc>
        <w:tc>
          <w:tcPr>
            <w:tcW w:type="dxa" w:w="1247"/>
          </w:tcPr>
          <w:p>
            <w:pPr>
              <w:keepNext/>
              <w:spacing w:after="20" w:before="20"/>
              <w:jc w:val="right"/>
            </w:pPr>
            <w:r/>
            <w:r>
              <w:rPr>
                <w:sz w:val="17"/>
              </w:rPr>
              <w:t>7.200 €</w:t>
            </w:r>
          </w:p>
        </w:tc>
        <w:tc>
          <w:tcPr>
            <w:tcW w:type="dxa" w:w="737"/>
          </w:tcPr>
          <w:p>
            <w:pPr>
              <w:keepNext/>
              <w:spacing w:after="20" w:before="20"/>
              <w:jc w:val="right"/>
            </w:pPr>
            <w:r/>
            <w:r>
              <w:rPr>
                <w:sz w:val="17"/>
              </w:rPr>
              <w:t>8 %</w:t>
            </w:r>
          </w:p>
        </w:tc>
      </w:tr>
      <w:tr>
        <w:trPr>
          <w:cantSplit/>
        </w:trPr>
        <w:tc>
          <w:tcPr>
            <w:tcW w:type="dxa" w:w="2608"/>
            <w:shd w:val="clear" w:color="auto" w:fill="E3E8E5"/>
          </w:tcPr>
          <w:p>
            <w:pPr>
              <w:spacing w:after="20" w:before="20"/>
            </w:pPr>
            <w:r/>
            <w:r>
              <w:rPr>
                <w:b/>
                <w:sz w:val="17"/>
              </w:rPr>
              <w:t>Summe</w:t>
            </w:r>
          </w:p>
        </w:tc>
        <w:tc>
          <w:tcPr>
            <w:tcW w:type="dxa" w:w="2381"/>
            <w:shd w:val="clear" w:color="auto" w:fill="E3E8E5"/>
          </w:tcPr>
          <w:p>
            <w:pPr>
              <w:spacing w:after="20" w:before="20"/>
            </w:pPr>
            <w:r/>
            <w:r>
              <w:rPr>
                <w:b/>
                <w:sz w:val="17"/>
              </w:rPr>
            </w:r>
          </w:p>
        </w:tc>
        <w:tc>
          <w:tcPr>
            <w:tcW w:type="dxa" w:w="680"/>
            <w:shd w:val="clear" w:color="auto" w:fill="E3E8E5"/>
          </w:tcPr>
          <w:p>
            <w:pPr>
              <w:spacing w:after="20" w:before="20"/>
              <w:jc w:val="right"/>
            </w:pPr>
            <w:r/>
            <w:r>
              <w:rPr>
                <w:b/>
                <w:sz w:val="17"/>
              </w:rPr>
            </w:r>
          </w:p>
        </w:tc>
        <w:tc>
          <w:tcPr>
            <w:tcW w:type="dxa" w:w="964"/>
            <w:shd w:val="clear" w:color="auto" w:fill="E3E8E5"/>
          </w:tcPr>
          <w:p>
            <w:pPr>
              <w:spacing w:after="20" w:before="20"/>
              <w:jc w:val="right"/>
            </w:pPr>
            <w:r/>
            <w:r>
              <w:rPr>
                <w:b/>
                <w:sz w:val="17"/>
              </w:rPr>
            </w:r>
          </w:p>
        </w:tc>
        <w:tc>
          <w:tcPr>
            <w:tcW w:type="dxa" w:w="794"/>
            <w:shd w:val="clear" w:color="auto" w:fill="E3E8E5"/>
          </w:tcPr>
          <w:p>
            <w:pPr>
              <w:spacing w:after="20" w:before="20"/>
              <w:jc w:val="right"/>
            </w:pPr>
            <w:r/>
            <w:r>
              <w:rPr>
                <w:b/>
                <w:sz w:val="17"/>
              </w:rPr>
            </w:r>
          </w:p>
        </w:tc>
        <w:tc>
          <w:tcPr>
            <w:tcW w:type="dxa" w:w="1247"/>
            <w:shd w:val="clear" w:color="auto" w:fill="E3E8E5"/>
          </w:tcPr>
          <w:p>
            <w:pPr>
              <w:spacing w:after="20" w:before="20"/>
              <w:jc w:val="right"/>
            </w:pPr>
            <w:r/>
            <w:r>
              <w:rPr>
                <w:b/>
                <w:sz w:val="17"/>
              </w:rPr>
              <w:t>95.635 €</w:t>
            </w:r>
          </w:p>
        </w:tc>
        <w:tc>
          <w:tcPr>
            <w:tcW w:type="dxa" w:w="737"/>
            <w:shd w:val="clear" w:color="auto" w:fill="E3E8E5"/>
          </w:tcPr>
          <w:p>
            <w:pPr>
              <w:spacing w:after="20" w:before="20"/>
              <w:jc w:val="right"/>
            </w:pPr>
            <w:r/>
            <w:r>
              <w:rPr>
                <w:b/>
                <w:sz w:val="17"/>
              </w:rPr>
              <w:t>100 %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tcPr>
          <w:p>
            <w:pPr>
              <w:keepNext/>
              <w:spacing w:after="20" w:before="20"/>
            </w:pPr>
            <w:r/>
            <w:r>
              <w:rPr>
                <w:sz w:val="18"/>
              </w:rPr>
              <w:t>65.000 €</w:t>
            </w:r>
          </w:p>
        </w:tc>
        <w:tc>
          <w:tcPr>
            <w:tcW w:type="dxa" w:w="3288"/>
          </w:tcPr>
          <w:p>
            <w:pPr>
              <w:keepNext/>
              <w:spacing w:after="20" w:before="20"/>
              <w:jc w:val="right"/>
            </w:pPr>
            <w:r/>
            <w:r>
              <w:rPr>
                <w:sz w:val="18"/>
              </w:rPr>
              <w:t>19.825 €</w:t>
            </w:r>
          </w:p>
        </w:tc>
        <w:tc>
          <w:tcPr>
            <w:tcW w:type="dxa" w:w="3288"/>
          </w:tcPr>
          <w:p>
            <w:pPr>
              <w:keepNext/>
              <w:spacing w:after="20" w:before="20"/>
              <w:jc w:val="right"/>
            </w:pPr>
            <w:r/>
            <w:r>
              <w:rPr>
                <w:sz w:val="18"/>
              </w:rPr>
              <w:t>+14.725 €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+19.300 €</w:t>
            </w:r>
          </w:p>
        </w:tc>
      </w:tr>
      <w:tr>
        <w:trPr>
          <w:cantSplit/>
        </w:trPr>
        <w:tc>
          <w:tcPr>
            <w:tcW w:type="dxa" w:w="2835"/>
            <w:shd w:val="clear" w:color="auto" w:fill="E3E8E5"/>
          </w:tcPr>
          <w:p>
            <w:pPr>
              <w:keepNext/>
              <w:spacing w:after="20" w:before="20"/>
            </w:pPr>
            <w:r/>
            <w:r>
              <w:rPr>
                <w:b/>
                <w:sz w:val="18"/>
              </w:rPr>
              <w:t>95.635 €</w:t>
            </w:r>
          </w:p>
        </w:tc>
        <w:tc>
          <w:tcPr>
            <w:tcW w:type="dxa" w:w="3288"/>
            <w:shd w:val="clear" w:color="auto" w:fill="E3E8E5"/>
          </w:tcPr>
          <w:p>
            <w:pPr>
              <w:keepNext/>
              <w:spacing w:after="20" w:before="20"/>
              <w:jc w:val="right"/>
            </w:pPr>
            <w:r/>
            <w:r>
              <w:rPr>
                <w:b/>
                <w:sz w:val="18"/>
              </w:rPr>
              <w:t>29.169 €</w:t>
            </w:r>
          </w:p>
        </w:tc>
        <w:tc>
          <w:tcPr>
            <w:tcW w:type="dxa" w:w="3288"/>
            <w:shd w:val="clear" w:color="auto" w:fill="E3E8E5"/>
          </w:tcPr>
          <w:p>
            <w:pPr>
              <w:keepNext/>
              <w:spacing w:after="20" w:before="20"/>
              <w:jc w:val="right"/>
            </w:pPr>
            <w:r/>
            <w:r>
              <w:rPr>
                <w:b/>
                <w:sz w:val="18"/>
              </w:rPr>
              <w:t>+24.069 €</w:t>
            </w:r>
          </w:p>
        </w:tc>
      </w:tr>
      <w:tr>
        <w:trPr>
          <w:cantSplit/>
        </w:trPr>
        <w:tc>
          <w:tcPr>
            <w:tcW w:type="dxa" w:w="2835"/>
          </w:tcPr>
          <w:p>
            <w:pPr>
              <w:spacing w:after="20" w:before="20"/>
            </w:pPr>
            <w:r/>
            <w:r>
              <w:rPr>
                <w:sz w:val="18"/>
              </w:rPr>
              <w:t>110.000 €</w:t>
            </w:r>
          </w:p>
        </w:tc>
        <w:tc>
          <w:tcPr>
            <w:tcW w:type="dxa" w:w="3288"/>
          </w:tcPr>
          <w:p>
            <w:pPr>
              <w:spacing w:after="20" w:before="20"/>
              <w:jc w:val="right"/>
            </w:pPr>
            <w:r/>
            <w:r>
              <w:rPr>
                <w:sz w:val="18"/>
              </w:rPr>
              <w:t>33.550 €</w:t>
            </w:r>
          </w:p>
        </w:tc>
        <w:tc>
          <w:tcPr>
            <w:tcW w:type="dxa" w:w="3288"/>
          </w:tcPr>
          <w:p>
            <w:pPr>
              <w:spacing w:after="20" w:before="20"/>
              <w:jc w:val="right"/>
            </w:pPr>
            <w:r/>
            <w:r>
              <w:rPr>
                <w:sz w:val="18"/>
              </w:rPr>
              <w:t>+28.450 €</w:t>
            </w:r>
          </w:p>
        </w:tc>
      </w:tr>
    </w:tbl>
    <w:p>
      <w:pPr>
        <w:spacing w:after="40"/>
      </w:pPr>
    </w:p>
    <w:p>
      <w:pPr>
        <w:spacing w:after="80"/>
      </w:pPr>
      <w:r>
        <w:rPr>
          <w:b w:val="0"/>
          <w:i w:val="0"/>
        </w:rPr>
        <w:t>Der Gastro-Betrieb deckt seine Pacht ab ca. 16.700 € Umsatz im Monat. Der Lohn des Bauherrn ist nicht gerechnet. Ausführliche Gestaltung, Grundriss, Speisekarte und Personalplan stehen im Gastro-Konzept.</w:t>
      </w:r>
    </w:p>
    <w:p>
      <w:pPr>
        <w:pStyle w:val="Heading1"/>
      </w:pPr>
      <w:r>
        <w:t>6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4,9 %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74,9 %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10,7 %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2,5 %</w:t>
            </w:r>
          </w:p>
        </w:tc>
      </w:tr>
      <w:tr>
        <w:trPr>
          <w:cantSplit/>
        </w:trPr>
        <w:tc>
          <w:tcPr>
            <w:tcW w:type="dxa" w:w="3402"/>
          </w:tcPr>
          <w:p>
            <w:pPr>
              <w:keepNext/>
              <w:spacing w:after="20" w:before="20"/>
            </w:pPr>
            <w:r/>
            <w:r>
              <w:rPr>
                <w:sz w:val="18"/>
              </w:rPr>
              <w:t>Ausbau Gastro und Büros</w:t>
            </w:r>
          </w:p>
        </w:tc>
        <w:tc>
          <w:tcPr>
            <w:tcW w:type="dxa" w:w="2948"/>
          </w:tcPr>
          <w:p>
            <w:pPr>
              <w:keepNext/>
              <w:spacing w:after="20" w:before="20"/>
            </w:pPr>
            <w:r/>
            <w:r>
              <w:rPr>
                <w:sz w:val="18"/>
              </w:rPr>
              <w:t>190.000 € + Büros 150 €/m²</w:t>
            </w:r>
          </w:p>
        </w:tc>
        <w:tc>
          <w:tcPr>
            <w:tcW w:type="dxa" w:w="1701"/>
          </w:tcPr>
          <w:p>
            <w:pPr>
              <w:keepNext/>
              <w:spacing w:after="20" w:before="20"/>
              <w:jc w:val="right"/>
            </w:pPr>
            <w:r/>
            <w:r>
              <w:rPr>
                <w:sz w:val="18"/>
              </w:rPr>
              <w:t>214.750 €</w:t>
            </w:r>
          </w:p>
        </w:tc>
        <w:tc>
          <w:tcPr>
            <w:tcW w:type="dxa" w:w="1361"/>
          </w:tcPr>
          <w:p>
            <w:pPr>
              <w:keepNext/>
              <w:spacing w:after="20" w:before="20"/>
              <w:jc w:val="right"/>
            </w:pPr>
            <w:r/>
            <w:r>
              <w:rPr>
                <w:sz w:val="18"/>
              </w:rPr>
              <w:t>4,4 %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289.674 €</w:t>
            </w:r>
          </w:p>
        </w:tc>
        <w:tc>
          <w:tcPr>
            <w:tcW w:type="dxa" w:w="1361"/>
          </w:tcPr>
          <w:p>
            <w:pPr>
              <w:keepNext/>
              <w:spacing w:after="20" w:before="20"/>
              <w:jc w:val="right"/>
            </w:pPr>
            <w:r/>
            <w:r>
              <w:rPr>
                <w:sz w:val="18"/>
              </w:rPr>
              <w:t>6,0 %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4.845.506 €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2.937 € je m² BGF. Baukosten von 2.200 €/m² (Bekanntenpreis des Bauherrn) und die Baunebenkosten sind durch Angebote von Bauunternehmen und Zimmerei zu belegen. QNG steht für das Qualitätssiegel Nachhaltiges Gebäude.</w:t>
      </w:r>
    </w:p>
    <w:p>
      <w:pPr>
        <w:pStyle w:val="Heading1"/>
      </w:pPr>
      <w:r>
        <w:t>7  Finanzierung mit KfW-Krediten</w:t>
      </w:r>
    </w:p>
    <w:p>
      <w:r>
        <w:rPr>
          <w:b w:val="0"/>
          <w:i w:val="0"/>
        </w:rPr>
        <w:t>Das Vorhaben wird zu 100 % fremdfinanziert. Der Bauherr bringt kein Eigenkapital ein. Die Kosten werden mit den zinsverbilligten KfW-Krediten „Klimafreundlicher Neubau“ und einem Darlehen der Hausbank gedeckt. Die KfW zahlt im Neubau keinen Zuschuss, der Vorteil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1.200.000 €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2.498.006 €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4.845.506 €</w:t>
            </w:r>
          </w:p>
        </w:tc>
        <w:tc>
          <w:tcPr>
            <w:tcW w:type="dxa" w:w="1474"/>
            <w:shd w:val="clear" w:color="auto" w:fill="E3E8E5"/>
          </w:tcPr>
          <w:p>
            <w:pPr>
              <w:spacing w:after="20" w:before="20"/>
              <w:jc w:val="right"/>
            </w:pPr>
            <w:r/>
            <w:r>
              <w:rPr>
                <w:b/>
                <w:sz w:val="18"/>
              </w:rPr>
              <w:t>3,39 %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8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289.674 €. Zu Beginn der Rückzahlung stehen 4.845.506 € Darlehen.</w:t>
      </w:r>
    </w:p>
    <w:p>
      <w:pPr>
        <w:pStyle w:val="Heading1"/>
      </w:pPr>
      <w:r>
        <w:t>8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1.200.000 €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3.500 €</w:t>
            </w:r>
          </w:p>
        </w:tc>
        <w:tc>
          <w:tcPr>
            <w:tcW w:type="dxa" w:w="1474"/>
          </w:tcPr>
          <w:p>
            <w:pPr>
              <w:keepNext/>
              <w:spacing w:after="20" w:before="20"/>
              <w:jc w:val="right"/>
            </w:pPr>
            <w:r/>
            <w:r>
              <w:rPr>
                <w:sz w:val="18"/>
              </w:rPr>
              <w:t>42.000 €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2.498.006 €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10.408 €</w:t>
            </w:r>
          </w:p>
        </w:tc>
        <w:tc>
          <w:tcPr>
            <w:tcW w:type="dxa" w:w="1474"/>
          </w:tcPr>
          <w:p>
            <w:pPr>
              <w:keepNext/>
              <w:spacing w:after="20" w:before="20"/>
              <w:jc w:val="right"/>
            </w:pPr>
            <w:r/>
            <w:r>
              <w:rPr>
                <w:sz w:val="18"/>
              </w:rPr>
              <w:t>124.900 €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4.845.506 €</w:t>
            </w:r>
          </w:p>
        </w:tc>
        <w:tc>
          <w:tcPr>
            <w:tcW w:type="dxa" w:w="1077"/>
            <w:shd w:val="clear" w:color="auto" w:fill="E3E8E5"/>
          </w:tcPr>
          <w:p>
            <w:pPr>
              <w:spacing w:after="20" w:before="20"/>
              <w:jc w:val="right"/>
            </w:pPr>
            <w:r/>
            <w:r>
              <w:rPr>
                <w:b/>
                <w:sz w:val="18"/>
              </w:rPr>
              <w:t>3,39 %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17.733 €</w:t>
            </w:r>
          </w:p>
        </w:tc>
        <w:tc>
          <w:tcPr>
            <w:tcW w:type="dxa" w:w="1474"/>
            <w:shd w:val="clear" w:color="auto" w:fill="E3E8E5"/>
          </w:tcPr>
          <w:p>
            <w:pPr>
              <w:spacing w:after="20" w:before="20"/>
              <w:jc w:val="right"/>
            </w:pPr>
            <w:r/>
            <w:r>
              <w:rPr>
                <w:b/>
                <w:sz w:val="18"/>
              </w:rPr>
              <w:t>212.800 €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163.585 €</w:t>
            </w:r>
          </w:p>
        </w:tc>
        <w:tc>
          <w:tcPr>
            <w:tcW w:type="dxa" w:w="1701"/>
          </w:tcPr>
          <w:p>
            <w:pPr>
              <w:keepNext/>
              <w:spacing w:after="20" w:before="20"/>
              <w:jc w:val="right"/>
            </w:pPr>
            <w:r/>
            <w:r>
              <w:rPr>
                <w:sz w:val="18"/>
              </w:rPr>
              <w:t>49.216 €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4.796.290 €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161.887 €</w:t>
            </w:r>
          </w:p>
        </w:tc>
        <w:tc>
          <w:tcPr>
            <w:tcW w:type="dxa" w:w="1701"/>
          </w:tcPr>
          <w:p>
            <w:pPr>
              <w:keepNext/>
              <w:spacing w:after="20" w:before="20"/>
              <w:jc w:val="right"/>
            </w:pPr>
            <w:r/>
            <w:r>
              <w:rPr>
                <w:sz w:val="18"/>
              </w:rPr>
              <w:t>50.913 €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4.745.377 €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160.129 €</w:t>
            </w:r>
          </w:p>
        </w:tc>
        <w:tc>
          <w:tcPr>
            <w:tcW w:type="dxa" w:w="1701"/>
          </w:tcPr>
          <w:p>
            <w:pPr>
              <w:keepNext/>
              <w:spacing w:after="20" w:before="20"/>
              <w:jc w:val="right"/>
            </w:pPr>
            <w:r/>
            <w:r>
              <w:rPr>
                <w:sz w:val="18"/>
              </w:rPr>
              <w:t>52.671 €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4.692.706 €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156.421 €</w:t>
            </w:r>
          </w:p>
        </w:tc>
        <w:tc>
          <w:tcPr>
            <w:tcW w:type="dxa" w:w="1701"/>
          </w:tcPr>
          <w:p>
            <w:pPr>
              <w:keepNext/>
              <w:spacing w:after="20" w:before="20"/>
              <w:jc w:val="right"/>
            </w:pPr>
            <w:r/>
            <w:r>
              <w:rPr>
                <w:sz w:val="18"/>
              </w:rPr>
              <w:t>56.379 €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4.581.834 €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145.921 €</w:t>
            </w:r>
          </w:p>
        </w:tc>
        <w:tc>
          <w:tcPr>
            <w:tcW w:type="dxa" w:w="1701"/>
            <w:shd w:val="clear" w:color="auto" w:fill="E3E8E5"/>
          </w:tcPr>
          <w:p>
            <w:pPr>
              <w:keepNext/>
              <w:spacing w:after="20" w:before="20"/>
              <w:jc w:val="right"/>
            </w:pPr>
            <w:r/>
            <w:r>
              <w:rPr>
                <w:b/>
                <w:sz w:val="18"/>
              </w:rPr>
              <w:t>66.879 €</w:t>
            </w:r>
          </w:p>
        </w:tc>
        <w:tc>
          <w:tcPr>
            <w:tcW w:type="dxa" w:w="1814"/>
            <w:shd w:val="clear" w:color="auto" w:fill="E3E8E5"/>
          </w:tcPr>
          <w:p>
            <w:pPr>
              <w:keepNext/>
              <w:spacing w:after="20" w:before="20"/>
              <w:jc w:val="right"/>
            </w:pPr>
            <w:r/>
            <w:r>
              <w:rPr>
                <w:b/>
                <w:sz w:val="18"/>
              </w:rPr>
              <w:t>212.800 €</w:t>
            </w:r>
          </w:p>
        </w:tc>
        <w:tc>
          <w:tcPr>
            <w:tcW w:type="dxa" w:w="1814"/>
            <w:shd w:val="clear" w:color="auto" w:fill="E3E8E5"/>
          </w:tcPr>
          <w:p>
            <w:pPr>
              <w:keepNext/>
              <w:spacing w:after="20" w:before="20"/>
              <w:jc w:val="right"/>
            </w:pPr>
            <w:r/>
            <w:r>
              <w:rPr>
                <w:b/>
                <w:sz w:val="18"/>
              </w:rPr>
              <w:t>4.269.180 €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133.383 €</w:t>
            </w:r>
          </w:p>
        </w:tc>
        <w:tc>
          <w:tcPr>
            <w:tcW w:type="dxa" w:w="1701"/>
          </w:tcPr>
          <w:p>
            <w:pPr>
              <w:keepNext/>
              <w:spacing w:after="20" w:before="20"/>
              <w:jc w:val="right"/>
            </w:pPr>
            <w:r/>
            <w:r>
              <w:rPr>
                <w:sz w:val="18"/>
              </w:rPr>
              <w:t>79.418 €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3.898.060 €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118.398 €</w:t>
            </w:r>
          </w:p>
        </w:tc>
        <w:tc>
          <w:tcPr>
            <w:tcW w:type="dxa" w:w="1701"/>
          </w:tcPr>
          <w:p>
            <w:pPr>
              <w:keepNext/>
              <w:spacing w:after="20" w:before="20"/>
              <w:jc w:val="right"/>
            </w:pPr>
            <w:r/>
            <w:r>
              <w:rPr>
                <w:sz w:val="18"/>
              </w:rPr>
              <w:t>94.403 €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3.457.088 €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100.473 €</w:t>
            </w:r>
          </w:p>
        </w:tc>
        <w:tc>
          <w:tcPr>
            <w:tcW w:type="dxa" w:w="1701"/>
          </w:tcPr>
          <w:p>
            <w:pPr>
              <w:keepNext/>
              <w:spacing w:after="20" w:before="20"/>
              <w:jc w:val="right"/>
            </w:pPr>
            <w:r/>
            <w:r>
              <w:rPr>
                <w:sz w:val="18"/>
              </w:rPr>
              <w:t>112.328 €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2.932.587 €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79.012 €</w:t>
            </w:r>
          </w:p>
        </w:tc>
        <w:tc>
          <w:tcPr>
            <w:tcW w:type="dxa" w:w="1701"/>
          </w:tcPr>
          <w:p>
            <w:pPr>
              <w:keepNext/>
              <w:spacing w:after="20" w:before="20"/>
              <w:jc w:val="right"/>
            </w:pPr>
            <w:r/>
            <w:r>
              <w:rPr>
                <w:sz w:val="18"/>
              </w:rPr>
              <w:t>133.789 €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2.308.113 €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53.296 €</w:t>
            </w:r>
          </w:p>
        </w:tc>
        <w:tc>
          <w:tcPr>
            <w:tcW w:type="dxa" w:w="1701"/>
          </w:tcPr>
          <w:p>
            <w:pPr>
              <w:spacing w:after="20" w:before="20"/>
              <w:jc w:val="right"/>
            </w:pPr>
            <w:r/>
            <w:r>
              <w:rPr>
                <w:sz w:val="18"/>
              </w:rPr>
              <w:t>159.505 €</w:t>
            </w:r>
          </w:p>
        </w:tc>
        <w:tc>
          <w:tcPr>
            <w:tcW w:type="dxa" w:w="1814"/>
          </w:tcPr>
          <w:p>
            <w:pPr>
              <w:spacing w:after="20" w:before="20"/>
              <w:jc w:val="right"/>
            </w:pPr>
            <w:r/>
            <w:r>
              <w:rPr>
                <w:sz w:val="18"/>
              </w:rPr>
              <w:t>212.800 €</w:t>
            </w:r>
          </w:p>
        </w:tc>
        <w:tc>
          <w:tcPr>
            <w:tcW w:type="dxa" w:w="1814"/>
          </w:tcPr>
          <w:p>
            <w:pPr>
              <w:spacing w:after="20" w:before="20"/>
              <w:jc w:val="right"/>
            </w:pPr>
            <w:r/>
            <w:r>
              <w:rPr>
                <w:sz w:val="18"/>
              </w:rPr>
              <w:t>1.563.885 €</w:t>
            </w:r>
          </w:p>
        </w:tc>
      </w:tr>
    </w:tbl>
    <w:p>
      <w:pPr>
        <w:spacing w:after="40"/>
      </w:pPr>
    </w:p>
    <w:p>
      <w:pPr>
        <w:spacing w:after="80"/>
      </w:pPr>
      <w:r>
        <w:rPr>
          <w:b w:val="0"/>
          <w:i w:val="0"/>
        </w:rPr>
        <w:t>Nach 10 Jahren beträgt die Restschuld 4.269.180 €. Die Anschlussfinanzierung ist eingeplant, ein Zinsanstieg um einen Prozentpunkt auf die Restschuld kostet ca. 3.558 € pro Monat mehr. Die Bank kann eine höhere Tilgung verlangen, im Modell ist sie einstellbar.</w:t>
      </w:r>
    </w:p>
    <w:p>
      <w:pPr>
        <w:pStyle w:val="Heading1"/>
      </w:pPr>
      <w:r>
        <w:t>9  Ertrag und Kapitaldienst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(8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(510 m² × 10 €)</w:t>
            </w:r>
          </w:p>
        </w:tc>
        <w:tc>
          <w:tcPr>
            <w:tcW w:type="dxa" w:w="2154"/>
          </w:tcPr>
          <w:p>
            <w:pPr>
              <w:keepNext/>
              <w:spacing w:after="20" w:before="20"/>
              <w:jc w:val="right"/>
            </w:pPr>
            <w:r/>
            <w:r>
              <w:rPr>
                <w:sz w:val="18"/>
              </w:rPr>
              <w:t>+5.100 €</w:t>
            </w:r>
          </w:p>
        </w:tc>
        <w:tc>
          <w:tcPr>
            <w:tcW w:type="dxa" w:w="2154"/>
          </w:tcPr>
          <w:p>
            <w:pPr>
              <w:keepNext/>
              <w:spacing w:after="20" w:before="20"/>
              <w:jc w:val="right"/>
            </w:pPr>
            <w:r/>
            <w:r>
              <w:rPr>
                <w:sz w:val="18"/>
              </w:rPr>
              <w:t>+61.200 €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−1.402 €</w:t>
            </w:r>
          </w:p>
        </w:tc>
        <w:tc>
          <w:tcPr>
            <w:tcW w:type="dxa" w:w="2154"/>
          </w:tcPr>
          <w:p>
            <w:pPr>
              <w:keepNext/>
              <w:spacing w:after="20" w:before="20"/>
              <w:jc w:val="right"/>
            </w:pPr>
            <w:r/>
            <w:r>
              <w:rPr>
                <w:sz w:val="18"/>
              </w:rPr>
              <w:t>−16.825 €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+12.619 €</w:t>
            </w:r>
          </w:p>
        </w:tc>
        <w:tc>
          <w:tcPr>
            <w:tcW w:type="dxa" w:w="2154"/>
            <w:shd w:val="clear" w:color="auto" w:fill="E3E8E5"/>
          </w:tcPr>
          <w:p>
            <w:pPr>
              <w:keepNext/>
              <w:spacing w:after="20" w:before="20"/>
              <w:jc w:val="right"/>
            </w:pPr>
            <w:r/>
            <w:r>
              <w:rPr>
                <w:b/>
                <w:sz w:val="18"/>
              </w:rPr>
              <w:t>+151.422 €</w:t>
            </w:r>
          </w:p>
        </w:tc>
      </w:tr>
      <w:tr>
        <w:trPr>
          <w:cantSplit/>
        </w:trPr>
        <w:tc>
          <w:tcPr>
            <w:tcW w:type="dxa" w:w="5102"/>
          </w:tcPr>
          <w:p>
            <w:pPr>
              <w:keepNext/>
              <w:spacing w:after="20" w:before="20"/>
            </w:pPr>
            <w:r/>
            <w:r>
              <w:rPr>
                <w:sz w:val="18"/>
              </w:rPr>
              <w:t>Betriebsergebnis Gastro nach Pacht (95.635 € Umsatz)</w:t>
            </w:r>
          </w:p>
        </w:tc>
        <w:tc>
          <w:tcPr>
            <w:tcW w:type="dxa" w:w="2154"/>
          </w:tcPr>
          <w:p>
            <w:pPr>
              <w:keepNext/>
              <w:spacing w:after="20" w:before="20"/>
              <w:jc w:val="right"/>
            </w:pPr>
            <w:r/>
            <w:r>
              <w:rPr>
                <w:sz w:val="18"/>
              </w:rPr>
              <w:t>+24.069 €</w:t>
            </w:r>
          </w:p>
        </w:tc>
        <w:tc>
          <w:tcPr>
            <w:tcW w:type="dxa" w:w="2154"/>
          </w:tcPr>
          <w:p>
            <w:pPr>
              <w:keepNext/>
              <w:spacing w:after="20" w:before="20"/>
              <w:jc w:val="right"/>
            </w:pPr>
            <w:r/>
            <w:r>
              <w:rPr>
                <w:sz w:val="18"/>
              </w:rPr>
              <w:t>+288.824 €</w:t>
            </w:r>
          </w:p>
        </w:tc>
      </w:tr>
      <w:tr>
        <w:trPr>
          <w:cantSplit/>
        </w:trPr>
        <w:tc>
          <w:tcPr>
            <w:tcW w:type="dxa" w:w="5102"/>
            <w:shd w:val="clear" w:color="auto" w:fill="E3E8E5"/>
          </w:tcPr>
          <w:p>
            <w:pPr>
              <w:keepNext/>
              <w:spacing w:after="20" w:before="20"/>
            </w:pPr>
            <w:r/>
            <w:r>
              <w:rPr>
                <w:b/>
                <w:sz w:val="18"/>
              </w:rPr>
              <w:t>Nettoertrag vor Kapitaldienst</w:t>
            </w:r>
          </w:p>
        </w:tc>
        <w:tc>
          <w:tcPr>
            <w:tcW w:type="dxa" w:w="2154"/>
            <w:shd w:val="clear" w:color="auto" w:fill="E3E8E5"/>
          </w:tcPr>
          <w:p>
            <w:pPr>
              <w:keepNext/>
              <w:spacing w:after="20" w:before="20"/>
              <w:jc w:val="right"/>
            </w:pPr>
            <w:r/>
            <w:r>
              <w:rPr>
                <w:b/>
                <w:sz w:val="18"/>
              </w:rPr>
              <w:t>+36.687 €</w:t>
            </w:r>
          </w:p>
        </w:tc>
        <w:tc>
          <w:tcPr>
            <w:tcW w:type="dxa" w:w="2154"/>
            <w:shd w:val="clear" w:color="auto" w:fill="E3E8E5"/>
          </w:tcPr>
          <w:p>
            <w:pPr>
              <w:keepNext/>
              <w:spacing w:after="20" w:before="20"/>
              <w:jc w:val="right"/>
            </w:pPr>
            <w:r/>
            <w:r>
              <w:rPr>
                <w:b/>
                <w:sz w:val="18"/>
              </w:rPr>
              <w:t>+440.246 €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−17.733 €</w:t>
            </w:r>
          </w:p>
        </w:tc>
        <w:tc>
          <w:tcPr>
            <w:tcW w:type="dxa" w:w="2154"/>
          </w:tcPr>
          <w:p>
            <w:pPr>
              <w:keepNext/>
              <w:spacing w:after="20" w:before="20"/>
              <w:jc w:val="right"/>
            </w:pPr>
            <w:r/>
            <w:r>
              <w:rPr>
                <w:sz w:val="18"/>
              </w:rPr>
              <w:t>−212.800 €</w:t>
            </w:r>
          </w:p>
        </w:tc>
      </w:tr>
      <w:tr>
        <w:trPr>
          <w:cantSplit/>
        </w:trPr>
        <w:tc>
          <w:tcPr>
            <w:tcW w:type="dxa" w:w="5102"/>
            <w:shd w:val="clear" w:color="auto" w:fill="E3E8E5"/>
          </w:tcPr>
          <w:p>
            <w:pPr>
              <w:spacing w:after="20" w:before="20"/>
            </w:pPr>
            <w:r/>
            <w:r>
              <w:rPr>
                <w:b/>
                <w:sz w:val="18"/>
              </w:rPr>
              <w:t>Ergebnis nach Kapitaldienst</w:t>
            </w:r>
          </w:p>
        </w:tc>
        <w:tc>
          <w:tcPr>
            <w:tcW w:type="dxa" w:w="2154"/>
            <w:shd w:val="clear" w:color="auto" w:fill="E3E8E5"/>
          </w:tcPr>
          <w:p>
            <w:pPr>
              <w:spacing w:after="20" w:before="20"/>
              <w:jc w:val="right"/>
            </w:pPr>
            <w:r/>
            <w:r>
              <w:rPr>
                <w:b/>
                <w:sz w:val="18"/>
              </w:rPr>
              <w:t>+18.954 €</w:t>
            </w:r>
          </w:p>
        </w:tc>
        <w:tc>
          <w:tcPr>
            <w:tcW w:type="dxa" w:w="2154"/>
            <w:shd w:val="clear" w:color="auto" w:fill="E3E8E5"/>
          </w:tcPr>
          <w:p>
            <w:pPr>
              <w:spacing w:after="20" w:before="20"/>
              <w:jc w:val="right"/>
            </w:pPr>
            <w:r/>
            <w:r>
              <w:rPr>
                <w:b/>
                <w:sz w:val="18"/>
              </w:rPr>
              <w:t>+227.446 €</w:t>
            </w:r>
          </w:p>
        </w:tc>
      </w:tr>
    </w:tbl>
    <w:p>
      <w:pPr>
        <w:spacing w:after="40"/>
      </w:pPr>
    </w:p>
    <w:p>
      <w:pPr>
        <w:pStyle w:val="ListBullet"/>
        <w:spacing w:after="60"/>
      </w:pPr>
      <w:r>
        <w:rPr>
          <w:b/>
        </w:rPr>
        <w:t xml:space="preserve">Kapitaldienstdeckung (DSCR): </w:t>
      </w:r>
      <w:r>
        <w:t>2,07 gesamt, 0,71 nur aus Miete, Büro und Pacht, 0,45 nur aus Wohnen und Büro. Banken verlangen meist mindestens 1,2.</w:t>
      </w:r>
    </w:p>
    <w:p>
      <w:pPr>
        <w:pStyle w:val="ListBullet"/>
        <w:spacing w:after="60"/>
      </w:pPr>
      <w:r>
        <w:rPr>
          <w:b/>
        </w:rPr>
        <w:t xml:space="preserve">Zinsdeckung: </w:t>
      </w:r>
      <w:r>
        <w:t>2,69 (Ertrag vor Kapitaldienst im Verhältnis zu den Zinsen).</w:t>
      </w:r>
    </w:p>
    <w:p>
      <w:pPr>
        <w:pStyle w:val="ListBullet"/>
        <w:spacing w:after="60"/>
      </w:pPr>
      <w:r>
        <w:rPr>
          <w:b/>
        </w:rPr>
        <w:t xml:space="preserve">Anfangsrendite: </w:t>
      </w:r>
      <w:r>
        <w:t>3,13 % (Nettoertrag der Immobilie auf die Gesamtkosten).</w:t>
      </w:r>
    </w:p>
    <w:p>
      <w:pPr>
        <w:pStyle w:val="ListBullet"/>
        <w:spacing w:after="60"/>
      </w:pPr>
      <w:r>
        <w:rPr>
          <w:b/>
        </w:rPr>
        <w:t xml:space="preserve">Break-even: </w:t>
      </w:r>
      <w:r>
        <w:t>Das Haus ist ab ca. 33.500 € Gastro-Umsatz im Monat im Plus, alle Raten sind dann bezahlt.</w:t>
      </w:r>
    </w:p>
    <w:p>
      <w:r>
        <w:rPr>
          <w:b w:val="0"/>
          <w:i/>
          <w:color w:val="5B6770"/>
          <w:sz w:val="18"/>
        </w:rPr>
        <w:t>Der Gastro-Gewinn ist für die Bank der unsichere Teil des Ertrags. Ein Pachtvertrag mit einem Betreiber, der Sicherheiten stellt, und ein überzeugendes Gastro-Konzept sind deshalb entscheidend.</w:t>
      </w:r>
    </w:p>
    <w:p>
      <w:pPr>
        <w:pStyle w:val="Heading1"/>
      </w:pPr>
      <w:r>
        <w:t>10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168.247 €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−23.141 €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145.106 €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19,9)</w:t>
            </w:r>
          </w:p>
        </w:tc>
        <w:tc>
          <w:tcPr>
            <w:tcW w:type="dxa" w:w="3175"/>
          </w:tcPr>
          <w:p>
            <w:pPr>
              <w:keepNext/>
              <w:spacing w:after="20" w:before="20"/>
              <w:jc w:val="right"/>
            </w:pPr>
            <w:r/>
            <w:r>
              <w:rPr>
                <w:sz w:val="18"/>
              </w:rPr>
              <w:t>2.656.444 €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2.877.244 €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1.806.745 €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796.217 €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2.589.520 €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4.845.506 €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187 %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−1.968.262 €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2.773.890 €</w:t>
            </w:r>
          </w:p>
        </w:tc>
      </w:tr>
    </w:tbl>
    <w:p>
      <w:pPr>
        <w:spacing w:after="40"/>
      </w:pPr>
    </w:p>
    <w:p>
      <w:pPr>
        <w:spacing w:after="40"/>
      </w:pPr>
      <w:r>
        <w:rPr>
          <w:b/>
          <w:i w:val="0"/>
          <w:color w:val="2F4A3E"/>
        </w:rPr>
        <w:t>Bewertung</w:t>
      </w:r>
    </w:p>
    <w:p>
      <w:r>
        <w:rPr>
          <w:b w:val="0"/>
          <w:i w:val="0"/>
        </w:rPr>
        <w:t>Die Mieten, Büromieten und die Pacht tragen einen Ertragswert von 2,88 Mio. €, die Kosten liegen bei 4,85 Mio. €. Bei 100 % Fremdfinanzierung ergibt sich ein Beleihungsauslauf von 187 %, Banken beleihen üblicherweise nur bis ca. 80 %. Um das Darlehen darstellen zu können, bietet der Bauherr der Bank zusätzliche Sicherheiten an, etwa Grundschulden auf weitere Immobilien, eine Bürgschaft oder Eigenkapital. Rechnerisch geht es um ca. 2,77 Mio. €. Weitere Hebel sind höhere Mieten durch Vorvermietung, niedrigere Baukosten durch die Angebote der Bekannten-Unternehmen und eine Städtebauförderung (Zuschuss der Stadt, noch offen).</w:t>
      </w:r>
    </w:p>
    <w:p>
      <w:pPr>
        <w:pStyle w:val="Heading1"/>
      </w:pPr>
      <w:r>
        <w:t>11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vor Kapitaldienst</w:t>
            </w:r>
          </w:p>
        </w:tc>
        <w:tc>
          <w:tcPr>
            <w:tcW w:type="dxa" w:w="1304"/>
          </w:tcPr>
          <w:p>
            <w:pPr>
              <w:keepNext/>
              <w:spacing w:after="20" w:before="20"/>
              <w:jc w:val="right"/>
            </w:pPr>
            <w:r/>
            <w:r>
              <w:rPr>
                <w:sz w:val="17"/>
              </w:rPr>
              <w:t>440.246 €</w:t>
            </w:r>
          </w:p>
        </w:tc>
        <w:tc>
          <w:tcPr>
            <w:tcW w:type="dxa" w:w="1304"/>
          </w:tcPr>
          <w:p>
            <w:pPr>
              <w:keepNext/>
              <w:spacing w:after="20" w:before="20"/>
              <w:jc w:val="right"/>
            </w:pPr>
            <w:r/>
            <w:r>
              <w:rPr>
                <w:sz w:val="17"/>
              </w:rPr>
              <w:t>453.729 €</w:t>
            </w:r>
          </w:p>
        </w:tc>
        <w:tc>
          <w:tcPr>
            <w:tcW w:type="dxa" w:w="1304"/>
          </w:tcPr>
          <w:p>
            <w:pPr>
              <w:keepNext/>
              <w:spacing w:after="20" w:before="20"/>
              <w:jc w:val="right"/>
            </w:pPr>
            <w:r/>
            <w:r>
              <w:rPr>
                <w:sz w:val="17"/>
              </w:rPr>
              <w:t>467.626 €</w:t>
            </w:r>
          </w:p>
        </w:tc>
        <w:tc>
          <w:tcPr>
            <w:tcW w:type="dxa" w:w="1304"/>
          </w:tcPr>
          <w:p>
            <w:pPr>
              <w:keepNext/>
              <w:spacing w:after="20" w:before="20"/>
              <w:jc w:val="right"/>
            </w:pPr>
            <w:r/>
            <w:r>
              <w:rPr>
                <w:sz w:val="17"/>
              </w:rPr>
              <w:t>481.950 €</w:t>
            </w:r>
          </w:p>
        </w:tc>
        <w:tc>
          <w:tcPr>
            <w:tcW w:type="dxa" w:w="1304"/>
          </w:tcPr>
          <w:p>
            <w:pPr>
              <w:keepNext/>
              <w:spacing w:after="20" w:before="20"/>
              <w:jc w:val="right"/>
            </w:pPr>
            <w:r/>
            <w:r>
              <w:rPr>
                <w:sz w:val="17"/>
              </w:rPr>
              <w:t>504.267 €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r>
      <w:tr>
        <w:trPr>
          <w:cantSplit/>
        </w:trPr>
        <w:tc>
          <w:tcPr>
            <w:tcW w:type="dxa" w:w="2891"/>
            <w:shd w:val="clear" w:color="auto" w:fill="E3E8E5"/>
          </w:tcPr>
          <w:p>
            <w:pPr>
              <w:keepNext/>
              <w:spacing w:after="20" w:before="20"/>
            </w:pPr>
            <w:r/>
            <w:r>
              <w:rPr>
                <w:b/>
                <w:sz w:val="17"/>
              </w:rPr>
              <w:t>Ergebnis nach Kapitaldienst</w:t>
            </w:r>
          </w:p>
        </w:tc>
        <w:tc>
          <w:tcPr>
            <w:tcW w:type="dxa" w:w="1304"/>
            <w:shd w:val="clear" w:color="auto" w:fill="E3E8E5"/>
          </w:tcPr>
          <w:p>
            <w:pPr>
              <w:keepNext/>
              <w:spacing w:after="20" w:before="20"/>
              <w:jc w:val="right"/>
            </w:pPr>
            <w:r/>
            <w:r>
              <w:rPr>
                <w:b/>
                <w:sz w:val="17"/>
              </w:rPr>
              <w:t>227.446 €</w:t>
            </w:r>
          </w:p>
        </w:tc>
        <w:tc>
          <w:tcPr>
            <w:tcW w:type="dxa" w:w="1304"/>
            <w:shd w:val="clear" w:color="auto" w:fill="E3E8E5"/>
          </w:tcPr>
          <w:p>
            <w:pPr>
              <w:keepNext/>
              <w:spacing w:after="20" w:before="20"/>
              <w:jc w:val="right"/>
            </w:pPr>
            <w:r/>
            <w:r>
              <w:rPr>
                <w:b/>
                <w:sz w:val="17"/>
              </w:rPr>
              <w:t>240.928 €</w:t>
            </w:r>
          </w:p>
        </w:tc>
        <w:tc>
          <w:tcPr>
            <w:tcW w:type="dxa" w:w="1304"/>
            <w:shd w:val="clear" w:color="auto" w:fill="E3E8E5"/>
          </w:tcPr>
          <w:p>
            <w:pPr>
              <w:keepNext/>
              <w:spacing w:after="20" w:before="20"/>
              <w:jc w:val="right"/>
            </w:pPr>
            <w:r/>
            <w:r>
              <w:rPr>
                <w:b/>
                <w:sz w:val="17"/>
              </w:rPr>
              <w:t>254.825 €</w:t>
            </w:r>
          </w:p>
        </w:tc>
        <w:tc>
          <w:tcPr>
            <w:tcW w:type="dxa" w:w="1304"/>
            <w:shd w:val="clear" w:color="auto" w:fill="E3E8E5"/>
          </w:tcPr>
          <w:p>
            <w:pPr>
              <w:keepNext/>
              <w:spacing w:after="20" w:before="20"/>
              <w:jc w:val="right"/>
            </w:pPr>
            <w:r/>
            <w:r>
              <w:rPr>
                <w:b/>
                <w:sz w:val="17"/>
              </w:rPr>
              <w:t>269.150 €</w:t>
            </w:r>
          </w:p>
        </w:tc>
        <w:tc>
          <w:tcPr>
            <w:tcW w:type="dxa" w:w="1304"/>
            <w:shd w:val="clear" w:color="auto" w:fill="E3E8E5"/>
          </w:tcPr>
          <w:p>
            <w:pPr>
              <w:keepNext/>
              <w:spacing w:after="20" w:before="20"/>
              <w:jc w:val="right"/>
            </w:pPr>
            <w:r/>
            <w:r>
              <w:rPr>
                <w:b/>
                <w:sz w:val="17"/>
              </w:rPr>
              <w:t>291.467 €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2,07</w:t>
            </w:r>
          </w:p>
        </w:tc>
        <w:tc>
          <w:tcPr>
            <w:tcW w:type="dxa" w:w="1304"/>
          </w:tcPr>
          <w:p>
            <w:pPr>
              <w:keepNext/>
              <w:spacing w:after="20" w:before="20"/>
              <w:jc w:val="right"/>
            </w:pPr>
            <w:r/>
            <w:r>
              <w:rPr>
                <w:sz w:val="17"/>
              </w:rPr>
              <w:t>2,13</w:t>
            </w:r>
          </w:p>
        </w:tc>
        <w:tc>
          <w:tcPr>
            <w:tcW w:type="dxa" w:w="1304"/>
          </w:tcPr>
          <w:p>
            <w:pPr>
              <w:keepNext/>
              <w:spacing w:after="20" w:before="20"/>
              <w:jc w:val="right"/>
            </w:pPr>
            <w:r/>
            <w:r>
              <w:rPr>
                <w:sz w:val="17"/>
              </w:rPr>
              <w:t>2,20</w:t>
            </w:r>
          </w:p>
        </w:tc>
        <w:tc>
          <w:tcPr>
            <w:tcW w:type="dxa" w:w="1304"/>
          </w:tcPr>
          <w:p>
            <w:pPr>
              <w:keepNext/>
              <w:spacing w:after="20" w:before="20"/>
              <w:jc w:val="right"/>
            </w:pPr>
            <w:r/>
            <w:r>
              <w:rPr>
                <w:sz w:val="17"/>
              </w:rPr>
              <w:t>2,26</w:t>
            </w:r>
          </w:p>
        </w:tc>
        <w:tc>
          <w:tcPr>
            <w:tcW w:type="dxa" w:w="1304"/>
          </w:tcPr>
          <w:p>
            <w:pPr>
              <w:keepNext/>
              <w:spacing w:after="20" w:before="20"/>
              <w:jc w:val="right"/>
            </w:pPr>
            <w:r/>
            <w:r>
              <w:rPr>
                <w:sz w:val="17"/>
              </w:rPr>
              <w:t>2,37</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4.796.290 €</w:t>
            </w:r>
          </w:p>
        </w:tc>
        <w:tc>
          <w:tcPr>
            <w:tcW w:type="dxa" w:w="1304"/>
          </w:tcPr>
          <w:p>
            <w:pPr>
              <w:spacing w:after="20" w:before="20"/>
              <w:jc w:val="right"/>
            </w:pPr>
            <w:r/>
            <w:r>
              <w:rPr>
                <w:sz w:val="17"/>
              </w:rPr>
              <w:t>4.692.706 €</w:t>
            </w:r>
          </w:p>
        </w:tc>
        <w:tc>
          <w:tcPr>
            <w:tcW w:type="dxa" w:w="1304"/>
          </w:tcPr>
          <w:p>
            <w:pPr>
              <w:spacing w:after="20" w:before="20"/>
              <w:jc w:val="right"/>
            </w:pPr>
            <w:r/>
            <w:r>
              <w:rPr>
                <w:sz w:val="17"/>
              </w:rPr>
              <w:t>4.581.834 €</w:t>
            </w:r>
          </w:p>
        </w:tc>
        <w:tc>
          <w:tcPr>
            <w:tcW w:type="dxa" w:w="1304"/>
          </w:tcPr>
          <w:p>
            <w:pPr>
              <w:spacing w:after="20" w:before="20"/>
              <w:jc w:val="right"/>
            </w:pPr>
            <w:r/>
            <w:r>
              <w:rPr>
                <w:sz w:val="17"/>
              </w:rPr>
              <w:t>4.463.143 €</w:t>
            </w:r>
          </w:p>
        </w:tc>
        <w:tc>
          <w:tcPr>
            <w:tcW w:type="dxa" w:w="1304"/>
          </w:tcPr>
          <w:p>
            <w:pPr>
              <w:spacing w:after="20" w:before="20"/>
              <w:jc w:val="right"/>
            </w:pPr>
            <w:r/>
            <w:r>
              <w:rPr>
                <w:sz w:val="17"/>
              </w:rPr>
              <w:t>4.269.180 €</w:t>
            </w:r>
          </w:p>
        </w:tc>
      </w:tr>
    </w:tbl>
    <w:p>
      <w:pPr>
        <w:spacing w:after="40"/>
      </w:pPr>
    </w:p>
    <w:p>
      <w:r>
        <w:rPr>
          <w:b w:val="0"/>
          <w:i/>
          <w:color w:val="5B6770"/>
          <w:sz w:val="18"/>
        </w:rPr>
        <w:t>Annahme: Miete, Pacht und Gastro-Umsatz steigen um 1,5 % pro Jahr, Büromieten um 2 % (Indexmiete), der Kapitaldienst bleibt gleich. Die Kapitaldienstdeckung verbessert sich von 2,07 auf 2,37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+18.954 €</w:t>
            </w:r>
          </w:p>
        </w:tc>
        <w:tc>
          <w:tcPr>
            <w:tcW w:type="dxa" w:w="1134"/>
            <w:shd w:val="clear" w:color="auto" w:fill="E3E8E5"/>
          </w:tcPr>
          <w:p>
            <w:pPr>
              <w:keepNext/>
              <w:spacing w:after="20" w:before="20"/>
              <w:jc w:val="right"/>
            </w:pPr>
            <w:r/>
            <w:r>
              <w:rPr>
                <w:b/>
                <w:sz w:val="18"/>
              </w:rPr>
              <w:t>2,07</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+15.396 €</w:t>
            </w:r>
          </w:p>
        </w:tc>
        <w:tc>
          <w:tcPr>
            <w:tcW w:type="dxa" w:w="1134"/>
          </w:tcPr>
          <w:p>
            <w:pPr>
              <w:keepNext/>
              <w:spacing w:after="20" w:before="20"/>
              <w:jc w:val="right"/>
            </w:pPr>
            <w:r/>
            <w:r>
              <w:rPr>
                <w:sz w:val="18"/>
              </w:rPr>
              <w:t>1,72</w:t>
            </w:r>
          </w:p>
        </w:tc>
        <w:tc>
          <w:tcPr>
            <w:tcW w:type="dxa" w:w="1814"/>
          </w:tcPr>
          <w:p>
            <w:pPr>
              <w:keepNext/>
              <w:spacing w:after="20" w:before="20"/>
              <w:jc w:val="right"/>
            </w:pPr>
            <w:r/>
            <w:r>
              <w:rPr>
                <w:sz w:val="18"/>
              </w:rPr>
              <w:t>−3.558 €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+18.295 €</w:t>
            </w:r>
          </w:p>
        </w:tc>
        <w:tc>
          <w:tcPr>
            <w:tcW w:type="dxa" w:w="1134"/>
          </w:tcPr>
          <w:p>
            <w:pPr>
              <w:keepNext/>
              <w:spacing w:after="20" w:before="20"/>
              <w:jc w:val="right"/>
            </w:pPr>
            <w:r/>
            <w:r>
              <w:rPr>
                <w:sz w:val="18"/>
              </w:rPr>
              <w:t>2,03</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w:t>
            </w:r>
          </w:p>
        </w:tc>
        <w:tc>
          <w:tcPr>
            <w:tcW w:type="dxa" w:w="1587"/>
          </w:tcPr>
          <w:p>
            <w:pPr>
              <w:keepNext/>
              <w:spacing w:after="20" w:before="20"/>
              <w:jc w:val="right"/>
            </w:pPr>
            <w:r/>
            <w:r>
              <w:rPr>
                <w:sz w:val="18"/>
              </w:rPr>
              <w:t>+13.120 €</w:t>
            </w:r>
          </w:p>
        </w:tc>
        <w:tc>
          <w:tcPr>
            <w:tcW w:type="dxa" w:w="1134"/>
          </w:tcPr>
          <w:p>
            <w:pPr>
              <w:keepNext/>
              <w:spacing w:after="20" w:before="20"/>
              <w:jc w:val="right"/>
            </w:pPr>
            <w:r/>
            <w:r>
              <w:rPr>
                <w:sz w:val="18"/>
              </w:rPr>
              <w:t>1,74</w:t>
            </w:r>
          </w:p>
        </w:tc>
        <w:tc>
          <w:tcPr>
            <w:tcW w:type="dxa" w:w="1814"/>
          </w:tcPr>
          <w:p>
            <w:pPr>
              <w:keepNext/>
              <w:spacing w:after="20" w:before="20"/>
              <w:jc w:val="right"/>
            </w:pPr>
            <w:r/>
            <w:r>
              <w:rPr>
                <w:sz w:val="18"/>
              </w:rPr>
              <w:t>−5.834 €</w:t>
            </w:r>
          </w:p>
        </w:tc>
      </w:tr>
      <w:tr>
        <w:trPr>
          <w:cantSplit/>
        </w:trPr>
        <w:tc>
          <w:tcPr>
            <w:tcW w:type="dxa" w:w="4876"/>
          </w:tcPr>
          <w:p>
            <w:pPr>
              <w:keepNext/>
              <w:spacing w:after="20" w:before="20"/>
            </w:pPr>
            <w:r/>
            <w:r>
              <w:rPr>
                <w:sz w:val="18"/>
              </w:rPr>
              <w:t>Gastro-Umsatz −40 %</w:t>
            </w:r>
          </w:p>
        </w:tc>
        <w:tc>
          <w:tcPr>
            <w:tcW w:type="dxa" w:w="1587"/>
          </w:tcPr>
          <w:p>
            <w:pPr>
              <w:keepNext/>
              <w:spacing w:after="20" w:before="20"/>
              <w:jc w:val="right"/>
            </w:pPr>
            <w:r/>
            <w:r>
              <w:rPr>
                <w:sz w:val="18"/>
              </w:rPr>
              <w:t>+7.286 €</w:t>
            </w:r>
          </w:p>
        </w:tc>
        <w:tc>
          <w:tcPr>
            <w:tcW w:type="dxa" w:w="1134"/>
          </w:tcPr>
          <w:p>
            <w:pPr>
              <w:keepNext/>
              <w:spacing w:after="20" w:before="20"/>
              <w:jc w:val="right"/>
            </w:pPr>
            <w:r/>
            <w:r>
              <w:rPr>
                <w:sz w:val="18"/>
              </w:rPr>
              <w:t>1,41</w:t>
            </w:r>
          </w:p>
        </w:tc>
        <w:tc>
          <w:tcPr>
            <w:tcW w:type="dxa" w:w="1814"/>
          </w:tcPr>
          <w:p>
            <w:pPr>
              <w:keepNext/>
              <w:spacing w:after="20" w:before="20"/>
              <w:jc w:val="right"/>
            </w:pPr>
            <w:r/>
            <w:r>
              <w:rPr>
                <w:sz w:val="18"/>
              </w:rPr>
              <w:t>−11.667 €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+17.495 €</w:t>
            </w:r>
          </w:p>
        </w:tc>
        <w:tc>
          <w:tcPr>
            <w:tcW w:type="dxa" w:w="1134"/>
          </w:tcPr>
          <w:p>
            <w:pPr>
              <w:keepNext/>
              <w:spacing w:after="20" w:before="20"/>
              <w:jc w:val="right"/>
            </w:pPr>
            <w:r/>
            <w:r>
              <w:rPr>
                <w:sz w:val="18"/>
              </w:rPr>
              <w:t>1,91</w:t>
            </w:r>
          </w:p>
        </w:tc>
        <w:tc>
          <w:tcPr>
            <w:tcW w:type="dxa" w:w="1814"/>
          </w:tcPr>
          <w:p>
            <w:pPr>
              <w:keepNext/>
              <w:spacing w:after="20" w:before="20"/>
              <w:jc w:val="right"/>
            </w:pPr>
            <w:r/>
            <w:r>
              <w:rPr>
                <w:sz w:val="18"/>
              </w:rPr>
              <w:t>−1.459 €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+18.099 €</w:t>
            </w:r>
          </w:p>
        </w:tc>
        <w:tc>
          <w:tcPr>
            <w:tcW w:type="dxa" w:w="1134"/>
          </w:tcPr>
          <w:p>
            <w:pPr>
              <w:keepNext/>
              <w:spacing w:after="20" w:before="20"/>
              <w:jc w:val="right"/>
            </w:pPr>
            <w:r/>
            <w:r>
              <w:rPr>
                <w:sz w:val="18"/>
              </w:rPr>
              <w:t>2,02</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+17.514 €</w:t>
            </w:r>
          </w:p>
        </w:tc>
        <w:tc>
          <w:tcPr>
            <w:tcW w:type="dxa" w:w="1134"/>
          </w:tcPr>
          <w:p>
            <w:pPr>
              <w:keepNext/>
              <w:spacing w:after="20" w:before="20"/>
              <w:jc w:val="right"/>
            </w:pPr>
            <w:r/>
            <w:r>
              <w:rPr>
                <w:sz w:val="18"/>
              </w:rPr>
              <w:t>1,99</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 kein Betriebsergebnis)</w:t>
            </w:r>
          </w:p>
        </w:tc>
        <w:tc>
          <w:tcPr>
            <w:tcW w:type="dxa" w:w="1587"/>
          </w:tcPr>
          <w:p>
            <w:pPr>
              <w:spacing w:after="20" w:before="20"/>
              <w:jc w:val="right"/>
            </w:pPr>
            <w:r/>
            <w:r>
              <w:rPr>
                <w:sz w:val="18"/>
              </w:rPr>
              <w:t>−9.705 €</w:t>
            </w:r>
          </w:p>
        </w:tc>
        <w:tc>
          <w:tcPr>
            <w:tcW w:type="dxa" w:w="1134"/>
          </w:tcPr>
          <w:p>
            <w:pPr>
              <w:spacing w:after="20" w:before="20"/>
              <w:jc w:val="right"/>
            </w:pPr>
            <w:r/>
            <w:r>
              <w:rPr>
                <w:sz w:val="18"/>
              </w:rPr>
              <w:t>0,45</w:t>
            </w:r>
          </w:p>
        </w:tc>
        <w:tc>
          <w:tcPr>
            <w:tcW w:type="dxa" w:w="1814"/>
          </w:tcPr>
          <w:p>
            <w:pPr>
              <w:spacing w:after="20" w:before="20"/>
              <w:jc w:val="right"/>
            </w:pPr>
            <w:r/>
            <w:r>
              <w:rPr>
                <w:sz w:val="18"/>
              </w:rPr>
              <w:t>−28.659 €</w:t>
            </w:r>
          </w:p>
        </w:tc>
      </w:tr>
    </w:tbl>
    <w:p>
      <w:pPr>
        <w:spacing w:after="40"/>
      </w:pPr>
    </w:p>
    <w:p>
      <w:pPr>
        <w:spacing w:after="80"/>
      </w:pPr>
      <w:r>
        <w:rPr>
          <w:b w:val="0"/>
          <w:i w:val="0"/>
        </w:rPr>
        <w:t>Die Tests sind vereinfacht. Das Ergebnis reagiert am stärksten auf den Gastro-Umsatz und die Pacht. Bei einem Umsatz −40 % liegt die Kapitaldienstdeckung noch über 1,4, bei einem Ausfall der Gastro reicht der Ertrag nicht mehr für die Raten. Ein Auszug eines Ankermieters ist verkraftbar.</w:t>
      </w:r>
    </w:p>
    <w:p>
      <w:pPr>
        <w:pStyle w:val="Heading1"/>
      </w:pPr>
      <w:r>
        <w:t>12  Prüfung: ein 60-m²-Apartment als Airbnb</w:t>
      </w:r>
    </w:p>
    <w:p>
      <w:r>
        <w:rPr>
          <w:b w:val="0"/>
          <w:i w:val="0"/>
        </w:rPr>
        <w:t>Marktlage Werlte (49757), Stand Q4 2026: Die Beherbergungsbetriebe der Samtgemeinde Werlte (ab 10 Betten) hatten zuletzt eine Auslastung von 17,4 % bei 2,7 Tagen Aufenthalt, der Emsland-Schnitt liegt bei 36,2 % (Emsland Tourismus, Quelle Landesamt für Statistik). Ferienunterkünfte kosten in Werlte im Schnitt ca. 87 € pro Nacht, 89 % liegen unter 100 €. Belegungsdaten von Airbnb oder AirDNA für Werlte lagen nicht vor, deshalb sind die Szenarien Näherungen. Angesetzt sind 90 € pro Nacht, Möblierung von 600 €/m² (36.000 €) im Kredit, Kosten von 56 % des Umsatzes (Plattform, Reinigung, Nebenkosten, Rücklage) gegenüber einer langfristigen Miete von 11,18 €/m² abzüglich 10 % Rücklagen.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Apartment 60 m²</w:t>
            </w:r>
          </w:p>
        </w:tc>
        <w:tc>
          <w:tcPr>
            <w:tcW w:type="dxa" w:w="1701"/>
            <w:shd w:val="clear" w:color="auto" w:fill="2F4A3E"/>
          </w:tcPr>
          <w:p>
            <w:pPr>
              <w:keepNext/>
              <w:spacing w:after="20" w:before="20"/>
              <w:jc w:val="right"/>
            </w:pPr>
            <w:r/>
            <w:r>
              <w:rPr>
                <w:b/>
                <w:color w:val="FFFFFF"/>
                <w:sz w:val="18"/>
              </w:rPr>
              <w:t>Werlte amtlich</w:t>
            </w:r>
          </w:p>
        </w:tc>
        <w:tc>
          <w:tcPr>
            <w:tcW w:type="dxa" w:w="1701"/>
            <w:shd w:val="clear" w:color="auto" w:fill="2F4A3E"/>
          </w:tcPr>
          <w:p>
            <w:pPr>
              <w:keepNext/>
              <w:spacing w:after="20" w:before="20"/>
              <w:jc w:val="right"/>
            </w:pPr>
            <w:r/>
            <w:r>
              <w:rPr>
                <w:b/>
                <w:color w:val="FFFFFF"/>
                <w:sz w:val="18"/>
              </w:rPr>
              <w:t>Emsland-Schnitt</w:t>
            </w:r>
          </w:p>
        </w:tc>
        <w:tc>
          <w:tcPr>
            <w:tcW w:type="dxa" w:w="1701"/>
            <w:shd w:val="clear" w:color="auto" w:fill="2F4A3E"/>
          </w:tcPr>
          <w:p>
            <w:pPr>
              <w:keepNext/>
              <w:spacing w:after="20" w:before="20"/>
              <w:jc w:val="right"/>
            </w:pPr>
            <w:r/>
            <w:r>
              <w:rPr>
                <w:b/>
                <w:color w:val="FFFFFF"/>
                <w:sz w:val="18"/>
              </w:rPr>
              <w:t>Optimistisch</w:t>
            </w:r>
          </w:p>
        </w:tc>
      </w:tr>
      <w:tr>
        <w:trPr>
          <w:cantSplit/>
        </w:trPr>
        <w:tc>
          <w:tcPr>
            <w:tcW w:type="dxa" w:w="4309"/>
          </w:tcPr>
          <w:p>
            <w:pPr>
              <w:keepNext/>
              <w:spacing w:after="20" w:before="20"/>
            </w:pPr>
            <w:r/>
            <w:r>
              <w:rPr>
                <w:sz w:val="18"/>
              </w:rPr>
              <w:t>Auslastung</w:t>
            </w:r>
          </w:p>
        </w:tc>
        <w:tc>
          <w:tcPr>
            <w:tcW w:type="dxa" w:w="1701"/>
          </w:tcPr>
          <w:p>
            <w:pPr>
              <w:keepNext/>
              <w:spacing w:after="20" w:before="20"/>
              <w:jc w:val="right"/>
            </w:pPr>
            <w:r/>
            <w:r>
              <w:rPr>
                <w:sz w:val="18"/>
              </w:rPr>
              <w:t>17,4 %</w:t>
            </w:r>
          </w:p>
        </w:tc>
        <w:tc>
          <w:tcPr>
            <w:tcW w:type="dxa" w:w="1701"/>
          </w:tcPr>
          <w:p>
            <w:pPr>
              <w:keepNext/>
              <w:spacing w:after="20" w:before="20"/>
              <w:jc w:val="right"/>
            </w:pPr>
            <w:r/>
            <w:r>
              <w:rPr>
                <w:sz w:val="18"/>
              </w:rPr>
              <w:t>36,2 %</w:t>
            </w:r>
          </w:p>
        </w:tc>
        <w:tc>
          <w:tcPr>
            <w:tcW w:type="dxa" w:w="1701"/>
          </w:tcPr>
          <w:p>
            <w:pPr>
              <w:keepNext/>
              <w:spacing w:after="20" w:before="20"/>
              <w:jc w:val="right"/>
            </w:pPr>
            <w:r/>
            <w:r>
              <w:rPr>
                <w:sz w:val="18"/>
              </w:rPr>
              <w:t>60,0 %</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r>
      <w:tr>
        <w:trPr>
          <w:cantSplit/>
        </w:trPr>
        <w:tc>
          <w:tcPr>
            <w:tcW w:type="dxa" w:w="4309"/>
          </w:tcPr>
          <w:p>
            <w:pPr>
              <w:keepNext/>
              <w:spacing w:after="20" w:before="20"/>
            </w:pPr>
            <w:r/>
            <w:r>
              <w:rPr>
                <w:sz w:val="18"/>
              </w:rPr>
              <w:t>Netto Airbnb pro Monat</w:t>
            </w:r>
          </w:p>
        </w:tc>
        <w:tc>
          <w:tcPr>
            <w:tcW w:type="dxa" w:w="1701"/>
          </w:tcPr>
          <w:p>
            <w:pPr>
              <w:keepNext/>
              <w:spacing w:after="20" w:before="20"/>
              <w:jc w:val="right"/>
            </w:pPr>
            <w:r/>
            <w:r>
              <w:rPr>
                <w:sz w:val="18"/>
              </w:rPr>
              <w:t>210 €</w:t>
            </w:r>
          </w:p>
        </w:tc>
        <w:tc>
          <w:tcPr>
            <w:tcW w:type="dxa" w:w="1701"/>
          </w:tcPr>
          <w:p>
            <w:pPr>
              <w:keepNext/>
              <w:spacing w:after="20" w:before="20"/>
              <w:jc w:val="right"/>
            </w:pPr>
            <w:r/>
            <w:r>
              <w:rPr>
                <w:sz w:val="18"/>
              </w:rPr>
              <w:t>436 €</w:t>
            </w:r>
          </w:p>
        </w:tc>
        <w:tc>
          <w:tcPr>
            <w:tcW w:type="dxa" w:w="1701"/>
          </w:tcPr>
          <w:p>
            <w:pPr>
              <w:keepNext/>
              <w:spacing w:after="20" w:before="20"/>
              <w:jc w:val="right"/>
            </w:pPr>
            <w:r/>
            <w:r>
              <w:rPr>
                <w:sz w:val="18"/>
              </w:rPr>
              <w:t>723 €</w:t>
            </w:r>
          </w:p>
        </w:tc>
      </w:tr>
      <w:tr>
        <w:trPr>
          <w:cantSplit/>
        </w:trPr>
        <w:tc>
          <w:tcPr>
            <w:tcW w:type="dxa" w:w="4309"/>
          </w:tcPr>
          <w:p>
            <w:pPr>
              <w:keepNext/>
              <w:spacing w:after="20" w:before="20"/>
            </w:pPr>
            <w:r/>
            <w:r>
              <w:rPr>
                <w:sz w:val="18"/>
              </w:rPr>
              <w:t>Netto langfristige Miete pro Monat</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r>
      <w:tr>
        <w:trPr>
          <w:cantSplit/>
        </w:trPr>
        <w:tc>
          <w:tcPr>
            <w:tcW w:type="dxa" w:w="4309"/>
          </w:tcPr>
          <w:p>
            <w:pPr>
              <w:keepNext/>
              <w:spacing w:after="20" w:before="20"/>
            </w:pPr>
            <w:r/>
            <w:r>
              <w:rPr>
                <w:sz w:val="18"/>
              </w:rPr>
              <w:t>Kapitaldienst Möblierung pro Monat</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r>
      <w:tr>
        <w:trPr>
          <w:cantSplit/>
        </w:trPr>
        <w:tc>
          <w:tcPr>
            <w:tcW w:type="dxa" w:w="4309"/>
            <w:shd w:val="clear" w:color="auto" w:fill="E3E8E5"/>
          </w:tcPr>
          <w:p>
            <w:pPr>
              <w:spacing w:after="20" w:before="20"/>
            </w:pPr>
            <w:r/>
            <w:r>
              <w:rPr>
                <w:b/>
                <w:sz w:val="18"/>
              </w:rPr>
              <w:t>Mehrertrag gegenüber langfristiger Miete pro Monat</w:t>
            </w:r>
          </w:p>
        </w:tc>
        <w:tc>
          <w:tcPr>
            <w:tcW w:type="dxa" w:w="1701"/>
            <w:shd w:val="clear" w:color="auto" w:fill="E3E8E5"/>
          </w:tcPr>
          <w:p>
            <w:pPr>
              <w:spacing w:after="20" w:before="20"/>
              <w:jc w:val="right"/>
            </w:pPr>
            <w:r/>
            <w:r>
              <w:rPr>
                <w:b/>
                <w:sz w:val="18"/>
              </w:rPr>
              <w:t>−544 €</w:t>
            </w:r>
          </w:p>
        </w:tc>
        <w:tc>
          <w:tcPr>
            <w:tcW w:type="dxa" w:w="1701"/>
            <w:shd w:val="clear" w:color="auto" w:fill="E3E8E5"/>
          </w:tcPr>
          <w:p>
            <w:pPr>
              <w:spacing w:after="20" w:before="20"/>
              <w:jc w:val="right"/>
            </w:pPr>
            <w:r/>
            <w:r>
              <w:rPr>
                <w:b/>
                <w:sz w:val="18"/>
              </w:rPr>
              <w:t>−318 €</w:t>
            </w:r>
          </w:p>
        </w:tc>
        <w:tc>
          <w:tcPr>
            <w:tcW w:type="dxa" w:w="1701"/>
            <w:shd w:val="clear" w:color="auto" w:fill="E3E8E5"/>
          </w:tcPr>
          <w:p>
            <w:pPr>
              <w:spacing w:after="20" w:before="20"/>
              <w:jc w:val="right"/>
            </w:pPr>
            <w:r/>
            <w:r>
              <w:rPr>
                <w:b/>
                <w:sz w:val="18"/>
              </w:rPr>
              <w:t>−31 €</w:t>
            </w:r>
          </w:p>
        </w:tc>
      </w:tr>
    </w:tbl>
    <w:p>
      <w:pPr>
        <w:spacing w:after="40"/>
      </w:pPr>
    </w:p>
    <w:p>
      <w:r>
        <w:rPr>
          <w:b/>
          <w:i w:val="0"/>
          <w:color w:val="2F4A3E"/>
        </w:rPr>
        <w:t>Ergebnis: Airbnb lohnt sich in Werlte nicht. Erst ab ca. 63 % Auslastung wäre es so gut wie die langfristige Miete, in Werlte liegt sie amtlich bei 17 %. Dazu kommen Aufwand für Gäste und Reinigung. Die Wohnung bleibt deshalb langfristig vermietet.</w:t>
      </w:r>
    </w:p>
    <w:p>
      <w:pPr>
        <w:pStyle w:val="Heading1"/>
      </w:pPr>
      <w:r>
        <w:t>13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187 % bei 100 % Fremdfinanzierung</w:t>
            </w:r>
          </w:p>
        </w:tc>
        <w:tc>
          <w:tcPr>
            <w:tcW w:type="dxa" w:w="3855"/>
          </w:tcPr>
          <w:p>
            <w:pPr>
              <w:keepNext/>
              <w:spacing w:after="20" w:before="20"/>
            </w:pPr>
            <w:r/>
            <w:r>
              <w:rPr>
                <w:sz w:val="17"/>
              </w:rPr>
              <w:t>Zusätzliche Grundschulden, Bürgschaft, Eigenkapital; Pachtvertrag mit Bonitätsnachweis</w:t>
            </w:r>
          </w:p>
        </w:tc>
      </w:tr>
      <w:tr>
        <w:trPr>
          <w:cantSplit/>
        </w:trPr>
        <w:tc>
          <w:tcPr>
            <w:tcW w:type="dxa" w:w="1701"/>
          </w:tcPr>
          <w:p>
            <w:pPr>
              <w:keepNext/>
              <w:spacing w:after="20" w:before="20"/>
            </w:pPr>
            <w:r/>
            <w:r>
              <w:rPr>
                <w:sz w:val="17"/>
              </w:rPr>
              <w:t>Gastro-Umsatz</w:t>
            </w:r>
          </w:p>
        </w:tc>
        <w:tc>
          <w:tcPr>
            <w:tcW w:type="dxa" w:w="3855"/>
          </w:tcPr>
          <w:p>
            <w:pPr>
              <w:keepNext/>
              <w:spacing w:after="20" w:before="20"/>
            </w:pPr>
            <w:r/>
            <w:r>
              <w:rPr>
                <w:sz w:val="17"/>
              </w:rPr>
              <w:t>Haus ab ca. 33.000 € Umsatz im Plus; bei Ausfall der Gastro fehlen ca. 28.659 € pro Monat</w:t>
            </w:r>
          </w:p>
        </w:tc>
        <w:tc>
          <w:tcPr>
            <w:tcW w:type="dxa" w:w="3855"/>
          </w:tcPr>
          <w:p>
            <w:pPr>
              <w:keepNext/>
              <w:spacing w:after="20" w:before="20"/>
            </w:pPr>
            <w:r/>
            <w:r>
              <w:rPr>
                <w:sz w:val="17"/>
              </w:rPr>
              <w:t>Konzept, erfahrener Betreiber, Probebetrieb, Pachtstaffel</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14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15  Anlagen und Unterlagen für die Bank</w:t>
      </w:r>
    </w:p>
    <w:p>
      <w:r>
        <w:rPr>
          <w:b w:val="0"/>
          <w:i w:val="0"/>
        </w:rPr>
        <w:t>Das Rechenmodell Bankunterlagen_Baufeld3.xlsx enthält Übersicht, Annahmen, Flächen und Mieten, Kosten und Finanzierungsplan, Bauphase, Abzahlungsplan (monatlich und jährlich), Ertrag und Kapitaldienst, Gastro-Betrieb,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(Neue-Mitte-Werlte_Baufeld3_8-Wohnungen_Grosse-Gastro-EG.pptx),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