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B88A2E"/>
          <w:sz w:val="18"/>
        </w:rPr>
        <w:t>NEUE MITTE WERLTE · BAUFELD 3</w:t>
      </w:r>
    </w:p>
    <w:p>
      <w:pPr>
        <w:spacing w:after="40" w:before="0"/>
      </w:pPr>
      <w:r>
        <w:rPr>
          <w:rFonts w:ascii="Georgia" w:hAnsi="Georgia"/>
          <w:b w:val="0"/>
          <w:i w:val="0"/>
          <w:color w:val="2E4A3E"/>
          <w:sz w:val="44"/>
        </w:rPr>
        <w:t>Kosten, Nutzen und Gewinn pro Kopf</w:t>
      </w:r>
    </w:p>
    <w:p>
      <w:pPr>
        <w:spacing w:after="120" w:before="0"/>
      </w:pPr>
      <w:r>
        <w:rPr>
          <w:b w:val="0"/>
          <w:i/>
          <w:color w:val="5A5F66"/>
          <w:sz w:val="19"/>
        </w:rPr>
        <w:t>Kurze Erklärung für die Gesellschafter einer GbR. Basis: Excel-Rechenmodell (8 Wohnungen, 2 Büros, Gastro 510 m²), Jahr 1 nach der Anlaufzeit. Alle Zahlen sind Planungsannahmen, Stand Oktober 2026.</w:t>
      </w:r>
    </w:p>
    <w:p>
      <w:pPr>
        <w:keepNext/>
        <w:spacing w:after="60" w:before="160"/>
      </w:pPr>
      <w:r>
        <w:rPr>
          <w:rFonts w:ascii="Georgia" w:hAnsi="Georgia"/>
          <w:b w:val="0"/>
          <w:i w:val="0"/>
          <w:color w:val="8B3A2F"/>
          <w:sz w:val="28"/>
        </w:rPr>
        <w:t>1 Was kostet das Projekt?</w:t>
      </w:r>
    </w:p>
    <w:p>
      <w:pPr>
        <w:spacing w:after="80" w:before="0"/>
      </w:pPr>
      <w:r>
        <w:rPr>
          <w:b w:val="0"/>
          <w:i w:val="0"/>
        </w:rPr>
        <w:t>Die Gesamtkosten liegen bei 4.845.506 € (Grundstück 236.256 €, Bau, Nebenkosten, Gastro- und Büro-Ausbau, Finanzierungskosten in der Bauzeit). Sie werden zu 100 % über KfW-Kredite und Hausbank finanziert, die Gesellschafter zahlen kein Eigenkapital ein. Die Rate für Zins und 1 % Tilgung beträgt 17.733 € im Monat (212.800 € im Jahr).</w:t>
      </w:r>
    </w:p>
    <w:p>
      <w:pPr>
        <w:keepNext/>
        <w:spacing w:after="60" w:before="160"/>
      </w:pPr>
      <w:r>
        <w:rPr>
          <w:rFonts w:ascii="Georgia" w:hAnsi="Georgia"/>
          <w:b w:val="0"/>
          <w:i w:val="0"/>
          <w:color w:val="8B3A2F"/>
          <w:sz w:val="28"/>
        </w:rPr>
        <w:t>2 Was kommt rein? (pro Jahr)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483"/>
        <w:gridCol w:w="2154"/>
      </w:tblGrid>
      <w:tr>
        <w:tc>
          <w:tcPr>
            <w:tcW w:type="dxa" w:w="7483"/>
            <w:shd w:val="clear" w:color="auto" w:fill="2E4A3E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Position</w:t>
            </w:r>
          </w:p>
        </w:tc>
        <w:tc>
          <w:tcPr>
            <w:tcW w:type="dxa" w:w="2154"/>
            <w:shd w:val="clear" w:color="auto" w:fill="2E4A3E"/>
          </w:tcPr>
          <w:p>
            <w:pPr>
              <w:spacing w:after="20"/>
              <w:jc w:val="right"/>
            </w:pPr>
            <w:r/>
            <w:r>
              <w:rPr>
                <w:b/>
                <w:color w:val="FFFFFF"/>
                <w:sz w:val="19"/>
              </w:rPr>
              <w:t>pro Jahr</w:t>
            </w:r>
          </w:p>
        </w:tc>
      </w:tr>
      <w:tr>
        <w:tc>
          <w:tcPr>
            <w:tcW w:type="dxa" w:w="7483"/>
          </w:tcPr>
          <w:p>
            <w:pPr>
              <w:spacing w:after="20"/>
            </w:pPr>
            <w:r/>
            <w:r>
              <w:rPr>
                <w:sz w:val="19"/>
              </w:rPr>
              <w:t>Mieten Wohnen (8 Wohnungen, 655 m²) + Büros (2 Ankermieter) + Gastro-Pacht</w:t>
            </w:r>
          </w:p>
        </w:tc>
        <w:tc>
          <w:tcPr>
            <w:tcW w:type="dxa" w:w="2154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168.247 €</w:t>
            </w:r>
          </w:p>
        </w:tc>
      </w:tr>
      <w:tr>
        <w:tc>
          <w:tcPr>
            <w:tcW w:type="dxa" w:w="7483"/>
          </w:tcPr>
          <w:p>
            <w:pPr>
              <w:spacing w:after="20"/>
            </w:pPr>
            <w:r/>
            <w:r>
              <w:rPr>
                <w:sz w:val="19"/>
              </w:rPr>
              <w:t>abzüglich Rücklagen (10 %: Verwaltung, Instandhaltung, Leerstand)</w:t>
            </w:r>
          </w:p>
        </w:tc>
        <w:tc>
          <w:tcPr>
            <w:tcW w:type="dxa" w:w="2154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−16.825 €</w:t>
            </w:r>
          </w:p>
        </w:tc>
      </w:tr>
      <w:tr>
        <w:tc>
          <w:tcPr>
            <w:tcW w:type="dxa" w:w="7483"/>
          </w:tcPr>
          <w:p>
            <w:pPr>
              <w:spacing w:after="20"/>
            </w:pPr>
            <w:r/>
            <w:r>
              <w:rPr>
                <w:sz w:val="19"/>
              </w:rPr>
              <w:t>Gastro-Betriebsergebnis nach Pacht (Umsatz 65.010 € im Monat, ohne Lohn)</w:t>
            </w:r>
          </w:p>
        </w:tc>
        <w:tc>
          <w:tcPr>
            <w:tcW w:type="dxa" w:w="2154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176.737 €</w:t>
            </w:r>
          </w:p>
        </w:tc>
      </w:tr>
      <w:tr>
        <w:tc>
          <w:tcPr>
            <w:tcW w:type="dxa" w:w="7483"/>
            <w:shd w:val="clear" w:color="auto" w:fill="E4EDE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Ertrag vor Kapitaldienst</w:t>
            </w:r>
          </w:p>
        </w:tc>
        <w:tc>
          <w:tcPr>
            <w:tcW w:type="dxa" w:w="2154"/>
            <w:shd w:val="clear" w:color="auto" w:fill="E4EDE6"/>
          </w:tcPr>
          <w:p>
            <w:pPr>
              <w:spacing w:after="20"/>
              <w:jc w:val="right"/>
            </w:pPr>
            <w:r/>
            <w:r>
              <w:rPr>
                <w:b/>
                <w:sz w:val="19"/>
              </w:rPr>
              <w:t>328.159 €</w:t>
            </w:r>
          </w:p>
        </w:tc>
      </w:tr>
      <w:tr>
        <w:tc>
          <w:tcPr>
            <w:tcW w:type="dxa" w:w="7483"/>
          </w:tcPr>
          <w:p>
            <w:pPr>
              <w:spacing w:after="20"/>
            </w:pPr>
            <w:r/>
            <w:r>
              <w:rPr>
                <w:sz w:val="19"/>
              </w:rPr>
              <w:t>Zins und Tilgung an die Banken</w:t>
            </w:r>
          </w:p>
        </w:tc>
        <w:tc>
          <w:tcPr>
            <w:tcW w:type="dxa" w:w="2154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−212.800 €</w:t>
            </w:r>
          </w:p>
        </w:tc>
      </w:tr>
      <w:tr>
        <w:tc>
          <w:tcPr>
            <w:tcW w:type="dxa" w:w="7483"/>
            <w:shd w:val="clear" w:color="auto" w:fill="E4EDE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Cash für die Gesellschafter</w:t>
            </w:r>
          </w:p>
        </w:tc>
        <w:tc>
          <w:tcPr>
            <w:tcW w:type="dxa" w:w="2154"/>
            <w:shd w:val="clear" w:color="auto" w:fill="E4EDE6"/>
          </w:tcPr>
          <w:p>
            <w:pPr>
              <w:spacing w:after="20"/>
              <w:jc w:val="right"/>
            </w:pPr>
            <w:r/>
            <w:r>
              <w:rPr>
                <w:b/>
                <w:sz w:val="19"/>
              </w:rPr>
              <w:t>115.359 €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 w:val="0"/>
          <w:i w:val="0"/>
        </w:rPr>
        <w:t>Nutzen-Faktor: Der Ertrag vor Kapitaldienst entspricht 6,8 % der Gesamtkosten (Anfangsrendite), die Kosten sind also das 14,8-Fache des Jahresertrags. Nur aus Mieten und Pacht wären es 3,1 %, das reicht nicht für die Raten.</w:t>
      </w:r>
    </w:p>
    <w:p>
      <w:pPr>
        <w:keepNext/>
        <w:spacing w:after="60" w:before="160"/>
      </w:pPr>
      <w:r>
        <w:rPr>
          <w:rFonts w:ascii="Georgia" w:hAnsi="Georgia"/>
          <w:b w:val="0"/>
          <w:i w:val="0"/>
          <w:color w:val="8B3A2F"/>
          <w:sz w:val="28"/>
        </w:rPr>
        <w:t>3 Was bekommt jeder? (gleiche Anteile)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814"/>
        <w:gridCol w:w="1814"/>
        <w:gridCol w:w="1814"/>
        <w:gridCol w:w="1701"/>
        <w:gridCol w:w="1361"/>
      </w:tblGrid>
      <w:tr>
        <w:tc>
          <w:tcPr>
            <w:tcW w:type="dxa" w:w="1134"/>
            <w:shd w:val="clear" w:color="auto" w:fill="2E4A3E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Personen</w:t>
            </w:r>
          </w:p>
        </w:tc>
        <w:tc>
          <w:tcPr>
            <w:tcW w:type="dxa" w:w="1814"/>
            <w:shd w:val="clear" w:color="auto" w:fill="2E4A3E"/>
          </w:tcPr>
          <w:p>
            <w:pPr>
              <w:spacing w:after="20"/>
              <w:jc w:val="right"/>
            </w:pPr>
            <w:r/>
            <w:r>
              <w:rPr>
                <w:b/>
                <w:color w:val="FFFFFF"/>
                <w:sz w:val="19"/>
              </w:rPr>
              <w:t>Cash pro Person / Monat</w:t>
            </w:r>
          </w:p>
        </w:tc>
        <w:tc>
          <w:tcPr>
            <w:tcW w:type="dxa" w:w="1814"/>
            <w:shd w:val="clear" w:color="auto" w:fill="2E4A3E"/>
          </w:tcPr>
          <w:p>
            <w:pPr>
              <w:spacing w:after="20"/>
              <w:jc w:val="right"/>
            </w:pPr>
            <w:r/>
            <w:r>
              <w:rPr>
                <w:b/>
                <w:color w:val="FFFFFF"/>
                <w:sz w:val="19"/>
              </w:rPr>
              <w:t>Cash pro Person / Jahr</w:t>
            </w:r>
          </w:p>
        </w:tc>
        <w:tc>
          <w:tcPr>
            <w:tcW w:type="dxa" w:w="1814"/>
            <w:shd w:val="clear" w:color="auto" w:fill="2E4A3E"/>
          </w:tcPr>
          <w:p>
            <w:pPr>
              <w:spacing w:after="20"/>
              <w:jc w:val="right"/>
            </w:pPr>
            <w:r/>
            <w:r>
              <w:rPr>
                <w:b/>
                <w:color w:val="FFFFFF"/>
                <w:sz w:val="19"/>
              </w:rPr>
              <w:t>Gewinn zu versteuern / Jahr</w:t>
            </w:r>
          </w:p>
        </w:tc>
        <w:tc>
          <w:tcPr>
            <w:tcW w:type="dxa" w:w="1701"/>
            <w:shd w:val="clear" w:color="auto" w:fill="2E4A3E"/>
          </w:tcPr>
          <w:p>
            <w:pPr>
              <w:spacing w:after="20"/>
              <w:jc w:val="right"/>
            </w:pPr>
            <w:r/>
            <w:r>
              <w:rPr>
                <w:b/>
                <w:color w:val="FFFFFF"/>
                <w:sz w:val="19"/>
              </w:rPr>
              <w:t>Nach Steuer / Monat</w:t>
            </w:r>
          </w:p>
        </w:tc>
        <w:tc>
          <w:tcPr>
            <w:tcW w:type="dxa" w:w="1361"/>
            <w:shd w:val="clear" w:color="auto" w:fill="2E4A3E"/>
          </w:tcPr>
          <w:p>
            <w:pPr>
              <w:spacing w:after="20"/>
              <w:jc w:val="right"/>
            </w:pPr>
            <w:r/>
            <w:r>
              <w:rPr>
                <w:b/>
                <w:color w:val="FFFFFF"/>
                <w:sz w:val="19"/>
              </w:rPr>
              <w:t>Tilgung pro Person / Jahr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9.613 €</w:t>
            </w:r>
          </w:p>
        </w:tc>
        <w:tc>
          <w:tcPr>
            <w:tcW w:type="dxa" w:w="1814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115.359 €</w:t>
            </w:r>
          </w:p>
        </w:tc>
        <w:tc>
          <w:tcPr>
            <w:tcW w:type="dxa" w:w="1814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34.987 €</w:t>
            </w:r>
          </w:p>
        </w:tc>
        <w:tc>
          <w:tcPr>
            <w:tcW w:type="dxa" w:w="1701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8.593 €</w:t>
            </w:r>
          </w:p>
        </w:tc>
        <w:tc>
          <w:tcPr>
            <w:tcW w:type="dxa" w:w="1361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49.216 €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4.807 €</w:t>
            </w:r>
          </w:p>
        </w:tc>
        <w:tc>
          <w:tcPr>
            <w:tcW w:type="dxa" w:w="1814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57.679 €</w:t>
            </w:r>
          </w:p>
        </w:tc>
        <w:tc>
          <w:tcPr>
            <w:tcW w:type="dxa" w:w="1814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17.494 €</w:t>
            </w:r>
          </w:p>
        </w:tc>
        <w:tc>
          <w:tcPr>
            <w:tcW w:type="dxa" w:w="1701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4.296 €</w:t>
            </w:r>
          </w:p>
        </w:tc>
        <w:tc>
          <w:tcPr>
            <w:tcW w:type="dxa" w:w="1361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24.608 €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2.403 €</w:t>
            </w:r>
          </w:p>
        </w:tc>
        <w:tc>
          <w:tcPr>
            <w:tcW w:type="dxa" w:w="1814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28.840 €</w:t>
            </w:r>
          </w:p>
        </w:tc>
        <w:tc>
          <w:tcPr>
            <w:tcW w:type="dxa" w:w="1814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8.747 €</w:t>
            </w:r>
          </w:p>
        </w:tc>
        <w:tc>
          <w:tcPr>
            <w:tcW w:type="dxa" w:w="1701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2.148 €</w:t>
            </w:r>
          </w:p>
        </w:tc>
        <w:tc>
          <w:tcPr>
            <w:tcW w:type="dxa" w:w="1361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12.304 €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1.202 €</w:t>
            </w:r>
          </w:p>
        </w:tc>
        <w:tc>
          <w:tcPr>
            <w:tcW w:type="dxa" w:w="1814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14.420 €</w:t>
            </w:r>
          </w:p>
        </w:tc>
        <w:tc>
          <w:tcPr>
            <w:tcW w:type="dxa" w:w="1814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4.373 €</w:t>
            </w:r>
          </w:p>
        </w:tc>
        <w:tc>
          <w:tcPr>
            <w:tcW w:type="dxa" w:w="1701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1.074 €</w:t>
            </w:r>
          </w:p>
        </w:tc>
        <w:tc>
          <w:tcPr>
            <w:tcW w:type="dxa" w:w="1361"/>
          </w:tcPr>
          <w:p>
            <w:pPr>
              <w:spacing w:after="20"/>
              <w:jc w:val="right"/>
            </w:pPr>
            <w:r/>
            <w:r>
              <w:rPr>
                <w:sz w:val="19"/>
              </w:rPr>
              <w:t>6.152 €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 w:val="0"/>
          <w:i w:val="0"/>
        </w:rPr>
        <w:t>Steuerlich ist der Gewinn nur 34.987 € im Jahr: Zinsen (163.585 €) und Gebäudeabschreibung 3 % (129.587 €) mindern ihn, die Tilgung (49.216 €) nicht. Die Tilgung ist aber Vermögensaufbau, denn sie senkt die Schulden. Der Steuersatz von 35 % ist eine Annahme und hängt vom persönlichen Einkommen ab.</w:t>
      </w:r>
    </w:p>
    <w:p>
      <w:pPr>
        <w:keepNext/>
        <w:spacing w:after="60" w:before="160"/>
      </w:pPr>
      <w:r>
        <w:rPr>
          <w:rFonts w:ascii="Georgia" w:hAnsi="Georgia"/>
          <w:b w:val="0"/>
          <w:i w:val="0"/>
          <w:color w:val="8B3A2F"/>
          <w:sz w:val="28"/>
        </w:rPr>
        <w:t>4 Wo liegt das Risiko?</w:t>
      </w:r>
    </w:p>
    <w:p>
      <w:pPr>
        <w:pStyle w:val="ListBullet"/>
        <w:spacing w:after="40"/>
      </w:pPr>
      <w:r>
        <w:rPr>
          <w:sz w:val="20"/>
        </w:rPr>
        <w:t>Ohne Gastro-Gewinn fehlen 61.378 € im Jahr (Kapitaldienstdeckung nur 0,71), der Gewinn hängt also an einer gut laufenden Gastro.</w:t>
      </w:r>
    </w:p>
    <w:p>
      <w:pPr>
        <w:pStyle w:val="ListBullet"/>
        <w:spacing w:after="40"/>
      </w:pPr>
      <w:r>
        <w:rPr>
          <w:sz w:val="20"/>
        </w:rPr>
        <w:t>Der Beleihungsauslauf liegt bei 187 %: Die Bank verlangt zusätzliche Sicherheiten (Grundschulden, Bürgschaften oder Eigenkapital), die Lücke zur 80-%-Grenze beträgt etwa 2,77 Mio € insgesamt.</w:t>
      </w:r>
    </w:p>
    <w:p>
      <w:pPr>
        <w:pStyle w:val="ListBullet"/>
        <w:spacing w:after="40"/>
      </w:pPr>
      <w:r>
        <w:rPr>
          <w:sz w:val="20"/>
        </w:rPr>
        <w:t>Eine GbR haftet mit dem persönlichen Vermögen aller Gesellschafter. Betreibt die GbR auch die Gastro, ist sie komplett gewerblich (Gewerbesteuer), besser ist eine getrennte Betreiberfirma, die Pacht zahlt.</w:t>
      </w:r>
    </w:p>
    <w:p>
      <w:pPr>
        <w:pStyle w:val="ListBullet"/>
        <w:spacing w:after="40"/>
      </w:pPr>
      <w:r>
        <w:rPr>
          <w:sz w:val="20"/>
        </w:rPr>
        <w:t>Der Lohn des Bauherrn, mögliche Sonderabschreibungen und Gewerbesteuer sind nicht gerechnet. Steuerberater und Bank müssen das prüfen.</w:t>
      </w:r>
    </w:p>
    <w:p>
      <w:pPr>
        <w:spacing w:after="0" w:before="0"/>
      </w:pPr>
      <w:r>
        <w:rPr>
          <w:b w:val="0"/>
          <w:i/>
          <w:color w:val="5A5F66"/>
          <w:sz w:val="17"/>
        </w:rPr>
        <w:t>Quelle: Bankunterlagen_Baufeld3.xlsx (Blätter Ertrag und Cashflow, Tilgungsplan, Gastro Tagesteile).</w:t>
      </w:r>
    </w:p>
    <w:sectPr w:rsidR="00FC693F" w:rsidRPr="0006063C" w:rsidSect="00034616"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