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C49A45"/>
          <w:sz w:val="22"/>
        </w:rPr>
        <w:t>NEUE MITTE WERLTE</w:t>
      </w:r>
    </w:p>
    <w:p>
      <w:pPr>
        <w:pStyle w:val="Title"/>
      </w:pPr>
      <w:r>
        <w:t>Businessplan: Große Gastro und 8 Wohnungen</w:t>
      </w:r>
    </w:p>
    <w:p>
      <w:pPr>
        <w:spacing w:after="280"/>
      </w:pPr>
      <w:r>
        <w:rPr>
          <w:b w:val="0"/>
          <w:i w:val="0"/>
          <w:color w:val="5B6770"/>
          <w:sz w:val="28"/>
        </w:rPr>
        <w:t>Baufeld 3, Neue Mitte Werlte</w:t>
      </w:r>
    </w:p>
    <w:p>
      <w:r>
        <w:drawing>
          <wp:inline xmlns:a="http://schemas.openxmlformats.org/drawingml/2006/main" xmlns:pic="http://schemas.openxmlformats.org/drawingml/2006/picture">
            <wp:extent cx="5976000" cy="3334608"/>
            <wp:docPr id="1" name="Picture 1"/>
            <wp:cNvGraphicFramePr>
              <a:graphicFrameLocks noChangeAspect="1"/>
            </wp:cNvGraphicFramePr>
            <a:graphic>
              <a:graphicData uri="http://schemas.openxmlformats.org/drawingml/2006/picture">
                <pic:pic>
                  <pic:nvPicPr>
                    <pic:cNvPr id="0" name="ki_aussen_1.jpg"/>
                    <pic:cNvPicPr/>
                  </pic:nvPicPr>
                  <pic:blipFill>
                    <a:blip r:embed="rId10"/>
                    <a:stretch>
                      <a:fillRect/>
                    </a:stretch>
                  </pic:blipFill>
                  <pic:spPr>
                    <a:xfrm>
                      <a:off x="0" y="0"/>
                      <a:ext cx="5976000" cy="3334608"/>
                    </a:xfrm>
                    <a:prstGeom prst="rect"/>
                  </pic:spPr>
                </pic:pic>
              </a:graphicData>
            </a:graphic>
          </wp:inline>
        </w:drawing>
      </w:r>
    </w:p>
    <w:p>
      <w:pPr>
        <w:spacing w:after="280"/>
      </w:pPr>
      <w:r>
        <w:rPr>
          <w:b w:val="0"/>
          <w:i/>
          <w:color w:val="5B6770"/>
          <w:sz w:val="17"/>
        </w:rPr>
        <w:t>KI-Visualisierung zur Orientierung, keine Planung.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tcPr>
          <w:p>
            <w:pPr>
              <w:keepNext/>
              <w:spacing w:after="20" w:before="20"/>
            </w:pPr>
            <w:r/>
            <w:r>
              <w:rPr>
                <w:sz w:val="20"/>
              </w:rPr>
              <w:t>Bauherr</w:t>
            </w:r>
          </w:p>
        </w:tc>
        <w:tc>
          <w:tcPr>
            <w:tcW w:type="dxa" w:w="7143"/>
          </w:tcPr>
          <w:p>
            <w:pPr>
              <w:keepNext/>
              <w:spacing w:after="20" w:before="20"/>
            </w:pPr>
            <w:r/>
            <w:r>
              <w:rPr>
                <w:sz w:val="20"/>
              </w:rPr>
              <w:t>Bessam Hasso, Werlte</w:t>
            </w:r>
          </w:p>
        </w:tc>
      </w:tr>
      <w:tr>
        <w:trPr>
          <w:cantSplit/>
        </w:trPr>
        <w:tc>
          <w:tcPr>
            <w:tcW w:type="dxa" w:w="2268"/>
          </w:tcPr>
          <w:p>
            <w:pPr>
              <w:keepNext/>
              <w:spacing w:after="20" w:before="20"/>
            </w:pPr>
            <w:r/>
            <w:r>
              <w:rPr>
                <w:sz w:val="20"/>
              </w:rPr>
              <w:t>Vorhaben</w:t>
            </w:r>
          </w:p>
        </w:tc>
        <w:tc>
          <w:tcPr>
            <w:tcW w:type="dxa" w:w="7143"/>
          </w:tcPr>
          <w:p>
            <w:pPr>
              <w:keepNext/>
              <w:spacing w:after="20" w:before="20"/>
            </w:pPr>
            <w:r/>
            <w:r>
              <w:rPr>
                <w:sz w:val="20"/>
              </w:rPr>
              <w:t>Neubau eines gemischt genutzten Gebäudes mit Gastro im Erdgeschoss und 8 Mietwohnungen auf 1. Obergeschoss und Staffelgeschoss in Holzbau</w:t>
            </w:r>
          </w:p>
        </w:tc>
      </w:tr>
      <w:tr>
        <w:trPr>
          <w:cantSplit/>
        </w:trPr>
        <w:tc>
          <w:tcPr>
            <w:tcW w:type="dxa" w:w="2268"/>
          </w:tcPr>
          <w:p>
            <w:pPr>
              <w:keepNext/>
              <w:spacing w:after="20" w:before="20"/>
            </w:pPr>
            <w:r/>
            <w:r>
              <w:rPr>
                <w:sz w:val="20"/>
              </w:rPr>
              <w:t>Grundstück</w:t>
            </w:r>
          </w:p>
        </w:tc>
        <w:tc>
          <w:tcPr>
            <w:tcW w:type="dxa" w:w="7143"/>
          </w:tcPr>
          <w:p>
            <w:pPr>
              <w:keepNext/>
              <w:spacing w:after="20" w:before="20"/>
            </w:pPr>
            <w:r/>
            <w:r>
              <w:rPr>
                <w:sz w:val="20"/>
              </w:rPr>
              <w:t>Baufeld 3, ca. 960 m², Bebauungsplan Nr. 123 „Ehemalige Grundschule“, 1. Änderung (Entwurf 25.08.2026)</w:t>
            </w:r>
          </w:p>
        </w:tc>
      </w:tr>
      <w:tr>
        <w:trPr>
          <w:cantSplit/>
        </w:trPr>
        <w:tc>
          <w:tcPr>
            <w:tcW w:type="dxa" w:w="2268"/>
          </w:tcPr>
          <w:p>
            <w:pPr>
              <w:keepNext/>
              <w:spacing w:after="20" w:before="20"/>
            </w:pPr>
            <w:r/>
            <w:r>
              <w:rPr>
                <w:sz w:val="20"/>
              </w:rPr>
              <w:t>Finanzierungsbedarf</w:t>
            </w:r>
          </w:p>
        </w:tc>
        <w:tc>
          <w:tcPr>
            <w:tcW w:type="dxa" w:w="7143"/>
          </w:tcPr>
          <w:p>
            <w:pPr>
              <w:keepNext/>
              <w:spacing w:after="20" w:before="20"/>
            </w:pPr>
            <w:r/>
            <w:r>
              <w:rPr>
                <w:sz w:val="20"/>
              </w:rPr>
              <w:t>4.490.838 € (100 % Fremdkapital), davon KfW-Kredite 1.982.000 €</w:t>
            </w:r>
          </w:p>
        </w:tc>
      </w:tr>
      <w:tr>
        <w:trPr>
          <w:cantSplit/>
        </w:trPr>
        <w:tc>
          <w:tcPr>
            <w:tcW w:type="dxa" w:w="2268"/>
          </w:tcPr>
          <w:p>
            <w:pPr>
              <w:spacing w:after="20" w:before="20"/>
            </w:pPr>
            <w:r/>
            <w:r>
              <w:rPr>
                <w:sz w:val="20"/>
              </w:rPr>
              <w:t>Stand</w:t>
            </w:r>
          </w:p>
        </w:tc>
        <w:tc>
          <w:tcPr>
            <w:tcW w:type="dxa" w:w="7143"/>
          </w:tcPr>
          <w:p>
            <w:pPr>
              <w:spacing w:after="20" w:before="20"/>
            </w:pPr>
            <w:r/>
            <w:r>
              <w:rPr>
                <w:sz w:val="20"/>
              </w:rPr>
              <w:t>Oktober 2026</w:t>
            </w:r>
          </w:p>
        </w:tc>
      </w:tr>
    </w:tbl>
    <w:p>
      <w:pPr>
        <w:spacing w:after="40"/>
      </w:pPr>
    </w:p>
    <w:p>
      <w:r>
        <w:rPr>
          <w:b w:val="0"/>
          <w:i/>
          <w:color w:val="5B6770"/>
          <w:sz w:val="18"/>
        </w:rPr>
        <w:t>Alle Zahlen sind Planungsannahmen auf Basis des beigefügten Rechenmodells (Bankunterlagen_Baufeld3.xlsx). Mieten, Pacht, Umsatz, Baukosten und KfW-Konditionen müssen durch Angebote, Marktdaten und die Zusagen der Banken belegt werden.</w:t>
      </w:r>
    </w:p>
    <w:p>
      <w:r>
        <w:br w:type="page"/>
      </w:r>
    </w:p>
    <w:p>
      <w:pPr>
        <w:pStyle w:val="Heading1"/>
      </w:pPr>
      <w:r>
        <w:t>1  Zusammenfassung</w:t>
      </w:r>
    </w:p>
    <w:p>
      <w:r>
        <w:rPr>
          <w:b w:val="0"/>
          <w:i w:val="0"/>
        </w:rPr>
        <w:t>Auf dem Baufeld 3 der Neuen Mitte Werlte entsteht ein dreigeschossiges Gebäude (zwei Vollgeschosse plus Staffelgeschoss in Holzbau) mit 540 m² Grundfläche und 1.540 m² Bruttogrundfläche (BGF, alle Geschossflächen zusammen). Im Erdgeschoss liegt eine große Gastro mit ca. 460 m², darüber 8 Wohnungen mit zusammen 725 m² Wohnfläche. Die Wohnungen werden langfristig vermietet.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9"/>
              </w:rPr>
              <w:t>Kennzahl</w:t>
            </w:r>
          </w:p>
        </w:tc>
        <w:tc>
          <w:tcPr>
            <w:tcW w:type="dxa" w:w="3175"/>
            <w:shd w:val="clear" w:color="auto" w:fill="2F4A3E"/>
          </w:tcPr>
          <w:p>
            <w:pPr>
              <w:keepNext/>
              <w:spacing w:after="20" w:before="20"/>
              <w:jc w:val="right"/>
            </w:pPr>
            <w:r/>
            <w:r>
              <w:rPr>
                <w:b/>
                <w:color w:val="FFFFFF"/>
                <w:sz w:val="19"/>
              </w:rPr>
              <w:t>Wert</w:t>
            </w:r>
          </w:p>
        </w:tc>
      </w:tr>
      <w:tr>
        <w:trPr>
          <w:cantSplit/>
        </w:trPr>
        <w:tc>
          <w:tcPr>
            <w:tcW w:type="dxa" w:w="6236"/>
          </w:tcPr>
          <w:p>
            <w:pPr>
              <w:keepNext/>
              <w:spacing w:after="20" w:before="20"/>
            </w:pPr>
            <w:r/>
            <w:r>
              <w:rPr>
                <w:sz w:val="19"/>
              </w:rPr>
              <w:t>Gesamtkosten inkl. Finanzierung in Bau- und Anlaufzeit</w:t>
            </w:r>
          </w:p>
        </w:tc>
        <w:tc>
          <w:tcPr>
            <w:tcW w:type="dxa" w:w="3175"/>
          </w:tcPr>
          <w:p>
            <w:pPr>
              <w:keepNext/>
              <w:spacing w:after="20" w:before="20"/>
              <w:jc w:val="right"/>
            </w:pPr>
            <w:r/>
            <w:r>
              <w:rPr>
                <w:sz w:val="19"/>
              </w:rPr>
              <w:t>4.490.838 €</w:t>
            </w:r>
          </w:p>
        </w:tc>
      </w:tr>
      <w:tr>
        <w:trPr>
          <w:cantSplit/>
        </w:trPr>
        <w:tc>
          <w:tcPr>
            <w:tcW w:type="dxa" w:w="6236"/>
          </w:tcPr>
          <w:p>
            <w:pPr>
              <w:keepNext/>
              <w:spacing w:after="20" w:before="20"/>
            </w:pPr>
            <w:r/>
            <w:r>
              <w:rPr>
                <w:sz w:val="19"/>
              </w:rPr>
              <w:t>Darlehen insgesamt (kein Eigenkapital)</w:t>
            </w:r>
          </w:p>
        </w:tc>
        <w:tc>
          <w:tcPr>
            <w:tcW w:type="dxa" w:w="3175"/>
          </w:tcPr>
          <w:p>
            <w:pPr>
              <w:keepNext/>
              <w:spacing w:after="20" w:before="20"/>
              <w:jc w:val="right"/>
            </w:pPr>
            <w:r/>
            <w:r>
              <w:rPr>
                <w:sz w:val="19"/>
              </w:rPr>
              <w:t>4.490.838 €</w:t>
            </w:r>
          </w:p>
        </w:tc>
      </w:tr>
      <w:tr>
        <w:trPr>
          <w:cantSplit/>
        </w:trPr>
        <w:tc>
          <w:tcPr>
            <w:tcW w:type="dxa" w:w="6236"/>
          </w:tcPr>
          <w:p>
            <w:pPr>
              <w:keepNext/>
              <w:spacing w:after="20" w:before="20"/>
            </w:pPr>
            <w:r/>
            <w:r>
              <w:rPr>
                <w:sz w:val="19"/>
              </w:rPr>
              <w:t>davon KfW 297, 298 und 299 (zinsverbilligte Kredite)</w:t>
            </w:r>
          </w:p>
        </w:tc>
        <w:tc>
          <w:tcPr>
            <w:tcW w:type="dxa" w:w="3175"/>
          </w:tcPr>
          <w:p>
            <w:pPr>
              <w:keepNext/>
              <w:spacing w:after="20" w:before="20"/>
              <w:jc w:val="right"/>
            </w:pPr>
            <w:r/>
            <w:r>
              <w:rPr>
                <w:sz w:val="19"/>
              </w:rPr>
              <w:t>1.982.000 € (44 %)</w:t>
            </w:r>
          </w:p>
        </w:tc>
      </w:tr>
      <w:tr>
        <w:trPr>
          <w:cantSplit/>
        </w:trPr>
        <w:tc>
          <w:tcPr>
            <w:tcW w:type="dxa" w:w="6236"/>
          </w:tcPr>
          <w:p>
            <w:pPr>
              <w:keepNext/>
              <w:spacing w:after="20" w:before="20"/>
            </w:pPr>
            <w:r/>
            <w:r>
              <w:rPr>
                <w:sz w:val="19"/>
              </w:rPr>
              <w:t>Mischzins über alle Darlehen</w:t>
            </w:r>
          </w:p>
        </w:tc>
        <w:tc>
          <w:tcPr>
            <w:tcW w:type="dxa" w:w="3175"/>
          </w:tcPr>
          <w:p>
            <w:pPr>
              <w:keepNext/>
              <w:spacing w:after="20" w:before="20"/>
              <w:jc w:val="right"/>
            </w:pPr>
            <w:r/>
            <w:r>
              <w:rPr>
                <w:sz w:val="19"/>
              </w:rPr>
              <w:t>3,43 %</w:t>
            </w:r>
          </w:p>
        </w:tc>
      </w:tr>
      <w:tr>
        <w:trPr>
          <w:cantSplit/>
        </w:trPr>
        <w:tc>
          <w:tcPr>
            <w:tcW w:type="dxa" w:w="6236"/>
          </w:tcPr>
          <w:p>
            <w:pPr>
              <w:keepNext/>
              <w:spacing w:after="20" w:before="20"/>
            </w:pPr>
            <w:r/>
            <w:r>
              <w:rPr>
                <w:sz w:val="19"/>
              </w:rPr>
              <w:t>Kapitaldienst (Zinsen und Tilgung) pro Monat</w:t>
            </w:r>
          </w:p>
        </w:tc>
        <w:tc>
          <w:tcPr>
            <w:tcW w:type="dxa" w:w="3175"/>
          </w:tcPr>
          <w:p>
            <w:pPr>
              <w:keepNext/>
              <w:spacing w:after="20" w:before="20"/>
              <w:jc w:val="right"/>
            </w:pPr>
            <w:r/>
            <w:r>
              <w:rPr>
                <w:sz w:val="19"/>
              </w:rPr>
              <w:t>16.560 €</w:t>
            </w:r>
          </w:p>
        </w:tc>
      </w:tr>
      <w:tr>
        <w:trPr>
          <w:cantSplit/>
        </w:trPr>
        <w:tc>
          <w:tcPr>
            <w:tcW w:type="dxa" w:w="6236"/>
          </w:tcPr>
          <w:p>
            <w:pPr>
              <w:keepNext/>
              <w:spacing w:after="20" w:before="20"/>
            </w:pPr>
            <w:r/>
            <w:r>
              <w:rPr>
                <w:sz w:val="19"/>
              </w:rPr>
              <w:t>Nettoertrag vor Kapitaldienst pro Monat</w:t>
            </w:r>
          </w:p>
        </w:tc>
        <w:tc>
          <w:tcPr>
            <w:tcW w:type="dxa" w:w="3175"/>
          </w:tcPr>
          <w:p>
            <w:pPr>
              <w:keepNext/>
              <w:spacing w:after="20" w:before="20"/>
              <w:jc w:val="right"/>
            </w:pPr>
            <w:r/>
            <w:r>
              <w:rPr>
                <w:sz w:val="19"/>
              </w:rPr>
              <w:t>21.991 €</w:t>
            </w:r>
          </w:p>
        </w:tc>
      </w:tr>
      <w:tr>
        <w:trPr>
          <w:cantSplit/>
        </w:trPr>
        <w:tc>
          <w:tcPr>
            <w:tcW w:type="dxa" w:w="6236"/>
          </w:tcPr>
          <w:p>
            <w:pPr>
              <w:keepNext/>
              <w:spacing w:after="20" w:before="20"/>
            </w:pPr>
            <w:r/>
            <w:r>
              <w:rPr>
                <w:sz w:val="19"/>
              </w:rPr>
              <w:t>Ergebnis pro Monat nach Kapitaldienst (ohne Lohn des Bauherrn)</w:t>
            </w:r>
          </w:p>
        </w:tc>
        <w:tc>
          <w:tcPr>
            <w:tcW w:type="dxa" w:w="3175"/>
          </w:tcPr>
          <w:p>
            <w:pPr>
              <w:keepNext/>
              <w:spacing w:after="20" w:before="20"/>
              <w:jc w:val="right"/>
            </w:pPr>
            <w:r/>
            <w:r>
              <w:rPr>
                <w:sz w:val="19"/>
              </w:rPr>
              <w:t>+5.430 €</w:t>
            </w:r>
          </w:p>
        </w:tc>
      </w:tr>
      <w:tr>
        <w:trPr>
          <w:cantSplit/>
        </w:trPr>
        <w:tc>
          <w:tcPr>
            <w:tcW w:type="dxa" w:w="6236"/>
          </w:tcPr>
          <w:p>
            <w:pPr>
              <w:keepNext/>
              <w:spacing w:after="20" w:before="20"/>
            </w:pPr>
            <w:r/>
            <w:r>
              <w:rPr>
                <w:sz w:val="19"/>
              </w:rPr>
              <w:t>Kapitaldienstdeckung (DSCR, Verhältnis Ertrag zu Raten)</w:t>
            </w:r>
          </w:p>
        </w:tc>
        <w:tc>
          <w:tcPr>
            <w:tcW w:type="dxa" w:w="3175"/>
          </w:tcPr>
          <w:p>
            <w:pPr>
              <w:keepNext/>
              <w:spacing w:after="20" w:before="20"/>
              <w:jc w:val="right"/>
            </w:pPr>
            <w:r/>
            <w:r>
              <w:rPr>
                <w:sz w:val="19"/>
              </w:rPr>
              <w:t>1,33 gesamt, 0,74 nur Immobilie</w:t>
            </w:r>
          </w:p>
        </w:tc>
      </w:tr>
      <w:tr>
        <w:trPr>
          <w:cantSplit/>
        </w:trPr>
        <w:tc>
          <w:tcPr>
            <w:tcW w:type="dxa" w:w="6236"/>
          </w:tcPr>
          <w:p>
            <w:pPr>
              <w:keepNext/>
              <w:spacing w:after="20" w:before="20"/>
            </w:pPr>
            <w:r/>
            <w:r>
              <w:rPr>
                <w:sz w:val="19"/>
              </w:rPr>
              <w:t>Ertragswert (vereinfacht)</w:t>
            </w:r>
          </w:p>
        </w:tc>
        <w:tc>
          <w:tcPr>
            <w:tcW w:type="dxa" w:w="3175"/>
          </w:tcPr>
          <w:p>
            <w:pPr>
              <w:keepNext/>
              <w:spacing w:after="20" w:before="20"/>
              <w:jc w:val="right"/>
            </w:pPr>
            <w:r/>
            <w:r>
              <w:rPr>
                <w:sz w:val="19"/>
              </w:rPr>
              <w:t>3.060.908 €</w:t>
            </w:r>
          </w:p>
        </w:tc>
      </w:tr>
      <w:tr>
        <w:trPr>
          <w:cantSplit/>
        </w:trPr>
        <w:tc>
          <w:tcPr>
            <w:tcW w:type="dxa" w:w="6236"/>
          </w:tcPr>
          <w:p>
            <w:pPr>
              <w:keepNext/>
              <w:spacing w:after="20" w:before="20"/>
            </w:pPr>
            <w:r/>
            <w:r>
              <w:rPr>
                <w:sz w:val="19"/>
              </w:rPr>
              <w:t>Beleihungswert nach 10 % Sicherheitsabschlag</w:t>
            </w:r>
          </w:p>
        </w:tc>
        <w:tc>
          <w:tcPr>
            <w:tcW w:type="dxa" w:w="3175"/>
          </w:tcPr>
          <w:p>
            <w:pPr>
              <w:keepNext/>
              <w:spacing w:after="20" w:before="20"/>
              <w:jc w:val="right"/>
            </w:pPr>
            <w:r/>
            <w:r>
              <w:rPr>
                <w:sz w:val="19"/>
              </w:rPr>
              <w:t>2.754.817 €</w:t>
            </w:r>
          </w:p>
        </w:tc>
      </w:tr>
      <w:tr>
        <w:trPr>
          <w:cantSplit/>
        </w:trPr>
        <w:tc>
          <w:tcPr>
            <w:tcW w:type="dxa" w:w="6236"/>
          </w:tcPr>
          <w:p>
            <w:pPr>
              <w:spacing w:after="20" w:before="20"/>
            </w:pPr>
            <w:r/>
            <w:r>
              <w:rPr>
                <w:sz w:val="19"/>
              </w:rPr>
              <w:t>Beleihungsauslauf (Darlehen im Verhältnis zum Beleihungswert)</w:t>
            </w:r>
          </w:p>
        </w:tc>
        <w:tc>
          <w:tcPr>
            <w:tcW w:type="dxa" w:w="3175"/>
          </w:tcPr>
          <w:p>
            <w:pPr>
              <w:spacing w:after="20" w:before="20"/>
              <w:jc w:val="right"/>
            </w:pPr>
            <w:r/>
            <w:r>
              <w:rPr>
                <w:sz w:val="19"/>
              </w:rPr>
              <w:t>163 %</w:t>
            </w:r>
          </w:p>
        </w:tc>
      </w:tr>
    </w:tbl>
    <w:p>
      <w:pPr>
        <w:spacing w:after="40"/>
      </w:pPr>
    </w:p>
    <w:p>
      <w:pPr>
        <w:spacing w:after="40"/>
      </w:pPr>
      <w:r>
        <w:rPr>
          <w:b/>
          <w:i w:val="0"/>
          <w:color w:val="2F4A3E"/>
        </w:rPr>
        <w:t>Kernaussagen</w:t>
      </w:r>
    </w:p>
    <w:p>
      <w:pPr>
        <w:pStyle w:val="ListBullet"/>
        <w:spacing w:after="60"/>
      </w:pPr>
      <w:r>
        <w:rPr>
          <w:b/>
        </w:rPr>
        <w:t xml:space="preserve">Der Ertrag trägt die Raten, aber nur mit der Gastro. </w:t>
      </w:r>
      <w:r>
        <w:t>Mit dem Gastro-Gewinn liegt die Kapitaldienstdeckung bei 1,33. Allein aus Miete und Pacht wären es 0,74, die Immobilie trägt sich also nicht selbst.</w:t>
      </w:r>
    </w:p>
    <w:p>
      <w:pPr>
        <w:pStyle w:val="ListBullet"/>
        <w:spacing w:after="60"/>
      </w:pPr>
      <w:r>
        <w:rPr>
          <w:b/>
        </w:rPr>
        <w:t xml:space="preserve">KfW senkt die Zinslast deutlich. </w:t>
      </w:r>
      <w:r>
        <w:t>Die drei KfW-Kreditprogramme decken 44 % des Darlehens zu 2,5 bis 3,0 % ab, der Mischzins liegt bei 3,43 % statt 4,0 %.</w:t>
      </w:r>
    </w:p>
    <w:p>
      <w:pPr>
        <w:pStyle w:val="ListBullet"/>
        <w:spacing w:after="60"/>
      </w:pPr>
      <w:r>
        <w:rPr>
          <w:b/>
        </w:rPr>
        <w:t xml:space="preserve">Der Beleihungswert ist die Hürde. </w:t>
      </w:r>
      <w:r>
        <w:t>Der Ertragswert von 3,06 Mio. € liegt unter den Kosten von 4,49 Mio. €. Die Bank wird zusätzliche Sicherheiten oder Eigenkapital in der Größenordnung von 2,29 Mio. € verlangen.</w:t>
      </w:r>
    </w:p>
    <w:p>
      <w:pPr>
        <w:pStyle w:val="ListBullet"/>
        <w:spacing w:after="60"/>
      </w:pPr>
      <w:r>
        <w:rPr>
          <w:b/>
        </w:rPr>
        <w:t xml:space="preserve">Airbnb lohnt sich nicht. </w:t>
      </w:r>
      <w:r>
        <w:t>Zwei Wohnungen als Kurzzeitvermietung bringen weniger als langfristige Mieter, deshalb bleiben alle 8 Wohnungen langfristig vermietet.</w:t>
      </w:r>
    </w:p>
    <w:p>
      <w:pPr>
        <w:pStyle w:val="Heading1"/>
      </w:pPr>
      <w:r>
        <w:t>2  Vorhaben und Standort</w:t>
      </w:r>
    </w:p>
    <w:p>
      <w:r>
        <w:rPr>
          <w:b w:val="0"/>
          <w:i w:val="0"/>
        </w:rPr>
        <w:t>Das Grundstück liegt östlich des Rathauses und südlich der neuen Planstraße zwischen Markt- und Kirchstraße. Der Bebauungsplan Nr. 123 weist ein Mischgebiet mit mindestens zwei und höchstens drei Geschossen aus, gewerbliche Nutzung im Erdgeschoss ist ausdrücklich erwünscht. Die Baureife liegt vor, ein Baubeginn ist jederzeit möglich.</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438"/>
        <w:gridCol w:w="3175"/>
        <w:gridCol w:w="3798"/>
      </w:tblGrid>
      <w:tr>
        <w:trPr>
          <w:cantSplit/>
        </w:trPr>
        <w:tc>
          <w:tcPr>
            <w:tcW w:type="dxa" w:w="2438"/>
            <w:shd w:val="clear" w:color="auto" w:fill="2F4A3E"/>
          </w:tcPr>
          <w:p>
            <w:pPr>
              <w:keepNext/>
              <w:spacing w:after="20" w:before="20"/>
            </w:pPr>
            <w:r/>
            <w:r>
              <w:rPr>
                <w:b/>
                <w:color w:val="FFFFFF"/>
                <w:sz w:val="18"/>
              </w:rPr>
              <w:t>Festsetzung</w:t>
            </w:r>
          </w:p>
        </w:tc>
        <w:tc>
          <w:tcPr>
            <w:tcW w:type="dxa" w:w="3175"/>
            <w:shd w:val="clear" w:color="auto" w:fill="2F4A3E"/>
          </w:tcPr>
          <w:p>
            <w:pPr>
              <w:keepNext/>
              <w:spacing w:after="20" w:before="20"/>
            </w:pPr>
            <w:r/>
            <w:r>
              <w:rPr>
                <w:b/>
                <w:color w:val="FFFFFF"/>
                <w:sz w:val="18"/>
              </w:rPr>
              <w:t>Wert im Bebauungsplan</w:t>
            </w:r>
          </w:p>
        </w:tc>
        <w:tc>
          <w:tcPr>
            <w:tcW w:type="dxa" w:w="3798"/>
            <w:shd w:val="clear" w:color="auto" w:fill="2F4A3E"/>
          </w:tcPr>
          <w:p>
            <w:pPr>
              <w:keepNext/>
              <w:spacing w:after="20" w:before="20"/>
            </w:pPr>
            <w:r/>
            <w:r>
              <w:rPr>
                <w:b/>
                <w:color w:val="FFFFFF"/>
                <w:sz w:val="18"/>
              </w:rPr>
              <w:t>Entwurf</w:t>
            </w:r>
          </w:p>
        </w:tc>
      </w:tr>
      <w:tr>
        <w:trPr>
          <w:cantSplit/>
        </w:trPr>
        <w:tc>
          <w:tcPr>
            <w:tcW w:type="dxa" w:w="2438"/>
          </w:tcPr>
          <w:p>
            <w:pPr>
              <w:keepNext/>
              <w:spacing w:after="20" w:before="20"/>
            </w:pPr>
            <w:r/>
            <w:r>
              <w:rPr>
                <w:sz w:val="18"/>
              </w:rPr>
              <w:t>Grundflächenzahl (GRZ)</w:t>
            </w:r>
          </w:p>
        </w:tc>
        <w:tc>
          <w:tcPr>
            <w:tcW w:type="dxa" w:w="3175"/>
          </w:tcPr>
          <w:p>
            <w:pPr>
              <w:keepNext/>
              <w:spacing w:after="20" w:before="20"/>
            </w:pPr>
            <w:r/>
            <w:r>
              <w:rPr>
                <w:sz w:val="18"/>
              </w:rPr>
              <w:t>0,6, das sind max. 576 m²</w:t>
            </w:r>
          </w:p>
        </w:tc>
        <w:tc>
          <w:tcPr>
            <w:tcW w:type="dxa" w:w="3798"/>
          </w:tcPr>
          <w:p>
            <w:pPr>
              <w:keepNext/>
              <w:spacing w:after="20" w:before="20"/>
            </w:pPr>
            <w:r/>
            <w:r>
              <w:rPr>
                <w:sz w:val="18"/>
              </w:rPr>
              <w:t>540 m² (56 %)</w:t>
            </w:r>
          </w:p>
        </w:tc>
      </w:tr>
      <w:tr>
        <w:trPr>
          <w:cantSplit/>
        </w:trPr>
        <w:tc>
          <w:tcPr>
            <w:tcW w:type="dxa" w:w="2438"/>
          </w:tcPr>
          <w:p>
            <w:pPr>
              <w:keepNext/>
              <w:spacing w:after="20" w:before="20"/>
            </w:pPr>
            <w:r/>
            <w:r>
              <w:rPr>
                <w:sz w:val="18"/>
              </w:rPr>
              <w:t>Vollgeschosse</w:t>
            </w:r>
          </w:p>
        </w:tc>
        <w:tc>
          <w:tcPr>
            <w:tcW w:type="dxa" w:w="3175"/>
          </w:tcPr>
          <w:p>
            <w:pPr>
              <w:keepNext/>
              <w:spacing w:after="20" w:before="20"/>
            </w:pPr>
            <w:r/>
            <w:r>
              <w:rPr>
                <w:sz w:val="18"/>
              </w:rPr>
              <w:t>zwei</w:t>
            </w:r>
          </w:p>
        </w:tc>
        <w:tc>
          <w:tcPr>
            <w:tcW w:type="dxa" w:w="3798"/>
          </w:tcPr>
          <w:p>
            <w:pPr>
              <w:keepNext/>
              <w:spacing w:after="20" w:before="20"/>
            </w:pPr>
            <w:r/>
            <w:r>
              <w:rPr>
                <w:sz w:val="18"/>
              </w:rPr>
              <w:t>Erdgeschoss und 1. Obergeschoss, dazu Staffelgeschoss</w:t>
            </w:r>
          </w:p>
        </w:tc>
      </w:tr>
      <w:tr>
        <w:trPr>
          <w:cantSplit/>
        </w:trPr>
        <w:tc>
          <w:tcPr>
            <w:tcW w:type="dxa" w:w="2438"/>
          </w:tcPr>
          <w:p>
            <w:pPr>
              <w:keepNext/>
              <w:spacing w:after="20" w:before="20"/>
            </w:pPr>
            <w:r/>
            <w:r>
              <w:rPr>
                <w:sz w:val="18"/>
              </w:rPr>
              <w:t>Traufhöhe / Höhe</w:t>
            </w:r>
          </w:p>
        </w:tc>
        <w:tc>
          <w:tcPr>
            <w:tcW w:type="dxa" w:w="3175"/>
          </w:tcPr>
          <w:p>
            <w:pPr>
              <w:keepNext/>
              <w:spacing w:after="20" w:before="20"/>
            </w:pPr>
            <w:r/>
            <w:r>
              <w:rPr>
                <w:sz w:val="18"/>
              </w:rPr>
              <w:t>6,50 m / 12,00 m</w:t>
            </w:r>
          </w:p>
        </w:tc>
        <w:tc>
          <w:tcPr>
            <w:tcW w:type="dxa" w:w="3798"/>
          </w:tcPr>
          <w:p>
            <w:pPr>
              <w:keepNext/>
              <w:spacing w:after="20" w:before="20"/>
            </w:pPr>
            <w:r/>
            <w:r>
              <w:rPr>
                <w:sz w:val="18"/>
              </w:rPr>
              <w:t>Hauptbaukörper 6,50 m, gesamt ca. 9,90 m</w:t>
            </w:r>
          </w:p>
        </w:tc>
      </w:tr>
      <w:tr>
        <w:trPr>
          <w:cantSplit/>
        </w:trPr>
        <w:tc>
          <w:tcPr>
            <w:tcW w:type="dxa" w:w="2438"/>
          </w:tcPr>
          <w:p>
            <w:pPr>
              <w:keepNext/>
              <w:spacing w:after="20" w:before="20"/>
            </w:pPr>
            <w:r/>
            <w:r>
              <w:rPr>
                <w:sz w:val="18"/>
              </w:rPr>
              <w:t>Dachform</w:t>
            </w:r>
          </w:p>
        </w:tc>
        <w:tc>
          <w:tcPr>
            <w:tcW w:type="dxa" w:w="3175"/>
          </w:tcPr>
          <w:p>
            <w:pPr>
              <w:keepNext/>
              <w:spacing w:after="20" w:before="20"/>
            </w:pPr>
            <w:r/>
            <w:r>
              <w:rPr>
                <w:sz w:val="18"/>
              </w:rPr>
              <w:t>Details im Bebauungsplan</w:t>
            </w:r>
          </w:p>
        </w:tc>
        <w:tc>
          <w:tcPr>
            <w:tcW w:type="dxa" w:w="3798"/>
          </w:tcPr>
          <w:p>
            <w:pPr>
              <w:keepNext/>
              <w:spacing w:after="20" w:before="20"/>
            </w:pPr>
            <w:r/>
            <w:r>
              <w:rPr>
                <w:sz w:val="18"/>
              </w:rPr>
              <w:t>Flachdach, Staffelgeschoss 0,8 m rundum zurückgesetzt</w:t>
            </w:r>
          </w:p>
        </w:tc>
      </w:tr>
      <w:tr>
        <w:trPr>
          <w:cantSplit/>
        </w:trPr>
        <w:tc>
          <w:tcPr>
            <w:tcW w:type="dxa" w:w="2438"/>
          </w:tcPr>
          <w:p>
            <w:pPr>
              <w:spacing w:after="20" w:before="20"/>
            </w:pPr>
            <w:r/>
            <w:r>
              <w:rPr>
                <w:sz w:val="18"/>
              </w:rPr>
              <w:t>Stellplätze</w:t>
            </w:r>
          </w:p>
        </w:tc>
        <w:tc>
          <w:tcPr>
            <w:tcW w:type="dxa" w:w="3175"/>
          </w:tcPr>
          <w:p>
            <w:pPr>
              <w:spacing w:after="20" w:before="20"/>
            </w:pPr>
            <w:r/>
            <w:r>
              <w:rPr>
                <w:sz w:val="18"/>
              </w:rPr>
              <w:t>auf dem Grundstück in ausreichender Zahl</w:t>
            </w:r>
          </w:p>
        </w:tc>
        <w:tc>
          <w:tcPr>
            <w:tcW w:type="dxa" w:w="3798"/>
          </w:tcPr>
          <w:p>
            <w:pPr>
              <w:spacing w:after="20" w:before="20"/>
            </w:pPr>
            <w:r/>
            <w:r>
              <w:rPr>
                <w:sz w:val="18"/>
              </w:rPr>
              <w:t>ca. 8–10 auf dem Grundstück, Bedarf ca. 45</w:t>
            </w:r>
          </w:p>
        </w:tc>
      </w:tr>
    </w:tbl>
    <w:p>
      <w:pPr>
        <w:spacing w:after="40"/>
      </w:pPr>
    </w:p>
    <w:p>
      <w:pPr>
        <w:spacing w:after="80"/>
      </w:pPr>
      <w:r>
        <w:rPr>
          <w:b w:val="0"/>
          <w:i w:val="0"/>
        </w:rPr>
        <w:t>Offene Punkte mit der Stadt: Zulässigkeit der 540 m² Grundfläche (das Baufenster im Plan wirkt nach unserer Schätzung kleiner), Einordnung des Staffelgeschosses (460 m², 85 % der Fläche darunter) und des Flachdachs sowie die Stellplätze (Mitnutzung der öffentlichen Parkfläche oder Ablöse). Diese Punkte sind schriftlich zu klären.</w:t>
      </w:r>
    </w:p>
    <w:p>
      <w:r>
        <w:rPr>
          <w:b w:val="0"/>
          <w:i w:val="0"/>
        </w:rPr>
        <w:t>Zeitplan der Stadt: Stellplatz alte Grundschule ab November 2026, Planstraße ab März 2027, Marktplatz und Rathausumfeld fertig Ende 2028. Unser Baubeginn ist Mitte 2027, die Bauzeit beträgt 15 Monate, die Eröffnung erfolgt gemeinsam mit der neuen Mitte Ende 2028.</w:t>
      </w:r>
    </w:p>
    <w:p>
      <w:pPr>
        <w:pStyle w:val="Heading1"/>
      </w:pPr>
      <w:r>
        <w:t>3  Baukonzept und Flächen</w:t>
      </w:r>
    </w:p>
    <w:p>
      <w:r>
        <w:rPr>
          <w:b w:val="0"/>
          <w:i w:val="0"/>
        </w:rPr>
        <w:t>Das Gebäude hat eine Grundfläche von ca. 30 × 18 m. Das Erdgeschoss ist vollverglast und nimmt die Gastro auf, Treppenhaus und Aufzug liegen am Westende und erschließen die Wohnungen getrennt von der Gastro. Das 1. Obergeschoss ist in rotbraunem Klinker mit Balkonen und Milchglas-Brüstungen ausgeführt, das Staffelgeschoss in Holzbau mit schmaler Dachterrasse (ca. 0,8 m, 72 m²) rundum. Holzbau spart ca. 184.000 € gegenüber Massivbau (Annahme, Angebot der Zimmerei nötig) und hilft beim Effizienzhaus-40-Standard.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247"/>
        <w:gridCol w:w="2721"/>
        <w:gridCol w:w="1474"/>
        <w:gridCol w:w="1701"/>
      </w:tblGrid>
      <w:tr>
        <w:trPr>
          <w:cantSplit/>
        </w:trPr>
        <w:tc>
          <w:tcPr>
            <w:tcW w:type="dxa" w:w="2268"/>
            <w:shd w:val="clear" w:color="auto" w:fill="2F4A3E"/>
          </w:tcPr>
          <w:p>
            <w:pPr>
              <w:keepNext/>
              <w:spacing w:after="20" w:before="20"/>
            </w:pPr>
            <w:r/>
            <w:r>
              <w:rPr>
                <w:b/>
                <w:color w:val="FFFFFF"/>
                <w:sz w:val="18"/>
              </w:rPr>
              <w:t>Geschoss</w:t>
            </w:r>
          </w:p>
        </w:tc>
        <w:tc>
          <w:tcPr>
            <w:tcW w:type="dxa" w:w="1247"/>
            <w:shd w:val="clear" w:color="auto" w:fill="2F4A3E"/>
          </w:tcPr>
          <w:p>
            <w:pPr>
              <w:keepNext/>
              <w:spacing w:after="20" w:before="20"/>
            </w:pPr>
            <w:r/>
            <w:r>
              <w:rPr>
                <w:b/>
                <w:color w:val="FFFFFF"/>
                <w:sz w:val="18"/>
              </w:rPr>
              <w:t>BGF</w:t>
            </w:r>
          </w:p>
        </w:tc>
        <w:tc>
          <w:tcPr>
            <w:tcW w:type="dxa" w:w="2721"/>
            <w:shd w:val="clear" w:color="auto" w:fill="2F4A3E"/>
          </w:tcPr>
          <w:p>
            <w:pPr>
              <w:keepNext/>
              <w:spacing w:after="20" w:before="20"/>
            </w:pPr>
            <w:r/>
            <w:r>
              <w:rPr>
                <w:b/>
                <w:color w:val="FFFFFF"/>
                <w:sz w:val="18"/>
              </w:rPr>
              <w:t>Nutzung</w:t>
            </w:r>
          </w:p>
        </w:tc>
        <w:tc>
          <w:tcPr>
            <w:tcW w:type="dxa" w:w="1474"/>
            <w:shd w:val="clear" w:color="auto" w:fill="2F4A3E"/>
          </w:tcPr>
          <w:p>
            <w:pPr>
              <w:keepNext/>
              <w:spacing w:after="20" w:before="20"/>
            </w:pPr>
            <w:r/>
            <w:r>
              <w:rPr>
                <w:b/>
                <w:color w:val="FFFFFF"/>
                <w:sz w:val="18"/>
              </w:rPr>
              <w:t>Einheiten</w:t>
            </w:r>
          </w:p>
        </w:tc>
        <w:tc>
          <w:tcPr>
            <w:tcW w:type="dxa" w:w="1701"/>
            <w:shd w:val="clear" w:color="auto" w:fill="2F4A3E"/>
          </w:tcPr>
          <w:p>
            <w:pPr>
              <w:keepNext/>
              <w:spacing w:after="20" w:before="20"/>
            </w:pPr>
            <w:r/>
            <w:r>
              <w:rPr>
                <w:b/>
                <w:color w:val="FFFFFF"/>
                <w:sz w:val="18"/>
              </w:rPr>
              <w:t>Fläche</w:t>
            </w:r>
          </w:p>
        </w:tc>
      </w:tr>
      <w:tr>
        <w:trPr>
          <w:cantSplit/>
        </w:trPr>
        <w:tc>
          <w:tcPr>
            <w:tcW w:type="dxa" w:w="2268"/>
          </w:tcPr>
          <w:p>
            <w:pPr>
              <w:keepNext/>
              <w:spacing w:after="20" w:before="20"/>
            </w:pPr>
            <w:r/>
            <w:r>
              <w:rPr>
                <w:sz w:val="18"/>
              </w:rPr>
              <w:t>Erdgeschoss</w:t>
            </w:r>
          </w:p>
        </w:tc>
        <w:tc>
          <w:tcPr>
            <w:tcW w:type="dxa" w:w="1247"/>
          </w:tcPr>
          <w:p>
            <w:pPr>
              <w:keepNext/>
              <w:spacing w:after="20" w:before="20"/>
            </w:pPr>
            <w:r/>
            <w:r>
              <w:rPr>
                <w:sz w:val="18"/>
              </w:rPr>
              <w:t>540 m²</w:t>
            </w:r>
          </w:p>
        </w:tc>
        <w:tc>
          <w:tcPr>
            <w:tcW w:type="dxa" w:w="2721"/>
          </w:tcPr>
          <w:p>
            <w:pPr>
              <w:keepNext/>
              <w:spacing w:after="20" w:before="20"/>
            </w:pPr>
            <w:r/>
            <w:r>
              <w:rPr>
                <w:sz w:val="18"/>
              </w:rPr>
              <w:t>Gastro mit Bar, Séparée, Küche</w:t>
            </w:r>
          </w:p>
        </w:tc>
        <w:tc>
          <w:tcPr>
            <w:tcW w:type="dxa" w:w="1474"/>
          </w:tcPr>
          <w:p>
            <w:pPr>
              <w:keepNext/>
              <w:spacing w:after="20" w:before="20"/>
            </w:pPr>
            <w:r/>
            <w:r>
              <w:rPr>
                <w:sz w:val="18"/>
              </w:rPr>
              <w:t>1</w:t>
            </w:r>
          </w:p>
        </w:tc>
        <w:tc>
          <w:tcPr>
            <w:tcW w:type="dxa" w:w="1701"/>
          </w:tcPr>
          <w:p>
            <w:pPr>
              <w:keepNext/>
              <w:spacing w:after="20" w:before="20"/>
            </w:pPr>
            <w:r/>
            <w:r>
              <w:rPr>
                <w:sz w:val="18"/>
              </w:rPr>
              <w:t>ca. 460 m²</w:t>
            </w:r>
          </w:p>
        </w:tc>
      </w:tr>
      <w:tr>
        <w:trPr>
          <w:cantSplit/>
        </w:trPr>
        <w:tc>
          <w:tcPr>
            <w:tcW w:type="dxa" w:w="2268"/>
          </w:tcPr>
          <w:p>
            <w:pPr>
              <w:keepNext/>
              <w:spacing w:after="20" w:before="20"/>
            </w:pPr>
            <w:r/>
            <w:r>
              <w:rPr>
                <w:sz w:val="18"/>
              </w:rPr>
              <w:t>1. Obergeschoss</w:t>
            </w:r>
          </w:p>
        </w:tc>
        <w:tc>
          <w:tcPr>
            <w:tcW w:type="dxa" w:w="1247"/>
          </w:tcPr>
          <w:p>
            <w:pPr>
              <w:keepNext/>
              <w:spacing w:after="20" w:before="20"/>
            </w:pPr>
            <w:r/>
            <w:r>
              <w:rPr>
                <w:sz w:val="18"/>
              </w:rPr>
              <w:t>540 m²</w:t>
            </w:r>
          </w:p>
        </w:tc>
        <w:tc>
          <w:tcPr>
            <w:tcW w:type="dxa" w:w="2721"/>
          </w:tcPr>
          <w:p>
            <w:pPr>
              <w:keepNext/>
              <w:spacing w:after="20" w:before="20"/>
            </w:pPr>
            <w:r/>
            <w:r>
              <w:rPr>
                <w:sz w:val="18"/>
              </w:rPr>
              <w:t>Wohnen</w:t>
            </w:r>
          </w:p>
        </w:tc>
        <w:tc>
          <w:tcPr>
            <w:tcW w:type="dxa" w:w="1474"/>
          </w:tcPr>
          <w:p>
            <w:pPr>
              <w:keepNext/>
              <w:spacing w:after="20" w:before="20"/>
            </w:pPr>
            <w:r/>
            <w:r>
              <w:rPr>
                <w:sz w:val="18"/>
              </w:rPr>
              <w:t>5 × 83 m²</w:t>
            </w:r>
          </w:p>
        </w:tc>
        <w:tc>
          <w:tcPr>
            <w:tcW w:type="dxa" w:w="1701"/>
          </w:tcPr>
          <w:p>
            <w:pPr>
              <w:keepNext/>
              <w:spacing w:after="20" w:before="20"/>
            </w:pPr>
            <w:r/>
            <w:r>
              <w:rPr>
                <w:sz w:val="18"/>
              </w:rPr>
              <w:t>415 m²</w:t>
            </w:r>
          </w:p>
        </w:tc>
      </w:tr>
      <w:tr>
        <w:trPr>
          <w:cantSplit/>
        </w:trPr>
        <w:tc>
          <w:tcPr>
            <w:tcW w:type="dxa" w:w="2268"/>
          </w:tcPr>
          <w:p>
            <w:pPr>
              <w:keepNext/>
              <w:spacing w:after="20" w:before="20"/>
            </w:pPr>
            <w:r/>
            <w:r>
              <w:rPr>
                <w:sz w:val="18"/>
              </w:rPr>
              <w:t>Staffelgeschoss (Holzbau)</w:t>
            </w:r>
          </w:p>
        </w:tc>
        <w:tc>
          <w:tcPr>
            <w:tcW w:type="dxa" w:w="1247"/>
          </w:tcPr>
          <w:p>
            <w:pPr>
              <w:keepNext/>
              <w:spacing w:after="20" w:before="20"/>
            </w:pPr>
            <w:r/>
            <w:r>
              <w:rPr>
                <w:sz w:val="18"/>
              </w:rPr>
              <w:t>460 m²</w:t>
            </w:r>
          </w:p>
        </w:tc>
        <w:tc>
          <w:tcPr>
            <w:tcW w:type="dxa" w:w="2721"/>
          </w:tcPr>
          <w:p>
            <w:pPr>
              <w:keepNext/>
              <w:spacing w:after="20" w:before="20"/>
            </w:pPr>
            <w:r/>
            <w:r>
              <w:rPr>
                <w:sz w:val="18"/>
              </w:rPr>
              <w:t>Wohnen (Penthouses)</w:t>
            </w:r>
          </w:p>
        </w:tc>
        <w:tc>
          <w:tcPr>
            <w:tcW w:type="dxa" w:w="1474"/>
          </w:tcPr>
          <w:p>
            <w:pPr>
              <w:keepNext/>
              <w:spacing w:after="20" w:before="20"/>
            </w:pPr>
            <w:r/>
            <w:r>
              <w:rPr>
                <w:sz w:val="18"/>
              </w:rPr>
              <w:t>3 × 103 m²</w:t>
            </w:r>
          </w:p>
        </w:tc>
        <w:tc>
          <w:tcPr>
            <w:tcW w:type="dxa" w:w="1701"/>
          </w:tcPr>
          <w:p>
            <w:pPr>
              <w:keepNext/>
              <w:spacing w:after="20" w:before="20"/>
            </w:pPr>
            <w:r/>
            <w:r>
              <w:rPr>
                <w:sz w:val="18"/>
              </w:rPr>
              <w:t>310 m²</w:t>
            </w:r>
          </w:p>
        </w:tc>
      </w:tr>
      <w:tr>
        <w:trPr>
          <w:cantSplit/>
        </w:trPr>
        <w:tc>
          <w:tcPr>
            <w:tcW w:type="dxa" w:w="2268"/>
            <w:shd w:val="clear" w:color="auto" w:fill="E3E8E5"/>
          </w:tcPr>
          <w:p>
            <w:pPr>
              <w:spacing w:after="20" w:before="20"/>
            </w:pPr>
            <w:r/>
            <w:r>
              <w:rPr>
                <w:b/>
                <w:sz w:val="18"/>
              </w:rPr>
              <w:t>Summe</w:t>
            </w:r>
          </w:p>
        </w:tc>
        <w:tc>
          <w:tcPr>
            <w:tcW w:type="dxa" w:w="1247"/>
            <w:shd w:val="clear" w:color="auto" w:fill="E3E8E5"/>
          </w:tcPr>
          <w:p>
            <w:pPr>
              <w:spacing w:after="20" w:before="20"/>
            </w:pPr>
            <w:r/>
            <w:r>
              <w:rPr>
                <w:b/>
                <w:sz w:val="18"/>
              </w:rPr>
              <w:t>1.540 m²</w:t>
            </w:r>
          </w:p>
        </w:tc>
        <w:tc>
          <w:tcPr>
            <w:tcW w:type="dxa" w:w="2721"/>
            <w:shd w:val="clear" w:color="auto" w:fill="E3E8E5"/>
          </w:tcPr>
          <w:p>
            <w:pPr>
              <w:spacing w:after="20" w:before="20"/>
            </w:pPr>
            <w:r/>
            <w:r>
              <w:rPr>
                <w:b/>
                <w:sz w:val="18"/>
              </w:rPr>
            </w:r>
          </w:p>
        </w:tc>
        <w:tc>
          <w:tcPr>
            <w:tcW w:type="dxa" w:w="1474"/>
            <w:shd w:val="clear" w:color="auto" w:fill="E3E8E5"/>
          </w:tcPr>
          <w:p>
            <w:pPr>
              <w:spacing w:after="20" w:before="20"/>
            </w:pPr>
            <w:r/>
            <w:r>
              <w:rPr>
                <w:b/>
                <w:sz w:val="18"/>
              </w:rPr>
              <w:t>8 Wohnungen</w:t>
            </w:r>
          </w:p>
        </w:tc>
        <w:tc>
          <w:tcPr>
            <w:tcW w:type="dxa" w:w="1701"/>
            <w:shd w:val="clear" w:color="auto" w:fill="E3E8E5"/>
          </w:tcPr>
          <w:p>
            <w:pPr>
              <w:spacing w:after="20" w:before="20"/>
            </w:pPr>
            <w:r/>
            <w:r>
              <w:rPr>
                <w:b/>
                <w:sz w:val="18"/>
              </w:rPr>
              <w:t>725 m² Wohnfläche</w:t>
            </w:r>
          </w:p>
        </w:tc>
      </w:tr>
    </w:tbl>
    <w:p>
      <w:pPr>
        <w:spacing w:after="40"/>
      </w:pPr>
    </w:p>
    <w:p>
      <w:pPr>
        <w:spacing w:after="40"/>
      </w:pPr>
      <w:r>
        <w:rPr>
          <w:b/>
          <w:i w:val="0"/>
          <w:color w:val="2F4A3E"/>
        </w:rPr>
        <w:t>Mietaufstellung</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1134"/>
        <w:gridCol w:w="1361"/>
        <w:gridCol w:w="1361"/>
        <w:gridCol w:w="1814"/>
        <w:gridCol w:w="1701"/>
      </w:tblGrid>
      <w:tr>
        <w:trPr>
          <w:cantSplit/>
        </w:trPr>
        <w:tc>
          <w:tcPr>
            <w:tcW w:type="dxa" w:w="2041"/>
            <w:shd w:val="clear" w:color="auto" w:fill="2F4A3E"/>
          </w:tcPr>
          <w:p>
            <w:pPr>
              <w:keepNext/>
              <w:spacing w:after="20" w:before="20"/>
            </w:pPr>
            <w:r/>
            <w:r>
              <w:rPr>
                <w:b/>
                <w:color w:val="FFFFFF"/>
                <w:sz w:val="18"/>
              </w:rPr>
              <w:t>Einheit</w:t>
            </w:r>
          </w:p>
        </w:tc>
        <w:tc>
          <w:tcPr>
            <w:tcW w:type="dxa" w:w="1134"/>
            <w:shd w:val="clear" w:color="auto" w:fill="2F4A3E"/>
          </w:tcPr>
          <w:p>
            <w:pPr>
              <w:keepNext/>
              <w:spacing w:after="20" w:before="20"/>
            </w:pPr>
            <w:r/>
            <w:r>
              <w:rPr>
                <w:b/>
                <w:color w:val="FFFFFF"/>
                <w:sz w:val="18"/>
              </w:rPr>
              <w:t>Geschoss</w:t>
            </w:r>
          </w:p>
        </w:tc>
        <w:tc>
          <w:tcPr>
            <w:tcW w:type="dxa" w:w="1361"/>
            <w:shd w:val="clear" w:color="auto" w:fill="2F4A3E"/>
          </w:tcPr>
          <w:p>
            <w:pPr>
              <w:keepNext/>
              <w:spacing w:after="20" w:before="20"/>
              <w:jc w:val="right"/>
            </w:pPr>
            <w:r/>
            <w:r>
              <w:rPr>
                <w:b/>
                <w:color w:val="FFFFFF"/>
                <w:sz w:val="18"/>
              </w:rPr>
              <w:t>Fläche</w:t>
            </w:r>
          </w:p>
        </w:tc>
        <w:tc>
          <w:tcPr>
            <w:tcW w:type="dxa" w:w="1361"/>
            <w:shd w:val="clear" w:color="auto" w:fill="2F4A3E"/>
          </w:tcPr>
          <w:p>
            <w:pPr>
              <w:keepNext/>
              <w:spacing w:after="20" w:before="20"/>
              <w:jc w:val="right"/>
            </w:pPr>
            <w:r/>
            <w:r>
              <w:rPr>
                <w:b/>
                <w:color w:val="FFFFFF"/>
                <w:sz w:val="18"/>
              </w:rPr>
              <w:t>Miete je m²</w:t>
            </w:r>
          </w:p>
        </w:tc>
        <w:tc>
          <w:tcPr>
            <w:tcW w:type="dxa" w:w="1814"/>
            <w:shd w:val="clear" w:color="auto" w:fill="2F4A3E"/>
          </w:tcPr>
          <w:p>
            <w:pPr>
              <w:keepNext/>
              <w:spacing w:after="20" w:before="20"/>
              <w:jc w:val="right"/>
            </w:pPr>
            <w:r/>
            <w:r>
              <w:rPr>
                <w:b/>
                <w:color w:val="FFFFFF"/>
                <w:sz w:val="18"/>
              </w:rPr>
              <w:t>Kaltmiete / Monat</w:t>
            </w:r>
          </w:p>
        </w:tc>
        <w:tc>
          <w:tcPr>
            <w:tcW w:type="dxa" w:w="1701"/>
            <w:shd w:val="clear" w:color="auto" w:fill="2F4A3E"/>
          </w:tcPr>
          <w:p>
            <w:pPr>
              <w:keepNext/>
              <w:spacing w:after="20" w:before="20"/>
              <w:jc w:val="right"/>
            </w:pPr>
            <w:r/>
            <w:r>
              <w:rPr>
                <w:b/>
                <w:color w:val="FFFFFF"/>
                <w:sz w:val="18"/>
              </w:rPr>
              <w:t>Kaltmiete / Jahr</w:t>
            </w:r>
          </w:p>
        </w:tc>
      </w:tr>
      <w:tr>
        <w:trPr>
          <w:cantSplit/>
        </w:trPr>
        <w:tc>
          <w:tcPr>
            <w:tcW w:type="dxa" w:w="2041"/>
          </w:tcPr>
          <w:p>
            <w:pPr>
              <w:keepNext/>
              <w:spacing w:after="20" w:before="20"/>
            </w:pPr>
            <w:r/>
            <w:r>
              <w:rPr>
                <w:sz w:val="18"/>
              </w:rPr>
              <w:t>WE 1</w:t>
            </w:r>
          </w:p>
        </w:tc>
        <w:tc>
          <w:tcPr>
            <w:tcW w:type="dxa" w:w="1134"/>
          </w:tcPr>
          <w:p>
            <w:pPr>
              <w:keepNext/>
              <w:spacing w:after="20" w:before="20"/>
            </w:pPr>
            <w:r/>
            <w:r>
              <w:rPr>
                <w:sz w:val="18"/>
              </w:rPr>
              <w:t>1. OG</w:t>
            </w:r>
          </w:p>
        </w:tc>
        <w:tc>
          <w:tcPr>
            <w:tcW w:type="dxa" w:w="1361"/>
          </w:tcPr>
          <w:p>
            <w:pPr>
              <w:keepNext/>
              <w:spacing w:after="20" w:before="20"/>
              <w:jc w:val="right"/>
            </w:pPr>
            <w:r/>
            <w:r>
              <w:rPr>
                <w:sz w:val="18"/>
              </w:rPr>
              <w:t>83,0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928 €</w:t>
            </w:r>
          </w:p>
        </w:tc>
        <w:tc>
          <w:tcPr>
            <w:tcW w:type="dxa" w:w="1701"/>
          </w:tcPr>
          <w:p>
            <w:pPr>
              <w:keepNext/>
              <w:spacing w:after="20" w:before="20"/>
              <w:jc w:val="right"/>
            </w:pPr>
            <w:r/>
            <w:r>
              <w:rPr>
                <w:sz w:val="18"/>
              </w:rPr>
              <w:t>11.132 €</w:t>
            </w:r>
          </w:p>
        </w:tc>
      </w:tr>
      <w:tr>
        <w:trPr>
          <w:cantSplit/>
        </w:trPr>
        <w:tc>
          <w:tcPr>
            <w:tcW w:type="dxa" w:w="2041"/>
          </w:tcPr>
          <w:p>
            <w:pPr>
              <w:keepNext/>
              <w:spacing w:after="20" w:before="20"/>
            </w:pPr>
            <w:r/>
            <w:r>
              <w:rPr>
                <w:sz w:val="18"/>
              </w:rPr>
              <w:t>WE 2</w:t>
            </w:r>
          </w:p>
        </w:tc>
        <w:tc>
          <w:tcPr>
            <w:tcW w:type="dxa" w:w="1134"/>
          </w:tcPr>
          <w:p>
            <w:pPr>
              <w:keepNext/>
              <w:spacing w:after="20" w:before="20"/>
            </w:pPr>
            <w:r/>
            <w:r>
              <w:rPr>
                <w:sz w:val="18"/>
              </w:rPr>
              <w:t>1. OG</w:t>
            </w:r>
          </w:p>
        </w:tc>
        <w:tc>
          <w:tcPr>
            <w:tcW w:type="dxa" w:w="1361"/>
          </w:tcPr>
          <w:p>
            <w:pPr>
              <w:keepNext/>
              <w:spacing w:after="20" w:before="20"/>
              <w:jc w:val="right"/>
            </w:pPr>
            <w:r/>
            <w:r>
              <w:rPr>
                <w:sz w:val="18"/>
              </w:rPr>
              <w:t>83,0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928 €</w:t>
            </w:r>
          </w:p>
        </w:tc>
        <w:tc>
          <w:tcPr>
            <w:tcW w:type="dxa" w:w="1701"/>
          </w:tcPr>
          <w:p>
            <w:pPr>
              <w:keepNext/>
              <w:spacing w:after="20" w:before="20"/>
              <w:jc w:val="right"/>
            </w:pPr>
            <w:r/>
            <w:r>
              <w:rPr>
                <w:sz w:val="18"/>
              </w:rPr>
              <w:t>11.132 €</w:t>
            </w:r>
          </w:p>
        </w:tc>
      </w:tr>
      <w:tr>
        <w:trPr>
          <w:cantSplit/>
        </w:trPr>
        <w:tc>
          <w:tcPr>
            <w:tcW w:type="dxa" w:w="2041"/>
          </w:tcPr>
          <w:p>
            <w:pPr>
              <w:keepNext/>
              <w:spacing w:after="20" w:before="20"/>
            </w:pPr>
            <w:r/>
            <w:r>
              <w:rPr>
                <w:sz w:val="18"/>
              </w:rPr>
              <w:t>WE 3</w:t>
            </w:r>
          </w:p>
        </w:tc>
        <w:tc>
          <w:tcPr>
            <w:tcW w:type="dxa" w:w="1134"/>
          </w:tcPr>
          <w:p>
            <w:pPr>
              <w:keepNext/>
              <w:spacing w:after="20" w:before="20"/>
            </w:pPr>
            <w:r/>
            <w:r>
              <w:rPr>
                <w:sz w:val="18"/>
              </w:rPr>
              <w:t>1. OG</w:t>
            </w:r>
          </w:p>
        </w:tc>
        <w:tc>
          <w:tcPr>
            <w:tcW w:type="dxa" w:w="1361"/>
          </w:tcPr>
          <w:p>
            <w:pPr>
              <w:keepNext/>
              <w:spacing w:after="20" w:before="20"/>
              <w:jc w:val="right"/>
            </w:pPr>
            <w:r/>
            <w:r>
              <w:rPr>
                <w:sz w:val="18"/>
              </w:rPr>
              <w:t>83,0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928 €</w:t>
            </w:r>
          </w:p>
        </w:tc>
        <w:tc>
          <w:tcPr>
            <w:tcW w:type="dxa" w:w="1701"/>
          </w:tcPr>
          <w:p>
            <w:pPr>
              <w:keepNext/>
              <w:spacing w:after="20" w:before="20"/>
              <w:jc w:val="right"/>
            </w:pPr>
            <w:r/>
            <w:r>
              <w:rPr>
                <w:sz w:val="18"/>
              </w:rPr>
              <w:t>11.132 €</w:t>
            </w:r>
          </w:p>
        </w:tc>
      </w:tr>
      <w:tr>
        <w:trPr>
          <w:cantSplit/>
        </w:trPr>
        <w:tc>
          <w:tcPr>
            <w:tcW w:type="dxa" w:w="2041"/>
          </w:tcPr>
          <w:p>
            <w:pPr>
              <w:keepNext/>
              <w:spacing w:after="20" w:before="20"/>
            </w:pPr>
            <w:r/>
            <w:r>
              <w:rPr>
                <w:sz w:val="18"/>
              </w:rPr>
              <w:t>WE 4</w:t>
            </w:r>
          </w:p>
        </w:tc>
        <w:tc>
          <w:tcPr>
            <w:tcW w:type="dxa" w:w="1134"/>
          </w:tcPr>
          <w:p>
            <w:pPr>
              <w:keepNext/>
              <w:spacing w:after="20" w:before="20"/>
            </w:pPr>
            <w:r/>
            <w:r>
              <w:rPr>
                <w:sz w:val="18"/>
              </w:rPr>
              <w:t>1. OG</w:t>
            </w:r>
          </w:p>
        </w:tc>
        <w:tc>
          <w:tcPr>
            <w:tcW w:type="dxa" w:w="1361"/>
          </w:tcPr>
          <w:p>
            <w:pPr>
              <w:keepNext/>
              <w:spacing w:after="20" w:before="20"/>
              <w:jc w:val="right"/>
            </w:pPr>
            <w:r/>
            <w:r>
              <w:rPr>
                <w:sz w:val="18"/>
              </w:rPr>
              <w:t>83,0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928 €</w:t>
            </w:r>
          </w:p>
        </w:tc>
        <w:tc>
          <w:tcPr>
            <w:tcW w:type="dxa" w:w="1701"/>
          </w:tcPr>
          <w:p>
            <w:pPr>
              <w:keepNext/>
              <w:spacing w:after="20" w:before="20"/>
              <w:jc w:val="right"/>
            </w:pPr>
            <w:r/>
            <w:r>
              <w:rPr>
                <w:sz w:val="18"/>
              </w:rPr>
              <w:t>11.132 €</w:t>
            </w:r>
          </w:p>
        </w:tc>
      </w:tr>
      <w:tr>
        <w:trPr>
          <w:cantSplit/>
        </w:trPr>
        <w:tc>
          <w:tcPr>
            <w:tcW w:type="dxa" w:w="2041"/>
          </w:tcPr>
          <w:p>
            <w:pPr>
              <w:keepNext/>
              <w:spacing w:after="20" w:before="20"/>
            </w:pPr>
            <w:r/>
            <w:r>
              <w:rPr>
                <w:sz w:val="18"/>
              </w:rPr>
              <w:t>WE 5</w:t>
            </w:r>
          </w:p>
        </w:tc>
        <w:tc>
          <w:tcPr>
            <w:tcW w:type="dxa" w:w="1134"/>
          </w:tcPr>
          <w:p>
            <w:pPr>
              <w:keepNext/>
              <w:spacing w:after="20" w:before="20"/>
            </w:pPr>
            <w:r/>
            <w:r>
              <w:rPr>
                <w:sz w:val="18"/>
              </w:rPr>
              <w:t>1. OG</w:t>
            </w:r>
          </w:p>
        </w:tc>
        <w:tc>
          <w:tcPr>
            <w:tcW w:type="dxa" w:w="1361"/>
          </w:tcPr>
          <w:p>
            <w:pPr>
              <w:keepNext/>
              <w:spacing w:after="20" w:before="20"/>
              <w:jc w:val="right"/>
            </w:pPr>
            <w:r/>
            <w:r>
              <w:rPr>
                <w:sz w:val="18"/>
              </w:rPr>
              <w:t>83,0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928 €</w:t>
            </w:r>
          </w:p>
        </w:tc>
        <w:tc>
          <w:tcPr>
            <w:tcW w:type="dxa" w:w="1701"/>
          </w:tcPr>
          <w:p>
            <w:pPr>
              <w:keepNext/>
              <w:spacing w:after="20" w:before="20"/>
              <w:jc w:val="right"/>
            </w:pPr>
            <w:r/>
            <w:r>
              <w:rPr>
                <w:sz w:val="18"/>
              </w:rPr>
              <w:t>11.132 €</w:t>
            </w:r>
          </w:p>
        </w:tc>
      </w:tr>
      <w:tr>
        <w:trPr>
          <w:cantSplit/>
        </w:trPr>
        <w:tc>
          <w:tcPr>
            <w:tcW w:type="dxa" w:w="2041"/>
          </w:tcPr>
          <w:p>
            <w:pPr>
              <w:keepNext/>
              <w:spacing w:after="20" w:before="20"/>
            </w:pPr>
            <w:r/>
            <w:r>
              <w:rPr>
                <w:sz w:val="18"/>
              </w:rPr>
              <w:t>WE 6</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103,3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1.155 €</w:t>
            </w:r>
          </w:p>
        </w:tc>
        <w:tc>
          <w:tcPr>
            <w:tcW w:type="dxa" w:w="1701"/>
          </w:tcPr>
          <w:p>
            <w:pPr>
              <w:keepNext/>
              <w:spacing w:after="20" w:before="20"/>
              <w:jc w:val="right"/>
            </w:pPr>
            <w:r/>
            <w:r>
              <w:rPr>
                <w:sz w:val="18"/>
              </w:rPr>
              <w:t>13.859 €</w:t>
            </w:r>
          </w:p>
        </w:tc>
      </w:tr>
      <w:tr>
        <w:trPr>
          <w:cantSplit/>
        </w:trPr>
        <w:tc>
          <w:tcPr>
            <w:tcW w:type="dxa" w:w="2041"/>
          </w:tcPr>
          <w:p>
            <w:pPr>
              <w:keepNext/>
              <w:spacing w:after="20" w:before="20"/>
            </w:pPr>
            <w:r/>
            <w:r>
              <w:rPr>
                <w:sz w:val="18"/>
              </w:rPr>
              <w:t>WE 7</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103,3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1.155 €</w:t>
            </w:r>
          </w:p>
        </w:tc>
        <w:tc>
          <w:tcPr>
            <w:tcW w:type="dxa" w:w="1701"/>
          </w:tcPr>
          <w:p>
            <w:pPr>
              <w:keepNext/>
              <w:spacing w:after="20" w:before="20"/>
              <w:jc w:val="right"/>
            </w:pPr>
            <w:r/>
            <w:r>
              <w:rPr>
                <w:sz w:val="18"/>
              </w:rPr>
              <w:t>13.859 €</w:t>
            </w:r>
          </w:p>
        </w:tc>
      </w:tr>
      <w:tr>
        <w:trPr>
          <w:cantSplit/>
        </w:trPr>
        <w:tc>
          <w:tcPr>
            <w:tcW w:type="dxa" w:w="2041"/>
          </w:tcPr>
          <w:p>
            <w:pPr>
              <w:keepNext/>
              <w:spacing w:after="20" w:before="20"/>
            </w:pPr>
            <w:r/>
            <w:r>
              <w:rPr>
                <w:sz w:val="18"/>
              </w:rPr>
              <w:t>WE 8</w:t>
            </w:r>
          </w:p>
        </w:tc>
        <w:tc>
          <w:tcPr>
            <w:tcW w:type="dxa" w:w="1134"/>
          </w:tcPr>
          <w:p>
            <w:pPr>
              <w:keepNext/>
              <w:spacing w:after="20" w:before="20"/>
            </w:pPr>
            <w:r/>
            <w:r>
              <w:rPr>
                <w:sz w:val="18"/>
              </w:rPr>
              <w:t>Staffel</w:t>
            </w:r>
          </w:p>
        </w:tc>
        <w:tc>
          <w:tcPr>
            <w:tcW w:type="dxa" w:w="1361"/>
          </w:tcPr>
          <w:p>
            <w:pPr>
              <w:keepNext/>
              <w:spacing w:after="20" w:before="20"/>
              <w:jc w:val="right"/>
            </w:pPr>
            <w:r/>
            <w:r>
              <w:rPr>
                <w:sz w:val="18"/>
              </w:rPr>
              <w:t>103,3 m²</w:t>
            </w:r>
          </w:p>
        </w:tc>
        <w:tc>
          <w:tcPr>
            <w:tcW w:type="dxa" w:w="1361"/>
          </w:tcPr>
          <w:p>
            <w:pPr>
              <w:keepNext/>
              <w:spacing w:after="20" w:before="20"/>
              <w:jc w:val="right"/>
            </w:pPr>
            <w:r/>
            <w:r>
              <w:rPr>
                <w:sz w:val="18"/>
              </w:rPr>
              <w:t>11,18 €</w:t>
            </w:r>
          </w:p>
        </w:tc>
        <w:tc>
          <w:tcPr>
            <w:tcW w:type="dxa" w:w="1814"/>
          </w:tcPr>
          <w:p>
            <w:pPr>
              <w:keepNext/>
              <w:spacing w:after="20" w:before="20"/>
              <w:jc w:val="right"/>
            </w:pPr>
            <w:r/>
            <w:r>
              <w:rPr>
                <w:sz w:val="18"/>
              </w:rPr>
              <w:t>1.155 €</w:t>
            </w:r>
          </w:p>
        </w:tc>
        <w:tc>
          <w:tcPr>
            <w:tcW w:type="dxa" w:w="1701"/>
          </w:tcPr>
          <w:p>
            <w:pPr>
              <w:keepNext/>
              <w:spacing w:after="20" w:before="20"/>
              <w:jc w:val="right"/>
            </w:pPr>
            <w:r/>
            <w:r>
              <w:rPr>
                <w:sz w:val="18"/>
              </w:rPr>
              <w:t>13.859 €</w:t>
            </w:r>
          </w:p>
        </w:tc>
      </w:tr>
      <w:tr>
        <w:trPr>
          <w:cantSplit/>
        </w:trPr>
        <w:tc>
          <w:tcPr>
            <w:tcW w:type="dxa" w:w="2041"/>
            <w:shd w:val="clear" w:color="auto" w:fill="E3E8E5"/>
          </w:tcPr>
          <w:p>
            <w:pPr>
              <w:keepNext/>
              <w:spacing w:after="20" w:before="20"/>
            </w:pPr>
            <w:r/>
            <w:r>
              <w:rPr>
                <w:b/>
                <w:sz w:val="18"/>
              </w:rPr>
              <w:t>Summe Wohnen</w:t>
            </w:r>
          </w:p>
        </w:tc>
        <w:tc>
          <w:tcPr>
            <w:tcW w:type="dxa" w:w="1134"/>
            <w:shd w:val="clear" w:color="auto" w:fill="E3E8E5"/>
          </w:tcPr>
          <w:p>
            <w:pPr>
              <w:keepNext/>
              <w:spacing w:after="20" w:before="20"/>
            </w:pPr>
            <w:r/>
            <w:r>
              <w:rPr>
                <w:b/>
                <w:sz w:val="18"/>
              </w:rPr>
            </w:r>
          </w:p>
        </w:tc>
        <w:tc>
          <w:tcPr>
            <w:tcW w:type="dxa" w:w="1361"/>
            <w:shd w:val="clear" w:color="auto" w:fill="E3E8E5"/>
          </w:tcPr>
          <w:p>
            <w:pPr>
              <w:keepNext/>
              <w:spacing w:after="20" w:before="20"/>
              <w:jc w:val="right"/>
            </w:pPr>
            <w:r/>
            <w:r>
              <w:rPr>
                <w:b/>
                <w:sz w:val="18"/>
              </w:rPr>
              <w:t>725,0 m²</w:t>
            </w:r>
          </w:p>
        </w:tc>
        <w:tc>
          <w:tcPr>
            <w:tcW w:type="dxa" w:w="1361"/>
            <w:shd w:val="clear" w:color="auto" w:fill="E3E8E5"/>
          </w:tcPr>
          <w:p>
            <w:pPr>
              <w:keepNext/>
              <w:spacing w:after="20" w:before="20"/>
              <w:jc w:val="right"/>
            </w:pPr>
            <w:r/>
            <w:r>
              <w:rPr>
                <w:b/>
                <w:sz w:val="18"/>
              </w:rPr>
            </w:r>
          </w:p>
        </w:tc>
        <w:tc>
          <w:tcPr>
            <w:tcW w:type="dxa" w:w="1814"/>
            <w:shd w:val="clear" w:color="auto" w:fill="E3E8E5"/>
          </w:tcPr>
          <w:p>
            <w:pPr>
              <w:keepNext/>
              <w:spacing w:after="20" w:before="20"/>
              <w:jc w:val="right"/>
            </w:pPr>
            <w:r/>
            <w:r>
              <w:rPr>
                <w:b/>
                <w:sz w:val="18"/>
              </w:rPr>
              <w:t>8.103 €</w:t>
            </w:r>
          </w:p>
        </w:tc>
        <w:tc>
          <w:tcPr>
            <w:tcW w:type="dxa" w:w="1701"/>
            <w:shd w:val="clear" w:color="auto" w:fill="E3E8E5"/>
          </w:tcPr>
          <w:p>
            <w:pPr>
              <w:keepNext/>
              <w:spacing w:after="20" w:before="20"/>
              <w:jc w:val="right"/>
            </w:pPr>
            <w:r/>
            <w:r>
              <w:rPr>
                <w:b/>
                <w:sz w:val="18"/>
              </w:rPr>
              <w:t>97.235 €</w:t>
            </w:r>
          </w:p>
        </w:tc>
      </w:tr>
      <w:tr>
        <w:trPr>
          <w:cantSplit/>
        </w:trPr>
        <w:tc>
          <w:tcPr>
            <w:tcW w:type="dxa" w:w="2041"/>
          </w:tcPr>
          <w:p>
            <w:pPr>
              <w:keepNext/>
              <w:spacing w:after="20" w:before="20"/>
            </w:pPr>
            <w:r/>
            <w:r>
              <w:rPr>
                <w:sz w:val="18"/>
              </w:rPr>
              <w:t>Gastro-Pacht (12 €/m²)</w:t>
            </w:r>
          </w:p>
        </w:tc>
        <w:tc>
          <w:tcPr>
            <w:tcW w:type="dxa" w:w="1134"/>
          </w:tcPr>
          <w:p>
            <w:pPr>
              <w:keepNext/>
              <w:spacing w:after="20" w:before="20"/>
            </w:pPr>
            <w:r/>
            <w:r>
              <w:rPr>
                <w:sz w:val="18"/>
              </w:rPr>
              <w:t>EG</w:t>
            </w:r>
          </w:p>
        </w:tc>
        <w:tc>
          <w:tcPr>
            <w:tcW w:type="dxa" w:w="1361"/>
          </w:tcPr>
          <w:p>
            <w:pPr>
              <w:keepNext/>
              <w:spacing w:after="20" w:before="20"/>
              <w:jc w:val="right"/>
            </w:pPr>
            <w:r/>
            <w:r>
              <w:rPr>
                <w:sz w:val="18"/>
              </w:rPr>
              <w:t>460,0 m²</w:t>
            </w:r>
          </w:p>
        </w:tc>
        <w:tc>
          <w:tcPr>
            <w:tcW w:type="dxa" w:w="1361"/>
          </w:tcPr>
          <w:p>
            <w:pPr>
              <w:keepNext/>
              <w:spacing w:after="20" w:before="20"/>
              <w:jc w:val="right"/>
            </w:pPr>
            <w:r/>
            <w:r>
              <w:rPr>
                <w:sz w:val="18"/>
              </w:rPr>
              <w:t>12,00 €</w:t>
            </w:r>
          </w:p>
        </w:tc>
        <w:tc>
          <w:tcPr>
            <w:tcW w:type="dxa" w:w="1814"/>
          </w:tcPr>
          <w:p>
            <w:pPr>
              <w:keepNext/>
              <w:spacing w:after="20" w:before="20"/>
              <w:jc w:val="right"/>
            </w:pPr>
            <w:r/>
            <w:r>
              <w:rPr>
                <w:sz w:val="18"/>
              </w:rPr>
              <w:t>5.520 €</w:t>
            </w:r>
          </w:p>
        </w:tc>
        <w:tc>
          <w:tcPr>
            <w:tcW w:type="dxa" w:w="1701"/>
          </w:tcPr>
          <w:p>
            <w:pPr>
              <w:keepNext/>
              <w:spacing w:after="20" w:before="20"/>
              <w:jc w:val="right"/>
            </w:pPr>
            <w:r/>
            <w:r>
              <w:rPr>
                <w:sz w:val="18"/>
              </w:rPr>
              <w:t>66.240 €</w:t>
            </w:r>
          </w:p>
        </w:tc>
      </w:tr>
      <w:tr>
        <w:trPr>
          <w:cantSplit/>
        </w:trPr>
        <w:tc>
          <w:tcPr>
            <w:tcW w:type="dxa" w:w="2041"/>
            <w:shd w:val="clear" w:color="auto" w:fill="E3E8E5"/>
          </w:tcPr>
          <w:p>
            <w:pPr>
              <w:spacing w:after="20" w:before="20"/>
            </w:pPr>
            <w:r/>
            <w:r>
              <w:rPr>
                <w:b/>
                <w:sz w:val="18"/>
              </w:rPr>
              <w:t>Rohertrag gesamt</w:t>
            </w:r>
          </w:p>
        </w:tc>
        <w:tc>
          <w:tcPr>
            <w:tcW w:type="dxa" w:w="1134"/>
            <w:shd w:val="clear" w:color="auto" w:fill="E3E8E5"/>
          </w:tcPr>
          <w:p>
            <w:pPr>
              <w:spacing w:after="20" w:before="20"/>
            </w:pPr>
            <w:r/>
            <w:r>
              <w:rPr>
                <w:b/>
                <w:sz w:val="18"/>
              </w:rPr>
            </w:r>
          </w:p>
        </w:tc>
        <w:tc>
          <w:tcPr>
            <w:tcW w:type="dxa" w:w="1361"/>
            <w:shd w:val="clear" w:color="auto" w:fill="E3E8E5"/>
          </w:tcPr>
          <w:p>
            <w:pPr>
              <w:spacing w:after="20" w:before="20"/>
              <w:jc w:val="right"/>
            </w:pPr>
            <w:r/>
            <w:r>
              <w:rPr>
                <w:b/>
                <w:sz w:val="18"/>
              </w:rPr>
            </w:r>
          </w:p>
        </w:tc>
        <w:tc>
          <w:tcPr>
            <w:tcW w:type="dxa" w:w="1361"/>
            <w:shd w:val="clear" w:color="auto" w:fill="E3E8E5"/>
          </w:tcPr>
          <w:p>
            <w:pPr>
              <w:spacing w:after="20" w:before="20"/>
              <w:jc w:val="right"/>
            </w:pPr>
            <w:r/>
            <w:r>
              <w:rPr>
                <w:b/>
                <w:sz w:val="18"/>
              </w:rPr>
            </w:r>
          </w:p>
        </w:tc>
        <w:tc>
          <w:tcPr>
            <w:tcW w:type="dxa" w:w="1814"/>
            <w:shd w:val="clear" w:color="auto" w:fill="E3E8E5"/>
          </w:tcPr>
          <w:p>
            <w:pPr>
              <w:spacing w:after="20" w:before="20"/>
              <w:jc w:val="right"/>
            </w:pPr>
            <w:r/>
            <w:r>
              <w:rPr>
                <w:b/>
                <w:sz w:val="18"/>
              </w:rPr>
              <w:t>13.623 €</w:t>
            </w:r>
          </w:p>
        </w:tc>
        <w:tc>
          <w:tcPr>
            <w:tcW w:type="dxa" w:w="1701"/>
            <w:shd w:val="clear" w:color="auto" w:fill="E3E8E5"/>
          </w:tcPr>
          <w:p>
            <w:pPr>
              <w:spacing w:after="20" w:before="20"/>
              <w:jc w:val="right"/>
            </w:pPr>
            <w:r/>
            <w:r>
              <w:rPr>
                <w:b/>
                <w:sz w:val="18"/>
              </w:rPr>
              <w:t>163.475 €</w:t>
            </w:r>
          </w:p>
        </w:tc>
      </w:tr>
    </w:tbl>
    <w:p>
      <w:pPr>
        <w:spacing w:after="40"/>
      </w:pPr>
    </w:p>
    <w:p>
      <w:r>
        <w:rPr>
          <w:b w:val="0"/>
          <w:i/>
          <w:color w:val="5B6770"/>
          <w:sz w:val="18"/>
        </w:rPr>
        <w:t>Die Miete von 11,18 €/m² (950 € für 85 m², Annahme des Bauherrn) liegt am oberen Rand der Portalwerte für Neubau in Werlte (ca. 10,7 bis 11,0 €/m²). Nebenkosten (Grundsteuer, Versicherung, Betriebskosten) werden auf die Mieter umgelegt.</w:t>
      </w:r>
    </w:p>
    <w:p>
      <w:pPr>
        <w:pStyle w:val="Heading1"/>
      </w:pPr>
      <w:r>
        <w:t>4  Gastro-Konzept</w:t>
      </w:r>
    </w:p>
    <w:p>
      <w:r>
        <w:rPr>
          <w:b w:val="0"/>
          <w:i w:val="0"/>
        </w:rPr>
        <w:t>Die Gastro nutzt das ganze Erdgeschoss (ca. 460 m²) als Bar-Restaurant für den ganzen Tag: Frühstück und Brunch am Wochenende, Mittagstisch für Beschäftigte aus Rathaus und Umgebung, Abendrestaurant mit regionaler, moderner Küche, Bar mit Theke und ein Séparée (abgetrennter Raum) mit 20 Plätzen für Feiern. Die Gestaltung folgt dem Referenzbild des Bauherrn: olivgrüne Vertäfelung, Cognac-Samtbanketten, Eiche, anthrazitfarbene Theke, Stahl-Glas-Trennwand und warmes Licht.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7143"/>
      </w:tblGrid>
      <w:tr>
        <w:trPr>
          <w:cantSplit/>
        </w:trPr>
        <w:tc>
          <w:tcPr>
            <w:tcW w:type="dxa" w:w="2268"/>
            <w:shd w:val="clear" w:color="auto" w:fill="2F4A3E"/>
          </w:tcPr>
          <w:p>
            <w:pPr>
              <w:keepNext/>
              <w:spacing w:after="20" w:before="20"/>
            </w:pPr>
            <w:r/>
            <w:r>
              <w:rPr>
                <w:b/>
                <w:color w:val="FFFFFF"/>
                <w:sz w:val="18"/>
              </w:rPr>
              <w:t>Merkmal</w:t>
            </w:r>
          </w:p>
        </w:tc>
        <w:tc>
          <w:tcPr>
            <w:tcW w:type="dxa" w:w="7143"/>
            <w:shd w:val="clear" w:color="auto" w:fill="2F4A3E"/>
          </w:tcPr>
          <w:p>
            <w:pPr>
              <w:keepNext/>
              <w:spacing w:after="20" w:before="20"/>
            </w:pPr>
            <w:r/>
            <w:r>
              <w:rPr>
                <w:b/>
                <w:color w:val="FFFFFF"/>
                <w:sz w:val="18"/>
              </w:rPr>
              <w:t>Annahme</w:t>
            </w:r>
          </w:p>
        </w:tc>
      </w:tr>
      <w:tr>
        <w:trPr>
          <w:cantSplit/>
        </w:trPr>
        <w:tc>
          <w:tcPr>
            <w:tcW w:type="dxa" w:w="2268"/>
          </w:tcPr>
          <w:p>
            <w:pPr>
              <w:keepNext/>
              <w:spacing w:after="20" w:before="20"/>
            </w:pPr>
            <w:r/>
            <w:r>
              <w:rPr>
                <w:sz w:val="18"/>
              </w:rPr>
              <w:t>Plätze</w:t>
            </w:r>
          </w:p>
        </w:tc>
        <w:tc>
          <w:tcPr>
            <w:tcW w:type="dxa" w:w="7143"/>
          </w:tcPr>
          <w:p>
            <w:pPr>
              <w:keepNext/>
              <w:spacing w:after="20" w:before="20"/>
            </w:pPr>
            <w:r/>
            <w:r>
              <w:rPr>
                <w:sz w:val="18"/>
              </w:rPr>
              <w:t>ca. 150 innen (130 Gastraum, 20 Séparée), ca. 40 auf der Terrasse, 10 Barhocker</w:t>
            </w:r>
          </w:p>
        </w:tc>
      </w:tr>
      <w:tr>
        <w:trPr>
          <w:cantSplit/>
        </w:trPr>
        <w:tc>
          <w:tcPr>
            <w:tcW w:type="dxa" w:w="2268"/>
          </w:tcPr>
          <w:p>
            <w:pPr>
              <w:keepNext/>
              <w:spacing w:after="20" w:before="20"/>
            </w:pPr>
            <w:r/>
            <w:r>
              <w:rPr>
                <w:sz w:val="18"/>
              </w:rPr>
              <w:t>Öffnungszeiten</w:t>
            </w:r>
          </w:p>
        </w:tc>
        <w:tc>
          <w:tcPr>
            <w:tcW w:type="dxa" w:w="7143"/>
          </w:tcPr>
          <w:p>
            <w:pPr>
              <w:keepNext/>
              <w:spacing w:after="20" w:before="20"/>
            </w:pPr>
            <w:r/>
            <w:r>
              <w:rPr>
                <w:sz w:val="18"/>
              </w:rPr>
              <w:t>Di–Fr 11:30–23 Uhr, Sa 10–01 Uhr, So 10–21 Uhr, Montag Ruhetag</w:t>
            </w:r>
          </w:p>
        </w:tc>
      </w:tr>
      <w:tr>
        <w:trPr>
          <w:cantSplit/>
        </w:trPr>
        <w:tc>
          <w:tcPr>
            <w:tcW w:type="dxa" w:w="2268"/>
          </w:tcPr>
          <w:p>
            <w:pPr>
              <w:keepNext/>
              <w:spacing w:after="20" w:before="20"/>
            </w:pPr>
            <w:r/>
            <w:r>
              <w:rPr>
                <w:sz w:val="18"/>
              </w:rPr>
              <w:t>Umsatz</w:t>
            </w:r>
          </w:p>
        </w:tc>
        <w:tc>
          <w:tcPr>
            <w:tcW w:type="dxa" w:w="7143"/>
          </w:tcPr>
          <w:p>
            <w:pPr>
              <w:keepNext/>
              <w:spacing w:after="20" w:before="20"/>
            </w:pPr>
            <w:r/>
            <w:r>
              <w:rPr>
                <w:sz w:val="18"/>
              </w:rPr>
              <w:t>50.000 € pro Monat (netto), vorsichtig für 460 m² und ca. 150 Plätze</w:t>
            </w:r>
          </w:p>
        </w:tc>
      </w:tr>
      <w:tr>
        <w:trPr>
          <w:cantSplit/>
        </w:trPr>
        <w:tc>
          <w:tcPr>
            <w:tcW w:type="dxa" w:w="2268"/>
          </w:tcPr>
          <w:p>
            <w:pPr>
              <w:keepNext/>
              <w:spacing w:after="20" w:before="20"/>
            </w:pPr>
            <w:r/>
            <w:r>
              <w:rPr>
                <w:sz w:val="18"/>
              </w:rPr>
              <w:t>Marge vor Pacht</w:t>
            </w:r>
          </w:p>
        </w:tc>
        <w:tc>
          <w:tcPr>
            <w:tcW w:type="dxa" w:w="7143"/>
          </w:tcPr>
          <w:p>
            <w:pPr>
              <w:keepNext/>
              <w:spacing w:after="20" w:before="20"/>
            </w:pPr>
            <w:r/>
            <w:r>
              <w:rPr>
                <w:sz w:val="18"/>
              </w:rPr>
              <w:t>30,5 % (Branchen-Richtwert, nicht aus Werlte)</w:t>
            </w:r>
          </w:p>
        </w:tc>
      </w:tr>
      <w:tr>
        <w:trPr>
          <w:cantSplit/>
        </w:trPr>
        <w:tc>
          <w:tcPr>
            <w:tcW w:type="dxa" w:w="2268"/>
          </w:tcPr>
          <w:p>
            <w:pPr>
              <w:keepNext/>
              <w:spacing w:after="20" w:before="20"/>
            </w:pPr>
            <w:r/>
            <w:r>
              <w:rPr>
                <w:sz w:val="18"/>
              </w:rPr>
              <w:t>Pacht an das Haus</w:t>
            </w:r>
          </w:p>
        </w:tc>
        <w:tc>
          <w:tcPr>
            <w:tcW w:type="dxa" w:w="7143"/>
          </w:tcPr>
          <w:p>
            <w:pPr>
              <w:keepNext/>
              <w:spacing w:after="20" w:before="20"/>
            </w:pPr>
            <w:r/>
            <w:r>
              <w:rPr>
                <w:sz w:val="18"/>
              </w:rPr>
              <w:t>12 €/m², 5.520 € pro Monat</w:t>
            </w:r>
          </w:p>
        </w:tc>
      </w:tr>
      <w:tr>
        <w:trPr>
          <w:cantSplit/>
        </w:trPr>
        <w:tc>
          <w:tcPr>
            <w:tcW w:type="dxa" w:w="2268"/>
          </w:tcPr>
          <w:p>
            <w:pPr>
              <w:spacing w:after="20" w:before="20"/>
            </w:pPr>
            <w:r/>
            <w:r>
              <w:rPr>
                <w:sz w:val="18"/>
              </w:rPr>
              <w:t>Ausbau</w:t>
            </w:r>
          </w:p>
        </w:tc>
        <w:tc>
          <w:tcPr>
            <w:tcW w:type="dxa" w:w="7143"/>
          </w:tcPr>
          <w:p>
            <w:pPr>
              <w:spacing w:after="20" w:before="20"/>
            </w:pPr>
            <w:r/>
            <w:r>
              <w:rPr>
                <w:sz w:val="18"/>
              </w:rPr>
              <w:t>150.000 € (Annahme des Bauherrn, für diese Fläche knapp, Angebote nötig)</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35"/>
        <w:gridCol w:w="3288"/>
        <w:gridCol w:w="3288"/>
      </w:tblGrid>
      <w:tr>
        <w:trPr>
          <w:cantSplit/>
        </w:trPr>
        <w:tc>
          <w:tcPr>
            <w:tcW w:type="dxa" w:w="2835"/>
            <w:shd w:val="clear" w:color="auto" w:fill="2F4A3E"/>
          </w:tcPr>
          <w:p>
            <w:pPr>
              <w:keepNext/>
              <w:spacing w:after="20" w:before="20"/>
            </w:pPr>
            <w:r/>
            <w:r>
              <w:rPr>
                <w:b/>
                <w:color w:val="FFFFFF"/>
                <w:sz w:val="18"/>
              </w:rPr>
              <w:t>Umsatz pro Monat</w:t>
            </w:r>
          </w:p>
        </w:tc>
        <w:tc>
          <w:tcPr>
            <w:tcW w:type="dxa" w:w="3288"/>
            <w:shd w:val="clear" w:color="auto" w:fill="2F4A3E"/>
          </w:tcPr>
          <w:p>
            <w:pPr>
              <w:keepNext/>
              <w:spacing w:after="20" w:before="20"/>
              <w:jc w:val="right"/>
            </w:pPr>
            <w:r/>
            <w:r>
              <w:rPr>
                <w:b/>
                <w:color w:val="FFFFFF"/>
                <w:sz w:val="18"/>
              </w:rPr>
              <w:t>Gewinn vor Pacht</w:t>
            </w:r>
          </w:p>
        </w:tc>
        <w:tc>
          <w:tcPr>
            <w:tcW w:type="dxa" w:w="3288"/>
            <w:shd w:val="clear" w:color="auto" w:fill="2F4A3E"/>
          </w:tcPr>
          <w:p>
            <w:pPr>
              <w:keepNext/>
              <w:spacing w:after="20" w:before="20"/>
              <w:jc w:val="right"/>
            </w:pPr>
            <w:r/>
            <w:r>
              <w:rPr>
                <w:b/>
                <w:color w:val="FFFFFF"/>
                <w:sz w:val="18"/>
              </w:rPr>
              <w:t>Gewinn nach Pacht</w:t>
            </w:r>
          </w:p>
        </w:tc>
      </w:tr>
      <w:tr>
        <w:trPr>
          <w:cantSplit/>
        </w:trPr>
        <w:tc>
          <w:tcPr>
            <w:tcW w:type="dxa" w:w="2835"/>
          </w:tcPr>
          <w:p>
            <w:pPr>
              <w:keepNext/>
              <w:spacing w:after="20" w:before="20"/>
            </w:pPr>
            <w:r/>
            <w:r>
              <w:rPr>
                <w:sz w:val="18"/>
              </w:rPr>
              <w:t>30.000 €</w:t>
            </w:r>
          </w:p>
        </w:tc>
        <w:tc>
          <w:tcPr>
            <w:tcW w:type="dxa" w:w="3288"/>
          </w:tcPr>
          <w:p>
            <w:pPr>
              <w:keepNext/>
              <w:spacing w:after="20" w:before="20"/>
              <w:jc w:val="right"/>
            </w:pPr>
            <w:r/>
            <w:r>
              <w:rPr>
                <w:sz w:val="18"/>
              </w:rPr>
              <w:t>9.150 €</w:t>
            </w:r>
          </w:p>
        </w:tc>
        <w:tc>
          <w:tcPr>
            <w:tcW w:type="dxa" w:w="3288"/>
          </w:tcPr>
          <w:p>
            <w:pPr>
              <w:keepNext/>
              <w:spacing w:after="20" w:before="20"/>
              <w:jc w:val="right"/>
            </w:pPr>
            <w:r/>
            <w:r>
              <w:rPr>
                <w:sz w:val="18"/>
              </w:rPr>
              <w:t>+3.630 €</w:t>
            </w:r>
          </w:p>
        </w:tc>
      </w:tr>
      <w:tr>
        <w:trPr>
          <w:cantSplit/>
        </w:trPr>
        <w:tc>
          <w:tcPr>
            <w:tcW w:type="dxa" w:w="2835"/>
          </w:tcPr>
          <w:p>
            <w:pPr>
              <w:keepNext/>
              <w:spacing w:after="20" w:before="20"/>
            </w:pPr>
            <w:r/>
            <w:r>
              <w:rPr>
                <w:sz w:val="18"/>
              </w:rPr>
              <w:t>40.000 €</w:t>
            </w:r>
          </w:p>
        </w:tc>
        <w:tc>
          <w:tcPr>
            <w:tcW w:type="dxa" w:w="3288"/>
          </w:tcPr>
          <w:p>
            <w:pPr>
              <w:keepNext/>
              <w:spacing w:after="20" w:before="20"/>
              <w:jc w:val="right"/>
            </w:pPr>
            <w:r/>
            <w:r>
              <w:rPr>
                <w:sz w:val="18"/>
              </w:rPr>
              <w:t>12.200 €</w:t>
            </w:r>
          </w:p>
        </w:tc>
        <w:tc>
          <w:tcPr>
            <w:tcW w:type="dxa" w:w="3288"/>
          </w:tcPr>
          <w:p>
            <w:pPr>
              <w:keepNext/>
              <w:spacing w:after="20" w:before="20"/>
              <w:jc w:val="right"/>
            </w:pPr>
            <w:r/>
            <w:r>
              <w:rPr>
                <w:sz w:val="18"/>
              </w:rPr>
              <w:t>+6.680 €</w:t>
            </w:r>
          </w:p>
        </w:tc>
      </w:tr>
      <w:tr>
        <w:trPr>
          <w:cantSplit/>
        </w:trPr>
        <w:tc>
          <w:tcPr>
            <w:tcW w:type="dxa" w:w="2835"/>
            <w:shd w:val="clear" w:color="auto" w:fill="E3E8E5"/>
          </w:tcPr>
          <w:p>
            <w:pPr>
              <w:keepNext/>
              <w:spacing w:after="20" w:before="20"/>
            </w:pPr>
            <w:r/>
            <w:r>
              <w:rPr>
                <w:b/>
                <w:sz w:val="18"/>
              </w:rPr>
              <w:t>50.000 €</w:t>
            </w:r>
          </w:p>
        </w:tc>
        <w:tc>
          <w:tcPr>
            <w:tcW w:type="dxa" w:w="3288"/>
            <w:shd w:val="clear" w:color="auto" w:fill="E3E8E5"/>
          </w:tcPr>
          <w:p>
            <w:pPr>
              <w:keepNext/>
              <w:spacing w:after="20" w:before="20"/>
              <w:jc w:val="right"/>
            </w:pPr>
            <w:r/>
            <w:r>
              <w:rPr>
                <w:b/>
                <w:sz w:val="18"/>
              </w:rPr>
              <w:t>15.250 €</w:t>
            </w:r>
          </w:p>
        </w:tc>
        <w:tc>
          <w:tcPr>
            <w:tcW w:type="dxa" w:w="3288"/>
            <w:shd w:val="clear" w:color="auto" w:fill="E3E8E5"/>
          </w:tcPr>
          <w:p>
            <w:pPr>
              <w:keepNext/>
              <w:spacing w:after="20" w:before="20"/>
              <w:jc w:val="right"/>
            </w:pPr>
            <w:r/>
            <w:r>
              <w:rPr>
                <w:b/>
                <w:sz w:val="18"/>
              </w:rPr>
              <w:t>+9.730 €</w:t>
            </w:r>
          </w:p>
        </w:tc>
      </w:tr>
      <w:tr>
        <w:trPr>
          <w:cantSplit/>
        </w:trPr>
        <w:tc>
          <w:tcPr>
            <w:tcW w:type="dxa" w:w="2835"/>
          </w:tcPr>
          <w:p>
            <w:pPr>
              <w:keepNext/>
              <w:spacing w:after="20" w:before="20"/>
            </w:pPr>
            <w:r/>
            <w:r>
              <w:rPr>
                <w:sz w:val="18"/>
              </w:rPr>
              <w:t>60.000 €</w:t>
            </w:r>
          </w:p>
        </w:tc>
        <w:tc>
          <w:tcPr>
            <w:tcW w:type="dxa" w:w="3288"/>
          </w:tcPr>
          <w:p>
            <w:pPr>
              <w:keepNext/>
              <w:spacing w:after="20" w:before="20"/>
              <w:jc w:val="right"/>
            </w:pPr>
            <w:r/>
            <w:r>
              <w:rPr>
                <w:sz w:val="18"/>
              </w:rPr>
              <w:t>18.300 €</w:t>
            </w:r>
          </w:p>
        </w:tc>
        <w:tc>
          <w:tcPr>
            <w:tcW w:type="dxa" w:w="3288"/>
          </w:tcPr>
          <w:p>
            <w:pPr>
              <w:keepNext/>
              <w:spacing w:after="20" w:before="20"/>
              <w:jc w:val="right"/>
            </w:pPr>
            <w:r/>
            <w:r>
              <w:rPr>
                <w:sz w:val="18"/>
              </w:rPr>
              <w:t>+12.780 €</w:t>
            </w:r>
          </w:p>
        </w:tc>
      </w:tr>
      <w:tr>
        <w:trPr>
          <w:cantSplit/>
        </w:trPr>
        <w:tc>
          <w:tcPr>
            <w:tcW w:type="dxa" w:w="2835"/>
          </w:tcPr>
          <w:p>
            <w:pPr>
              <w:spacing w:after="20" w:before="20"/>
            </w:pPr>
            <w:r/>
            <w:r>
              <w:rPr>
                <w:sz w:val="18"/>
              </w:rPr>
              <w:t>70.000 €</w:t>
            </w:r>
          </w:p>
        </w:tc>
        <w:tc>
          <w:tcPr>
            <w:tcW w:type="dxa" w:w="3288"/>
          </w:tcPr>
          <w:p>
            <w:pPr>
              <w:spacing w:after="20" w:before="20"/>
              <w:jc w:val="right"/>
            </w:pPr>
            <w:r/>
            <w:r>
              <w:rPr>
                <w:sz w:val="18"/>
              </w:rPr>
              <w:t>21.350 €</w:t>
            </w:r>
          </w:p>
        </w:tc>
        <w:tc>
          <w:tcPr>
            <w:tcW w:type="dxa" w:w="3288"/>
          </w:tcPr>
          <w:p>
            <w:pPr>
              <w:spacing w:after="20" w:before="20"/>
              <w:jc w:val="right"/>
            </w:pPr>
            <w:r/>
            <w:r>
              <w:rPr>
                <w:sz w:val="18"/>
              </w:rPr>
              <w:t>+15.830 €</w:t>
            </w:r>
          </w:p>
        </w:tc>
      </w:tr>
    </w:tbl>
    <w:p>
      <w:pPr>
        <w:spacing w:after="40"/>
      </w:pPr>
    </w:p>
    <w:p>
      <w:pPr>
        <w:spacing w:after="80"/>
      </w:pPr>
      <w:r>
        <w:rPr>
          <w:b w:val="0"/>
          <w:i w:val="0"/>
        </w:rPr>
        <w:t>Der Gastro-Betrieb deckt seine Pacht ab ca. 18.100 € Umsatz im Monat. Der Lohn des Bauherrn ist nicht gerechnet. Ausführliche Gestaltung, Grundriss, Speisekarte und Personalplan stehen im Gastro-Konzept.</w:t>
      </w:r>
    </w:p>
    <w:p>
      <w:pPr>
        <w:pStyle w:val="Heading1"/>
      </w:pPr>
      <w:r>
        <w:t>5  Kosten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3402"/>
        <w:gridCol w:w="2948"/>
        <w:gridCol w:w="1701"/>
        <w:gridCol w:w="1361"/>
      </w:tblGrid>
      <w:tr>
        <w:trPr>
          <w:cantSplit/>
        </w:trPr>
        <w:tc>
          <w:tcPr>
            <w:tcW w:type="dxa" w:w="3402"/>
            <w:shd w:val="clear" w:color="auto" w:fill="2F4A3E"/>
          </w:tcPr>
          <w:p>
            <w:pPr>
              <w:keepNext/>
              <w:spacing w:after="20" w:before="20"/>
            </w:pPr>
            <w:r/>
            <w:r>
              <w:rPr>
                <w:b/>
                <w:color w:val="FFFFFF"/>
                <w:sz w:val="18"/>
              </w:rPr>
              <w:t>Posten</w:t>
            </w:r>
          </w:p>
        </w:tc>
        <w:tc>
          <w:tcPr>
            <w:tcW w:type="dxa" w:w="2948"/>
            <w:shd w:val="clear" w:color="auto" w:fill="2F4A3E"/>
          </w:tcPr>
          <w:p>
            <w:pPr>
              <w:keepNext/>
              <w:spacing w:after="20" w:before="20"/>
            </w:pPr>
            <w:r/>
            <w:r>
              <w:rPr>
                <w:b/>
                <w:color w:val="FFFFFF"/>
                <w:sz w:val="18"/>
              </w:rPr>
              <w:t>Rechnung</w:t>
            </w:r>
          </w:p>
        </w:tc>
        <w:tc>
          <w:tcPr>
            <w:tcW w:type="dxa" w:w="1701"/>
            <w:shd w:val="clear" w:color="auto" w:fill="2F4A3E"/>
          </w:tcPr>
          <w:p>
            <w:pPr>
              <w:keepNext/>
              <w:spacing w:after="20" w:before="20"/>
              <w:jc w:val="right"/>
            </w:pPr>
            <w:r/>
            <w:r>
              <w:rPr>
                <w:b/>
                <w:color w:val="FFFFFF"/>
                <w:sz w:val="18"/>
              </w:rPr>
              <w:t>Betrag</w:t>
            </w:r>
          </w:p>
        </w:tc>
        <w:tc>
          <w:tcPr>
            <w:tcW w:type="dxa" w:w="1361"/>
            <w:shd w:val="clear" w:color="auto" w:fill="2F4A3E"/>
          </w:tcPr>
          <w:p>
            <w:pPr>
              <w:keepNext/>
              <w:spacing w:after="20" w:before="20"/>
              <w:jc w:val="right"/>
            </w:pPr>
            <w:r/>
            <w:r>
              <w:rPr>
                <w:b/>
                <w:color w:val="FFFFFF"/>
                <w:sz w:val="18"/>
              </w:rPr>
              <w:t>Anteil</w:t>
            </w:r>
          </w:p>
        </w:tc>
      </w:tr>
      <w:tr>
        <w:trPr>
          <w:cantSplit/>
        </w:trPr>
        <w:tc>
          <w:tcPr>
            <w:tcW w:type="dxa" w:w="3402"/>
          </w:tcPr>
          <w:p>
            <w:pPr>
              <w:keepNext/>
              <w:spacing w:after="20" w:before="20"/>
            </w:pPr>
            <w:r/>
            <w:r>
              <w:rPr>
                <w:sz w:val="18"/>
              </w:rPr>
              <w:t>Grundstück inkl. Steuer und Notar</w:t>
            </w:r>
          </w:p>
        </w:tc>
        <w:tc>
          <w:tcPr>
            <w:tcW w:type="dxa" w:w="2948"/>
          </w:tcPr>
          <w:p>
            <w:pPr>
              <w:keepNext/>
              <w:spacing w:after="20" w:before="20"/>
            </w:pPr>
            <w:r/>
            <w:r>
              <w:rPr>
                <w:sz w:val="18"/>
              </w:rPr>
              <w:t>960 m² × 230 € + ca. 7 %</w:t>
            </w:r>
          </w:p>
        </w:tc>
        <w:tc>
          <w:tcPr>
            <w:tcW w:type="dxa" w:w="1701"/>
          </w:tcPr>
          <w:p>
            <w:pPr>
              <w:keepNext/>
              <w:spacing w:after="20" w:before="20"/>
              <w:jc w:val="right"/>
            </w:pPr>
            <w:r/>
            <w:r>
              <w:rPr>
                <w:sz w:val="18"/>
              </w:rPr>
              <w:t>236.256 €</w:t>
            </w:r>
          </w:p>
        </w:tc>
        <w:tc>
          <w:tcPr>
            <w:tcW w:type="dxa" w:w="1361"/>
          </w:tcPr>
          <w:p>
            <w:pPr>
              <w:keepNext/>
              <w:spacing w:after="20" w:before="20"/>
              <w:jc w:val="right"/>
            </w:pPr>
            <w:r/>
            <w:r>
              <w:rPr>
                <w:sz w:val="18"/>
              </w:rPr>
              <w:t>5,3 %</w:t>
            </w:r>
          </w:p>
        </w:tc>
      </w:tr>
      <w:tr>
        <w:trPr>
          <w:cantSplit/>
        </w:trPr>
        <w:tc>
          <w:tcPr>
            <w:tcW w:type="dxa" w:w="3402"/>
          </w:tcPr>
          <w:p>
            <w:pPr>
              <w:keepNext/>
              <w:spacing w:after="20" w:before="20"/>
            </w:pPr>
            <w:r/>
            <w:r>
              <w:rPr>
                <w:sz w:val="18"/>
              </w:rPr>
              <w:t>Bau, Massivbau</w:t>
            </w:r>
          </w:p>
        </w:tc>
        <w:tc>
          <w:tcPr>
            <w:tcW w:type="dxa" w:w="2948"/>
          </w:tcPr>
          <w:p>
            <w:pPr>
              <w:keepNext/>
              <w:spacing w:after="20" w:before="20"/>
            </w:pPr>
            <w:r/>
            <w:r>
              <w:rPr>
                <w:sz w:val="18"/>
              </w:rPr>
              <w:t>1.540 m² × 2.200 €</w:t>
            </w:r>
          </w:p>
        </w:tc>
        <w:tc>
          <w:tcPr>
            <w:tcW w:type="dxa" w:w="1701"/>
          </w:tcPr>
          <w:p>
            <w:pPr>
              <w:keepNext/>
              <w:spacing w:after="20" w:before="20"/>
              <w:jc w:val="right"/>
            </w:pPr>
            <w:r/>
            <w:r>
              <w:rPr>
                <w:sz w:val="18"/>
              </w:rPr>
              <w:t>3.388.000 €</w:t>
            </w:r>
          </w:p>
        </w:tc>
        <w:tc>
          <w:tcPr>
            <w:tcW w:type="dxa" w:w="1361"/>
          </w:tcPr>
          <w:p>
            <w:pPr>
              <w:keepNext/>
              <w:spacing w:after="20" w:before="20"/>
              <w:jc w:val="right"/>
            </w:pPr>
            <w:r/>
            <w:r>
              <w:rPr>
                <w:sz w:val="18"/>
              </w:rPr>
              <w:t>75,4 %</w:t>
            </w:r>
          </w:p>
        </w:tc>
      </w:tr>
      <w:tr>
        <w:trPr>
          <w:cantSplit/>
        </w:trPr>
        <w:tc>
          <w:tcPr>
            <w:tcW w:type="dxa" w:w="3402"/>
          </w:tcPr>
          <w:p>
            <w:pPr>
              <w:keepNext/>
              <w:spacing w:after="20" w:before="20"/>
            </w:pPr>
            <w:r/>
            <w:r>
              <w:rPr>
                <w:sz w:val="18"/>
              </w:rPr>
              <w:t>Abschlag Holzbau Staffelgeschoss</w:t>
            </w:r>
          </w:p>
        </w:tc>
        <w:tc>
          <w:tcPr>
            <w:tcW w:type="dxa" w:w="2948"/>
          </w:tcPr>
          <w:p>
            <w:pPr>
              <w:keepNext/>
              <w:spacing w:after="20" w:before="20"/>
            </w:pPr>
            <w:r/>
            <w:r>
              <w:rPr>
                <w:sz w:val="18"/>
              </w:rPr>
              <w:t>460 m² × 400 €</w:t>
            </w:r>
          </w:p>
        </w:tc>
        <w:tc>
          <w:tcPr>
            <w:tcW w:type="dxa" w:w="1701"/>
          </w:tcPr>
          <w:p>
            <w:pPr>
              <w:keepNext/>
              <w:spacing w:after="20" w:before="20"/>
              <w:jc w:val="right"/>
            </w:pPr>
            <w:r/>
            <w:r>
              <w:rPr>
                <w:sz w:val="18"/>
              </w:rPr>
              <w:t>−184.000 €</w:t>
            </w:r>
          </w:p>
        </w:tc>
        <w:tc>
          <w:tcPr>
            <w:tcW w:type="dxa" w:w="1361"/>
          </w:tcPr>
          <w:p>
            <w:pPr>
              <w:keepNext/>
              <w:spacing w:after="20" w:before="20"/>
              <w:jc w:val="right"/>
            </w:pPr>
            <w:r/>
            <w:r>
              <w:rPr>
                <w:sz w:val="18"/>
              </w:rPr>
              <w:t>-4,1 %</w:t>
            </w:r>
          </w:p>
        </w:tc>
      </w:tr>
      <w:tr>
        <w:trPr>
          <w:cantSplit/>
        </w:trPr>
        <w:tc>
          <w:tcPr>
            <w:tcW w:type="dxa" w:w="3402"/>
          </w:tcPr>
          <w:p>
            <w:pPr>
              <w:keepNext/>
              <w:spacing w:after="20" w:before="20"/>
            </w:pPr>
            <w:r/>
            <w:r>
              <w:rPr>
                <w:sz w:val="18"/>
              </w:rPr>
              <w:t>Dachterrasse rundum</w:t>
            </w:r>
          </w:p>
        </w:tc>
        <w:tc>
          <w:tcPr>
            <w:tcW w:type="dxa" w:w="2948"/>
          </w:tcPr>
          <w:p>
            <w:pPr>
              <w:keepNext/>
              <w:spacing w:after="20" w:before="20"/>
            </w:pPr>
            <w:r/>
            <w:r>
              <w:rPr>
                <w:sz w:val="18"/>
              </w:rPr>
              <w:t>72 m² × 450 €</w:t>
            </w:r>
          </w:p>
        </w:tc>
        <w:tc>
          <w:tcPr>
            <w:tcW w:type="dxa" w:w="1701"/>
          </w:tcPr>
          <w:p>
            <w:pPr>
              <w:keepNext/>
              <w:spacing w:after="20" w:before="20"/>
              <w:jc w:val="right"/>
            </w:pPr>
            <w:r/>
            <w:r>
              <w:rPr>
                <w:sz w:val="18"/>
              </w:rPr>
              <w:t>32.400 €</w:t>
            </w:r>
          </w:p>
        </w:tc>
        <w:tc>
          <w:tcPr>
            <w:tcW w:type="dxa" w:w="1361"/>
          </w:tcPr>
          <w:p>
            <w:pPr>
              <w:keepNext/>
              <w:spacing w:after="20" w:before="20"/>
              <w:jc w:val="right"/>
            </w:pPr>
            <w:r/>
            <w:r>
              <w:rPr>
                <w:sz w:val="18"/>
              </w:rPr>
              <w:t>0,7 %</w:t>
            </w:r>
          </w:p>
        </w:tc>
      </w:tr>
      <w:tr>
        <w:trPr>
          <w:cantSplit/>
        </w:trPr>
        <w:tc>
          <w:tcPr>
            <w:tcW w:type="dxa" w:w="3402"/>
          </w:tcPr>
          <w:p>
            <w:pPr>
              <w:keepNext/>
              <w:spacing w:after="20" w:before="20"/>
            </w:pPr>
            <w:r/>
            <w:r>
              <w:rPr>
                <w:sz w:val="18"/>
              </w:rPr>
              <w:t>Baunebenkosten</w:t>
            </w:r>
          </w:p>
        </w:tc>
        <w:tc>
          <w:tcPr>
            <w:tcW w:type="dxa" w:w="2948"/>
          </w:tcPr>
          <w:p>
            <w:pPr>
              <w:keepNext/>
              <w:spacing w:after="20" w:before="20"/>
            </w:pPr>
            <w:r/>
            <w:r>
              <w:rPr>
                <w:sz w:val="18"/>
              </w:rPr>
              <w:t>15 % vom Bau</w:t>
            </w:r>
          </w:p>
        </w:tc>
        <w:tc>
          <w:tcPr>
            <w:tcW w:type="dxa" w:w="1701"/>
          </w:tcPr>
          <w:p>
            <w:pPr>
              <w:keepNext/>
              <w:spacing w:after="20" w:before="20"/>
              <w:jc w:val="right"/>
            </w:pPr>
            <w:r/>
            <w:r>
              <w:rPr>
                <w:sz w:val="18"/>
              </w:rPr>
              <w:t>485.460 €</w:t>
            </w:r>
          </w:p>
        </w:tc>
        <w:tc>
          <w:tcPr>
            <w:tcW w:type="dxa" w:w="1361"/>
          </w:tcPr>
          <w:p>
            <w:pPr>
              <w:keepNext/>
              <w:spacing w:after="20" w:before="20"/>
              <w:jc w:val="right"/>
            </w:pPr>
            <w:r/>
            <w:r>
              <w:rPr>
                <w:sz w:val="18"/>
              </w:rPr>
              <w:t>10,8 %</w:t>
            </w:r>
          </w:p>
        </w:tc>
      </w:tr>
      <w:tr>
        <w:trPr>
          <w:cantSplit/>
        </w:trPr>
        <w:tc>
          <w:tcPr>
            <w:tcW w:type="dxa" w:w="3402"/>
          </w:tcPr>
          <w:p>
            <w:pPr>
              <w:keepNext/>
              <w:spacing w:after="20" w:before="20"/>
            </w:pPr>
            <w:r/>
            <w:r>
              <w:rPr>
                <w:sz w:val="18"/>
              </w:rPr>
              <w:t>Mehrkosten Effizienzhaus 40 und QNG</w:t>
            </w:r>
          </w:p>
        </w:tc>
        <w:tc>
          <w:tcPr>
            <w:tcW w:type="dxa" w:w="2948"/>
          </w:tcPr>
          <w:p>
            <w:pPr>
              <w:keepNext/>
              <w:spacing w:after="20" w:before="20"/>
            </w:pPr>
            <w:r/>
            <w:r>
              <w:rPr>
                <w:sz w:val="18"/>
              </w:rPr>
              <w:t>3 % auf Bau inkl. Nebenkosten</w:t>
            </w:r>
          </w:p>
        </w:tc>
        <w:tc>
          <w:tcPr>
            <w:tcW w:type="dxa" w:w="1701"/>
          </w:tcPr>
          <w:p>
            <w:pPr>
              <w:keepNext/>
              <w:spacing w:after="20" w:before="20"/>
              <w:jc w:val="right"/>
            </w:pPr>
            <w:r/>
            <w:r>
              <w:rPr>
                <w:sz w:val="18"/>
              </w:rPr>
              <w:t>111.656 €</w:t>
            </w:r>
          </w:p>
        </w:tc>
        <w:tc>
          <w:tcPr>
            <w:tcW w:type="dxa" w:w="1361"/>
          </w:tcPr>
          <w:p>
            <w:pPr>
              <w:keepNext/>
              <w:spacing w:after="20" w:before="20"/>
              <w:jc w:val="right"/>
            </w:pPr>
            <w:r/>
            <w:r>
              <w:rPr>
                <w:sz w:val="18"/>
              </w:rPr>
              <w:t>2,5 %</w:t>
            </w:r>
          </w:p>
        </w:tc>
      </w:tr>
      <w:tr>
        <w:trPr>
          <w:cantSplit/>
        </w:trPr>
        <w:tc>
          <w:tcPr>
            <w:tcW w:type="dxa" w:w="3402"/>
          </w:tcPr>
          <w:p>
            <w:pPr>
              <w:keepNext/>
              <w:spacing w:after="20" w:before="20"/>
            </w:pPr>
            <w:r/>
            <w:r>
              <w:rPr>
                <w:sz w:val="18"/>
              </w:rPr>
              <w:t>Gastro-Ausbau</w:t>
            </w:r>
          </w:p>
        </w:tc>
        <w:tc>
          <w:tcPr>
            <w:tcW w:type="dxa" w:w="2948"/>
          </w:tcPr>
          <w:p>
            <w:pPr>
              <w:keepNext/>
              <w:spacing w:after="20" w:before="20"/>
            </w:pPr>
            <w:r/>
            <w:r>
              <w:rPr>
                <w:sz w:val="18"/>
              </w:rPr>
              <w:t>Annahme Bauherr</w:t>
            </w:r>
          </w:p>
        </w:tc>
        <w:tc>
          <w:tcPr>
            <w:tcW w:type="dxa" w:w="1701"/>
          </w:tcPr>
          <w:p>
            <w:pPr>
              <w:keepNext/>
              <w:spacing w:after="20" w:before="20"/>
              <w:jc w:val="right"/>
            </w:pPr>
            <w:r/>
            <w:r>
              <w:rPr>
                <w:sz w:val="18"/>
              </w:rPr>
              <w:t>150.000 €</w:t>
            </w:r>
          </w:p>
        </w:tc>
        <w:tc>
          <w:tcPr>
            <w:tcW w:type="dxa" w:w="1361"/>
          </w:tcPr>
          <w:p>
            <w:pPr>
              <w:keepNext/>
              <w:spacing w:after="20" w:before="20"/>
              <w:jc w:val="right"/>
            </w:pPr>
            <w:r/>
            <w:r>
              <w:rPr>
                <w:sz w:val="18"/>
              </w:rPr>
              <w:t>3,3 %</w:t>
            </w:r>
          </w:p>
        </w:tc>
      </w:tr>
      <w:tr>
        <w:trPr>
          <w:cantSplit/>
        </w:trPr>
        <w:tc>
          <w:tcPr>
            <w:tcW w:type="dxa" w:w="3402"/>
          </w:tcPr>
          <w:p>
            <w:pPr>
              <w:keepNext/>
              <w:spacing w:after="20" w:before="20"/>
            </w:pPr>
            <w:r/>
            <w:r>
              <w:rPr>
                <w:sz w:val="18"/>
              </w:rPr>
              <w:t>Finanzierungskosten</w:t>
            </w:r>
          </w:p>
        </w:tc>
        <w:tc>
          <w:tcPr>
            <w:tcW w:type="dxa" w:w="2948"/>
          </w:tcPr>
          <w:p>
            <w:pPr>
              <w:keepNext/>
              <w:spacing w:after="20" w:before="20"/>
            </w:pPr>
            <w:r/>
            <w:r>
              <w:rPr>
                <w:sz w:val="18"/>
              </w:rPr>
              <w:t>Bauzeit, Bereitstellung, Anlaufzeit</w:t>
            </w:r>
          </w:p>
        </w:tc>
        <w:tc>
          <w:tcPr>
            <w:tcW w:type="dxa" w:w="1701"/>
          </w:tcPr>
          <w:p>
            <w:pPr>
              <w:keepNext/>
              <w:spacing w:after="20" w:before="20"/>
              <w:jc w:val="right"/>
            </w:pPr>
            <w:r/>
            <w:r>
              <w:rPr>
                <w:sz w:val="18"/>
              </w:rPr>
              <w:t>271.066 €</w:t>
            </w:r>
          </w:p>
        </w:tc>
        <w:tc>
          <w:tcPr>
            <w:tcW w:type="dxa" w:w="1361"/>
          </w:tcPr>
          <w:p>
            <w:pPr>
              <w:keepNext/>
              <w:spacing w:after="20" w:before="20"/>
              <w:jc w:val="right"/>
            </w:pPr>
            <w:r/>
            <w:r>
              <w:rPr>
                <w:sz w:val="18"/>
              </w:rPr>
              <w:t>6,0 %</w:t>
            </w:r>
          </w:p>
        </w:tc>
      </w:tr>
      <w:tr>
        <w:trPr>
          <w:cantSplit/>
        </w:trPr>
        <w:tc>
          <w:tcPr>
            <w:tcW w:type="dxa" w:w="3402"/>
            <w:shd w:val="clear" w:color="auto" w:fill="E3E8E5"/>
          </w:tcPr>
          <w:p>
            <w:pPr>
              <w:spacing w:after="20" w:before="20"/>
            </w:pPr>
            <w:r/>
            <w:r>
              <w:rPr>
                <w:b/>
                <w:sz w:val="18"/>
              </w:rPr>
              <w:t>Gesamtkosten</w:t>
            </w:r>
          </w:p>
        </w:tc>
        <w:tc>
          <w:tcPr>
            <w:tcW w:type="dxa" w:w="2948"/>
            <w:shd w:val="clear" w:color="auto" w:fill="E3E8E5"/>
          </w:tcPr>
          <w:p>
            <w:pPr>
              <w:spacing w:after="20" w:before="20"/>
            </w:pPr>
            <w:r/>
            <w:r>
              <w:rPr>
                <w:b/>
                <w:sz w:val="18"/>
              </w:rPr>
            </w:r>
          </w:p>
        </w:tc>
        <w:tc>
          <w:tcPr>
            <w:tcW w:type="dxa" w:w="1701"/>
            <w:shd w:val="clear" w:color="auto" w:fill="E3E8E5"/>
          </w:tcPr>
          <w:p>
            <w:pPr>
              <w:spacing w:after="20" w:before="20"/>
              <w:jc w:val="right"/>
            </w:pPr>
            <w:r/>
            <w:r>
              <w:rPr>
                <w:b/>
                <w:sz w:val="18"/>
              </w:rPr>
              <w:t>4.490.838 €</w:t>
            </w:r>
          </w:p>
        </w:tc>
        <w:tc>
          <w:tcPr>
            <w:tcW w:type="dxa" w:w="1361"/>
            <w:shd w:val="clear" w:color="auto" w:fill="E3E8E5"/>
          </w:tcPr>
          <w:p>
            <w:pPr>
              <w:spacing w:after="20" w:before="20"/>
              <w:jc w:val="right"/>
            </w:pPr>
            <w:r/>
            <w:r>
              <w:rPr>
                <w:b/>
                <w:sz w:val="18"/>
              </w:rPr>
              <w:t>100 %</w:t>
            </w:r>
          </w:p>
        </w:tc>
      </w:tr>
    </w:tbl>
    <w:p>
      <w:pPr>
        <w:spacing w:after="40"/>
      </w:pPr>
    </w:p>
    <w:p>
      <w:r>
        <w:rPr>
          <w:b w:val="0"/>
          <w:i/>
          <w:color w:val="5B6770"/>
          <w:sz w:val="18"/>
        </w:rPr>
        <w:t>Das entspricht 2.916 € je m² BGF. Baukosten von 2.200 €/m² (Bekanntenpreis des Bauherrn) und die Baunebenkosten sind durch Angebote von Bauunternehmen und Zimmerei zu belegen. QNG steht für das Qualitätssiegel Nachhaltiges Gebäude.</w:t>
      </w:r>
    </w:p>
    <w:p>
      <w:pPr>
        <w:pStyle w:val="Heading1"/>
      </w:pPr>
      <w:r>
        <w:t>6  Finanzierung mit KfW-Krediten</w:t>
      </w:r>
    </w:p>
    <w:p>
      <w:r>
        <w:rPr>
          <w:b w:val="0"/>
          <w:i w:val="0"/>
        </w:rPr>
        <w:t>Das Vorhaben wird zu 100 % fremdfinanziert. Der Bauherr bringt kein Eigenkapital ein. Die Kosten werden mit den zinsverbilligten KfW-Krediten „Klimafreundlicher Neubau“ und einem Darlehen der Hausbank gedeckt. Die KfW zahlt im Neubau keinen Zuschuss, der Vorteil ist der niedrigere Zins.</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247"/>
        <w:gridCol w:w="2268"/>
        <w:gridCol w:w="2608"/>
        <w:gridCol w:w="1814"/>
        <w:gridCol w:w="1474"/>
      </w:tblGrid>
      <w:tr>
        <w:trPr>
          <w:cantSplit/>
        </w:trPr>
        <w:tc>
          <w:tcPr>
            <w:tcW w:type="dxa" w:w="1247"/>
            <w:shd w:val="clear" w:color="auto" w:fill="2F4A3E"/>
          </w:tcPr>
          <w:p>
            <w:pPr>
              <w:keepNext/>
              <w:spacing w:after="20" w:before="20"/>
            </w:pPr>
            <w:r/>
            <w:r>
              <w:rPr>
                <w:b/>
                <w:color w:val="FFFFFF"/>
                <w:sz w:val="18"/>
              </w:rPr>
              <w:t>Programm</w:t>
            </w:r>
          </w:p>
        </w:tc>
        <w:tc>
          <w:tcPr>
            <w:tcW w:type="dxa" w:w="2268"/>
            <w:shd w:val="clear" w:color="auto" w:fill="2F4A3E"/>
          </w:tcPr>
          <w:p>
            <w:pPr>
              <w:keepNext/>
              <w:spacing w:after="20" w:before="20"/>
            </w:pPr>
            <w:r/>
            <w:r>
              <w:rPr>
                <w:b/>
                <w:color w:val="FFFFFF"/>
                <w:sz w:val="18"/>
              </w:rPr>
              <w:t>Wofür</w:t>
            </w:r>
          </w:p>
        </w:tc>
        <w:tc>
          <w:tcPr>
            <w:tcW w:type="dxa" w:w="2608"/>
            <w:shd w:val="clear" w:color="auto" w:fill="2F4A3E"/>
          </w:tcPr>
          <w:p>
            <w:pPr>
              <w:keepNext/>
              <w:spacing w:after="20" w:before="20"/>
            </w:pPr>
            <w:r/>
            <w:r>
              <w:rPr>
                <w:b/>
                <w:color w:val="FFFFFF"/>
                <w:sz w:val="18"/>
              </w:rPr>
              <w:t>Rahmen (mit QNG)</w:t>
            </w:r>
          </w:p>
        </w:tc>
        <w:tc>
          <w:tcPr>
            <w:tcW w:type="dxa" w:w="1814"/>
            <w:shd w:val="clear" w:color="auto" w:fill="2F4A3E"/>
          </w:tcPr>
          <w:p>
            <w:pPr>
              <w:keepNext/>
              <w:spacing w:after="20" w:before="20"/>
              <w:jc w:val="right"/>
            </w:pPr>
            <w:r/>
            <w:r>
              <w:rPr>
                <w:b/>
                <w:color w:val="FFFFFF"/>
                <w:sz w:val="18"/>
              </w:rPr>
              <w:t>Im Projekt</w:t>
            </w:r>
          </w:p>
        </w:tc>
        <w:tc>
          <w:tcPr>
            <w:tcW w:type="dxa" w:w="1474"/>
            <w:shd w:val="clear" w:color="auto" w:fill="2F4A3E"/>
          </w:tcPr>
          <w:p>
            <w:pPr>
              <w:keepNext/>
              <w:spacing w:after="20" w:before="20"/>
              <w:jc w:val="right"/>
            </w:pPr>
            <w:r/>
            <w:r>
              <w:rPr>
                <w:b/>
                <w:color w:val="FFFFFF"/>
                <w:sz w:val="18"/>
              </w:rPr>
              <w:t>Zins</w:t>
            </w:r>
          </w:p>
        </w:tc>
      </w:tr>
      <w:tr>
        <w:trPr>
          <w:cantSplit/>
        </w:trPr>
        <w:tc>
          <w:tcPr>
            <w:tcW w:type="dxa" w:w="1247"/>
          </w:tcPr>
          <w:p>
            <w:pPr>
              <w:keepNext/>
              <w:spacing w:after="20" w:before="20"/>
            </w:pPr>
            <w:r/>
            <w:r>
              <w:rPr>
                <w:sz w:val="18"/>
              </w:rPr>
              <w:t>KfW 297</w:t>
            </w:r>
          </w:p>
        </w:tc>
        <w:tc>
          <w:tcPr>
            <w:tcW w:type="dxa" w:w="2268"/>
          </w:tcPr>
          <w:p>
            <w:pPr>
              <w:keepNext/>
              <w:spacing w:after="20" w:before="20"/>
            </w:pPr>
            <w:r/>
            <w:r>
              <w:rPr>
                <w:sz w:val="18"/>
              </w:rPr>
              <w:t>selbst genutzte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298</w:t>
            </w:r>
          </w:p>
        </w:tc>
        <w:tc>
          <w:tcPr>
            <w:tcW w:type="dxa" w:w="2268"/>
          </w:tcPr>
          <w:p>
            <w:pPr>
              <w:keepNext/>
              <w:spacing w:after="20" w:before="20"/>
            </w:pPr>
            <w:r/>
            <w:r>
              <w:rPr>
                <w:sz w:val="18"/>
              </w:rPr>
              <w:t>vermietete Wohnungen</w:t>
            </w:r>
          </w:p>
        </w:tc>
        <w:tc>
          <w:tcPr>
            <w:tcW w:type="dxa" w:w="2608"/>
          </w:tcPr>
          <w:p>
            <w:pPr>
              <w:keepNext/>
              <w:spacing w:after="20" w:before="20"/>
            </w:pPr>
            <w:r/>
            <w:r>
              <w:rPr>
                <w:sz w:val="18"/>
              </w:rPr>
              <w:t>bis 150.000 € je Wohnung</w:t>
            </w:r>
          </w:p>
        </w:tc>
        <w:tc>
          <w:tcPr>
            <w:tcW w:type="dxa" w:w="1814"/>
          </w:tcPr>
          <w:p>
            <w:pPr>
              <w:keepNext/>
              <w:spacing w:after="20" w:before="20"/>
              <w:jc w:val="right"/>
            </w:pPr>
            <w:r/>
            <w:r>
              <w:rPr>
                <w:sz w:val="18"/>
              </w:rPr>
              <w:t>1.200.000 €</w:t>
            </w:r>
          </w:p>
        </w:tc>
        <w:tc>
          <w:tcPr>
            <w:tcW w:type="dxa" w:w="1474"/>
          </w:tcPr>
          <w:p>
            <w:pPr>
              <w:keepNext/>
              <w:spacing w:after="20" w:before="20"/>
              <w:jc w:val="right"/>
            </w:pPr>
            <w:r/>
            <w:r>
              <w:rPr>
                <w:sz w:val="18"/>
              </w:rPr>
              <w:t>2,50 %</w:t>
            </w:r>
          </w:p>
        </w:tc>
      </w:tr>
      <w:tr>
        <w:trPr>
          <w:cantSplit/>
        </w:trPr>
        <w:tc>
          <w:tcPr>
            <w:tcW w:type="dxa" w:w="1247"/>
          </w:tcPr>
          <w:p>
            <w:pPr>
              <w:keepNext/>
              <w:spacing w:after="20" w:before="20"/>
            </w:pPr>
            <w:r/>
            <w:r>
              <w:rPr>
                <w:sz w:val="18"/>
              </w:rPr>
              <w:t>KfW 299</w:t>
            </w:r>
          </w:p>
        </w:tc>
        <w:tc>
          <w:tcPr>
            <w:tcW w:type="dxa" w:w="2268"/>
          </w:tcPr>
          <w:p>
            <w:pPr>
              <w:keepNext/>
              <w:spacing w:after="20" w:before="20"/>
            </w:pPr>
            <w:r/>
            <w:r>
              <w:rPr>
                <w:sz w:val="18"/>
              </w:rPr>
              <w:t>Gastro (Nichtwohngebäude)</w:t>
            </w:r>
          </w:p>
        </w:tc>
        <w:tc>
          <w:tcPr>
            <w:tcW w:type="dxa" w:w="2608"/>
          </w:tcPr>
          <w:p>
            <w:pPr>
              <w:keepNext/>
              <w:spacing w:after="20" w:before="20"/>
            </w:pPr>
            <w:r/>
            <w:r>
              <w:rPr>
                <w:sz w:val="18"/>
              </w:rPr>
              <w:t>bis 2.000 € je m² Nettogrundfläche</w:t>
            </w:r>
          </w:p>
        </w:tc>
        <w:tc>
          <w:tcPr>
            <w:tcW w:type="dxa" w:w="1814"/>
          </w:tcPr>
          <w:p>
            <w:pPr>
              <w:keepNext/>
              <w:spacing w:after="20" w:before="20"/>
              <w:jc w:val="right"/>
            </w:pPr>
            <w:r/>
            <w:r>
              <w:rPr>
                <w:sz w:val="18"/>
              </w:rPr>
              <w:t>782.000 €</w:t>
            </w:r>
          </w:p>
        </w:tc>
        <w:tc>
          <w:tcPr>
            <w:tcW w:type="dxa" w:w="1474"/>
          </w:tcPr>
          <w:p>
            <w:pPr>
              <w:keepNext/>
              <w:spacing w:after="20" w:before="20"/>
              <w:jc w:val="right"/>
            </w:pPr>
            <w:r/>
            <w:r>
              <w:rPr>
                <w:sz w:val="18"/>
              </w:rPr>
              <w:t>3,00 %</w:t>
            </w:r>
          </w:p>
        </w:tc>
      </w:tr>
      <w:tr>
        <w:trPr>
          <w:cantSplit/>
        </w:trPr>
        <w:tc>
          <w:tcPr>
            <w:tcW w:type="dxa" w:w="1247"/>
          </w:tcPr>
          <w:p>
            <w:pPr>
              <w:keepNext/>
              <w:spacing w:after="20" w:before="20"/>
            </w:pPr>
            <w:r/>
            <w:r>
              <w:rPr>
                <w:sz w:val="18"/>
              </w:rPr>
              <w:t>Hausbank</w:t>
            </w:r>
          </w:p>
        </w:tc>
        <w:tc>
          <w:tcPr>
            <w:tcW w:type="dxa" w:w="2268"/>
          </w:tcPr>
          <w:p>
            <w:pPr>
              <w:keepNext/>
              <w:spacing w:after="20" w:before="20"/>
            </w:pPr>
            <w:r/>
            <w:r>
              <w:rPr>
                <w:sz w:val="18"/>
              </w:rPr>
              <w:t>Rest inkl. Bauzeitzinsen</w:t>
            </w:r>
          </w:p>
        </w:tc>
        <w:tc>
          <w:tcPr>
            <w:tcW w:type="dxa" w:w="2608"/>
          </w:tcPr>
          <w:p>
            <w:pPr>
              <w:keepNext/>
              <w:spacing w:after="20" w:before="20"/>
            </w:pPr>
            <w:r/>
            <w:r>
              <w:rPr>
                <w:sz w:val="18"/>
              </w:rPr>
              <w:t>–</w:t>
            </w:r>
          </w:p>
        </w:tc>
        <w:tc>
          <w:tcPr>
            <w:tcW w:type="dxa" w:w="1814"/>
          </w:tcPr>
          <w:p>
            <w:pPr>
              <w:keepNext/>
              <w:spacing w:after="20" w:before="20"/>
              <w:jc w:val="right"/>
            </w:pPr>
            <w:r/>
            <w:r>
              <w:rPr>
                <w:sz w:val="18"/>
              </w:rPr>
              <w:t>2.508.838 €</w:t>
            </w:r>
          </w:p>
        </w:tc>
        <w:tc>
          <w:tcPr>
            <w:tcW w:type="dxa" w:w="1474"/>
          </w:tcPr>
          <w:p>
            <w:pPr>
              <w:keepNext/>
              <w:spacing w:after="20" w:before="20"/>
              <w:jc w:val="right"/>
            </w:pPr>
            <w:r/>
            <w:r>
              <w:rPr>
                <w:sz w:val="18"/>
              </w:rPr>
              <w:t>4,00 %</w:t>
            </w:r>
          </w:p>
        </w:tc>
      </w:tr>
      <w:tr>
        <w:trPr>
          <w:cantSplit/>
        </w:trPr>
        <w:tc>
          <w:tcPr>
            <w:tcW w:type="dxa" w:w="1247"/>
            <w:shd w:val="clear" w:color="auto" w:fill="E3E8E5"/>
          </w:tcPr>
          <w:p>
            <w:pPr>
              <w:spacing w:after="20" w:before="20"/>
            </w:pPr>
            <w:r/>
            <w:r>
              <w:rPr>
                <w:b/>
                <w:sz w:val="18"/>
              </w:rPr>
              <w:t>Summe</w:t>
            </w:r>
          </w:p>
        </w:tc>
        <w:tc>
          <w:tcPr>
            <w:tcW w:type="dxa" w:w="2268"/>
            <w:shd w:val="clear" w:color="auto" w:fill="E3E8E5"/>
          </w:tcPr>
          <w:p>
            <w:pPr>
              <w:spacing w:after="20" w:before="20"/>
            </w:pPr>
            <w:r/>
            <w:r>
              <w:rPr>
                <w:b/>
                <w:sz w:val="18"/>
              </w:rPr>
            </w:r>
          </w:p>
        </w:tc>
        <w:tc>
          <w:tcPr>
            <w:tcW w:type="dxa" w:w="2608"/>
            <w:shd w:val="clear" w:color="auto" w:fill="E3E8E5"/>
          </w:tcPr>
          <w:p>
            <w:pPr>
              <w:spacing w:after="20" w:before="20"/>
            </w:pPr>
            <w:r/>
            <w:r>
              <w:rPr>
                <w:b/>
                <w:sz w:val="18"/>
              </w:rPr>
            </w:r>
          </w:p>
        </w:tc>
        <w:tc>
          <w:tcPr>
            <w:tcW w:type="dxa" w:w="1814"/>
            <w:shd w:val="clear" w:color="auto" w:fill="E3E8E5"/>
          </w:tcPr>
          <w:p>
            <w:pPr>
              <w:spacing w:after="20" w:before="20"/>
              <w:jc w:val="right"/>
            </w:pPr>
            <w:r/>
            <w:r>
              <w:rPr>
                <w:b/>
                <w:sz w:val="18"/>
              </w:rPr>
              <w:t>4.490.838 €</w:t>
            </w:r>
          </w:p>
        </w:tc>
        <w:tc>
          <w:tcPr>
            <w:tcW w:type="dxa" w:w="1474"/>
            <w:shd w:val="clear" w:color="auto" w:fill="E3E8E5"/>
          </w:tcPr>
          <w:p>
            <w:pPr>
              <w:spacing w:after="20" w:before="20"/>
              <w:jc w:val="right"/>
            </w:pPr>
            <w:r/>
            <w:r>
              <w:rPr>
                <w:b/>
                <w:sz w:val="18"/>
              </w:rPr>
              <w:t>3,43 %</w:t>
            </w:r>
          </w:p>
        </w:tc>
      </w:tr>
    </w:tbl>
    <w:p>
      <w:pPr>
        <w:spacing w:after="40"/>
      </w:pPr>
    </w:p>
    <w:p>
      <w:pPr>
        <w:spacing w:after="40"/>
      </w:pPr>
      <w:r>
        <w:rPr>
          <w:b/>
          <w:i w:val="0"/>
          <w:color w:val="2F4A3E"/>
        </w:rPr>
        <w:t>Voraussetzungen und Hinweise</w:t>
      </w:r>
    </w:p>
    <w:p>
      <w:pPr>
        <w:pStyle w:val="ListBullet"/>
        <w:spacing w:after="60"/>
      </w:pPr>
      <w:r>
        <w:t>Effizienzhaus 40 (Wohnen) bzw. Effizienzgebäude 40 (Gastro) und QNG-Zertifikat für den vollen Kreditrahmen. Mehrkosten angenommen mit 3 % der Baukosten.</w:t>
      </w:r>
    </w:p>
    <w:p>
      <w:pPr>
        <w:pStyle w:val="ListBullet"/>
        <w:spacing w:after="60"/>
      </w:pPr>
      <w:r>
        <w:t>Heizung ohne Öl, Gas und Biomasse, zum Beispiel Wärmepumpe oder Fernwärme. Ein Energieeffizienz-Experte plant und bestätigt den Standard.</w:t>
      </w:r>
    </w:p>
    <w:p>
      <w:pPr>
        <w:pStyle w:val="ListBullet"/>
        <w:spacing w:after="60"/>
      </w:pPr>
      <w:r>
        <w:t>Antrag über die Hausbank vor Baubeginn (Vorhabenbeginn). Es gibt keinen Rechtsanspruch, der Zins gilt am Tag der Zusage.</w:t>
      </w:r>
    </w:p>
    <w:p>
      <w:pPr>
        <w:pStyle w:val="ListBullet"/>
        <w:spacing w:after="60"/>
      </w:pPr>
      <w:r>
        <w:t>Wohnteil (297/298) und Gastro (299) werden bei gemischter Nutzung getrennt gefördert. Das Programm 297 gilt für selbst genutzte Wohnungen, 298 für vermietete, die Konditionen sind gleich. Im Rechenmodell sind alle 8 Wohnungen vermietet (298), eine Selbstnutzung lässt sich im Blatt Annahmen einstellen.</w:t>
      </w:r>
    </w:p>
    <w:p>
      <w:pPr>
        <w:pStyle w:val="ListBullet"/>
        <w:spacing w:after="60"/>
      </w:pPr>
      <w:r>
        <w:t>Die KfW-Zinsen in den Quellen (Ratgeber, Oktober 2026) schwanken zwischen 0,6 % und 3,05 %. Angesetzt sind 2,5 % (Wohnen) und 3,0 % (Gastro). Die Hausbank und die KfW müssen die Konditionen bestätigen.</w:t>
      </w:r>
    </w:p>
    <w:p>
      <w:pPr>
        <w:spacing w:after="40"/>
      </w:pPr>
      <w:r>
        <w:rPr>
          <w:b/>
          <w:i w:val="0"/>
          <w:color w:val="2F4A3E"/>
        </w:rPr>
        <w:t>Bau- und Anlaufzeit</w:t>
      </w:r>
    </w:p>
    <w:p>
      <w:r>
        <w:rPr>
          <w:b w:val="0"/>
          <w:i w:val="0"/>
        </w:rPr>
        <w:t>Das Grundstück wird zu Beginn bezahlt, die Baukosten fließen über 15 Monate. Danach folgen 12 Monate tilgungsfreie Anlaufzeit, in der nur Zinsen anfallen und von der Hausbank mitfinanziert werden (mit der Bank zu verhandeln). Zinsen und Bereitstellungsgebühr (3 % p. a. ab Monat 7 auf die noch nicht abgerufene Bausumme) betragen in dieser Zeit 271.066 €. Zu Beginn der Rückzahlung stehen 4.490.838 € Darlehen.</w:t>
      </w:r>
    </w:p>
    <w:p>
      <w:pPr>
        <w:pStyle w:val="Heading1"/>
      </w:pPr>
      <w:r>
        <w:t>7  Abzahlungsplan</w:t>
      </w:r>
    </w:p>
    <w:p>
      <w:r>
        <w:rPr>
          <w:b w:val="0"/>
          <w:i w:val="0"/>
        </w:rPr>
        <w:t>Die Darlehen werden als Annuitätendarlehen (gleichbleibende Rate) mit 1 % Anfangstilgung zurückgezahlt. Rate = Darlehen × (Zins + Tilgung) / 12. Die Zinsbindung beträgt 10 Jahre, danach wird der gleiche Zins angenommen. Der vollständige monatliche Plan über 35 Jahre steht im Excel-Blatt „Tilgungsplan“, eine Jahresübersicht im Blatt „Tilgung Jahre“.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268"/>
        <w:gridCol w:w="1928"/>
        <w:gridCol w:w="1077"/>
        <w:gridCol w:w="1077"/>
        <w:gridCol w:w="1587"/>
        <w:gridCol w:w="1474"/>
      </w:tblGrid>
      <w:tr>
        <w:trPr>
          <w:cantSplit/>
        </w:trPr>
        <w:tc>
          <w:tcPr>
            <w:tcW w:type="dxa" w:w="2268"/>
            <w:shd w:val="clear" w:color="auto" w:fill="2F4A3E"/>
          </w:tcPr>
          <w:p>
            <w:pPr>
              <w:keepNext/>
              <w:spacing w:after="20" w:before="20"/>
            </w:pPr>
            <w:r/>
            <w:r>
              <w:rPr>
                <w:b/>
                <w:color w:val="FFFFFF"/>
                <w:sz w:val="18"/>
              </w:rPr>
              <w:t>Darlehen</w:t>
            </w:r>
          </w:p>
        </w:tc>
        <w:tc>
          <w:tcPr>
            <w:tcW w:type="dxa" w:w="1928"/>
            <w:shd w:val="clear" w:color="auto" w:fill="2F4A3E"/>
          </w:tcPr>
          <w:p>
            <w:pPr>
              <w:keepNext/>
              <w:spacing w:after="20" w:before="20"/>
              <w:jc w:val="right"/>
            </w:pPr>
            <w:r/>
            <w:r>
              <w:rPr>
                <w:b/>
                <w:color w:val="FFFFFF"/>
                <w:sz w:val="18"/>
              </w:rPr>
              <w:t>Betrag bei Rate-Start</w:t>
            </w:r>
          </w:p>
        </w:tc>
        <w:tc>
          <w:tcPr>
            <w:tcW w:type="dxa" w:w="1077"/>
            <w:shd w:val="clear" w:color="auto" w:fill="2F4A3E"/>
          </w:tcPr>
          <w:p>
            <w:pPr>
              <w:keepNext/>
              <w:spacing w:after="20" w:before="20"/>
              <w:jc w:val="right"/>
            </w:pPr>
            <w:r/>
            <w:r>
              <w:rPr>
                <w:b/>
                <w:color w:val="FFFFFF"/>
                <w:sz w:val="18"/>
              </w:rPr>
              <w:t>Zins</w:t>
            </w:r>
          </w:p>
        </w:tc>
        <w:tc>
          <w:tcPr>
            <w:tcW w:type="dxa" w:w="1077"/>
            <w:shd w:val="clear" w:color="auto" w:fill="2F4A3E"/>
          </w:tcPr>
          <w:p>
            <w:pPr>
              <w:keepNext/>
              <w:spacing w:after="20" w:before="20"/>
              <w:jc w:val="right"/>
            </w:pPr>
            <w:r/>
            <w:r>
              <w:rPr>
                <w:b/>
                <w:color w:val="FFFFFF"/>
                <w:sz w:val="18"/>
              </w:rPr>
              <w:t>Tilgung</w:t>
            </w:r>
          </w:p>
        </w:tc>
        <w:tc>
          <w:tcPr>
            <w:tcW w:type="dxa" w:w="1587"/>
            <w:shd w:val="clear" w:color="auto" w:fill="2F4A3E"/>
          </w:tcPr>
          <w:p>
            <w:pPr>
              <w:keepNext/>
              <w:spacing w:after="20" w:before="20"/>
              <w:jc w:val="right"/>
            </w:pPr>
            <w:r/>
            <w:r>
              <w:rPr>
                <w:b/>
                <w:color w:val="FFFFFF"/>
                <w:sz w:val="18"/>
              </w:rPr>
              <w:t>Rate / Monat</w:t>
            </w:r>
          </w:p>
        </w:tc>
        <w:tc>
          <w:tcPr>
            <w:tcW w:type="dxa" w:w="1474"/>
            <w:shd w:val="clear" w:color="auto" w:fill="2F4A3E"/>
          </w:tcPr>
          <w:p>
            <w:pPr>
              <w:keepNext/>
              <w:spacing w:after="20" w:before="20"/>
              <w:jc w:val="right"/>
            </w:pPr>
            <w:r/>
            <w:r>
              <w:rPr>
                <w:b/>
                <w:color w:val="FFFFFF"/>
                <w:sz w:val="18"/>
              </w:rPr>
              <w:t>Rate / Jahr</w:t>
            </w:r>
          </w:p>
        </w:tc>
      </w:tr>
      <w:tr>
        <w:trPr>
          <w:cantSplit/>
        </w:trPr>
        <w:tc>
          <w:tcPr>
            <w:tcW w:type="dxa" w:w="2268"/>
          </w:tcPr>
          <w:p>
            <w:pPr>
              <w:keepNext/>
              <w:spacing w:after="20" w:before="20"/>
            </w:pPr>
            <w:r/>
            <w:r>
              <w:rPr>
                <w:sz w:val="18"/>
              </w:rPr>
              <w:t>KfW Wohnen (297, 298)</w:t>
            </w:r>
          </w:p>
        </w:tc>
        <w:tc>
          <w:tcPr>
            <w:tcW w:type="dxa" w:w="1928"/>
          </w:tcPr>
          <w:p>
            <w:pPr>
              <w:keepNext/>
              <w:spacing w:after="20" w:before="20"/>
              <w:jc w:val="right"/>
            </w:pPr>
            <w:r/>
            <w:r>
              <w:rPr>
                <w:sz w:val="18"/>
              </w:rPr>
              <w:t>1.200.000 €</w:t>
            </w:r>
          </w:p>
        </w:tc>
        <w:tc>
          <w:tcPr>
            <w:tcW w:type="dxa" w:w="1077"/>
          </w:tcPr>
          <w:p>
            <w:pPr>
              <w:keepNext/>
              <w:spacing w:after="20" w:before="20"/>
              <w:jc w:val="right"/>
            </w:pPr>
            <w:r/>
            <w:r>
              <w:rPr>
                <w:sz w:val="18"/>
              </w:rPr>
              <w:t>2,50 %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3.500 €</w:t>
            </w:r>
          </w:p>
        </w:tc>
        <w:tc>
          <w:tcPr>
            <w:tcW w:type="dxa" w:w="1474"/>
          </w:tcPr>
          <w:p>
            <w:pPr>
              <w:keepNext/>
              <w:spacing w:after="20" w:before="20"/>
              <w:jc w:val="right"/>
            </w:pPr>
            <w:r/>
            <w:r>
              <w:rPr>
                <w:sz w:val="18"/>
              </w:rPr>
              <w:t>42.000 €</w:t>
            </w:r>
          </w:p>
        </w:tc>
      </w:tr>
      <w:tr>
        <w:trPr>
          <w:cantSplit/>
        </w:trPr>
        <w:tc>
          <w:tcPr>
            <w:tcW w:type="dxa" w:w="2268"/>
          </w:tcPr>
          <w:p>
            <w:pPr>
              <w:keepNext/>
              <w:spacing w:after="20" w:before="20"/>
            </w:pPr>
            <w:r/>
            <w:r>
              <w:rPr>
                <w:sz w:val="18"/>
              </w:rPr>
              <w:t>KfW Gastro (299)</w:t>
            </w:r>
          </w:p>
        </w:tc>
        <w:tc>
          <w:tcPr>
            <w:tcW w:type="dxa" w:w="1928"/>
          </w:tcPr>
          <w:p>
            <w:pPr>
              <w:keepNext/>
              <w:spacing w:after="20" w:before="20"/>
              <w:jc w:val="right"/>
            </w:pPr>
            <w:r/>
            <w:r>
              <w:rPr>
                <w:sz w:val="18"/>
              </w:rPr>
              <w:t>782.000 €</w:t>
            </w:r>
          </w:p>
        </w:tc>
        <w:tc>
          <w:tcPr>
            <w:tcW w:type="dxa" w:w="1077"/>
          </w:tcPr>
          <w:p>
            <w:pPr>
              <w:keepNext/>
              <w:spacing w:after="20" w:before="20"/>
              <w:jc w:val="right"/>
            </w:pPr>
            <w:r/>
            <w:r>
              <w:rPr>
                <w:sz w:val="18"/>
              </w:rPr>
              <w:t>3,00 %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2.607 €</w:t>
            </w:r>
          </w:p>
        </w:tc>
        <w:tc>
          <w:tcPr>
            <w:tcW w:type="dxa" w:w="1474"/>
          </w:tcPr>
          <w:p>
            <w:pPr>
              <w:keepNext/>
              <w:spacing w:after="20" w:before="20"/>
              <w:jc w:val="right"/>
            </w:pPr>
            <w:r/>
            <w:r>
              <w:rPr>
                <w:sz w:val="18"/>
              </w:rPr>
              <w:t>31.280 €</w:t>
            </w:r>
          </w:p>
        </w:tc>
      </w:tr>
      <w:tr>
        <w:trPr>
          <w:cantSplit/>
        </w:trPr>
        <w:tc>
          <w:tcPr>
            <w:tcW w:type="dxa" w:w="2268"/>
          </w:tcPr>
          <w:p>
            <w:pPr>
              <w:keepNext/>
              <w:spacing w:after="20" w:before="20"/>
            </w:pPr>
            <w:r/>
            <w:r>
              <w:rPr>
                <w:sz w:val="18"/>
              </w:rPr>
              <w:t>Hausbank</w:t>
            </w:r>
          </w:p>
        </w:tc>
        <w:tc>
          <w:tcPr>
            <w:tcW w:type="dxa" w:w="1928"/>
          </w:tcPr>
          <w:p>
            <w:pPr>
              <w:keepNext/>
              <w:spacing w:after="20" w:before="20"/>
              <w:jc w:val="right"/>
            </w:pPr>
            <w:r/>
            <w:r>
              <w:rPr>
                <w:sz w:val="18"/>
              </w:rPr>
              <w:t>2.508.838 €</w:t>
            </w:r>
          </w:p>
        </w:tc>
        <w:tc>
          <w:tcPr>
            <w:tcW w:type="dxa" w:w="1077"/>
          </w:tcPr>
          <w:p>
            <w:pPr>
              <w:keepNext/>
              <w:spacing w:after="20" w:before="20"/>
              <w:jc w:val="right"/>
            </w:pPr>
            <w:r/>
            <w:r>
              <w:rPr>
                <w:sz w:val="18"/>
              </w:rPr>
              <w:t>4,00 %</w:t>
            </w:r>
          </w:p>
        </w:tc>
        <w:tc>
          <w:tcPr>
            <w:tcW w:type="dxa" w:w="1077"/>
          </w:tcPr>
          <w:p>
            <w:pPr>
              <w:keepNext/>
              <w:spacing w:after="20" w:before="20"/>
              <w:jc w:val="right"/>
            </w:pPr>
            <w:r/>
            <w:r>
              <w:rPr>
                <w:sz w:val="18"/>
              </w:rPr>
              <w:t>1,00 %</w:t>
            </w:r>
          </w:p>
        </w:tc>
        <w:tc>
          <w:tcPr>
            <w:tcW w:type="dxa" w:w="1587"/>
          </w:tcPr>
          <w:p>
            <w:pPr>
              <w:keepNext/>
              <w:spacing w:after="20" w:before="20"/>
              <w:jc w:val="right"/>
            </w:pPr>
            <w:r/>
            <w:r>
              <w:rPr>
                <w:sz w:val="18"/>
              </w:rPr>
              <w:t>10.453 €</w:t>
            </w:r>
          </w:p>
        </w:tc>
        <w:tc>
          <w:tcPr>
            <w:tcW w:type="dxa" w:w="1474"/>
          </w:tcPr>
          <w:p>
            <w:pPr>
              <w:keepNext/>
              <w:spacing w:after="20" w:before="20"/>
              <w:jc w:val="right"/>
            </w:pPr>
            <w:r/>
            <w:r>
              <w:rPr>
                <w:sz w:val="18"/>
              </w:rPr>
              <w:t>125.442 €</w:t>
            </w:r>
          </w:p>
        </w:tc>
      </w:tr>
      <w:tr>
        <w:trPr>
          <w:cantSplit/>
        </w:trPr>
        <w:tc>
          <w:tcPr>
            <w:tcW w:type="dxa" w:w="2268"/>
            <w:shd w:val="clear" w:color="auto" w:fill="E3E8E5"/>
          </w:tcPr>
          <w:p>
            <w:pPr>
              <w:spacing w:after="20" w:before="20"/>
            </w:pPr>
            <w:r/>
            <w:r>
              <w:rPr>
                <w:b/>
                <w:sz w:val="18"/>
              </w:rPr>
              <w:t>Summe</w:t>
            </w:r>
          </w:p>
        </w:tc>
        <w:tc>
          <w:tcPr>
            <w:tcW w:type="dxa" w:w="1928"/>
            <w:shd w:val="clear" w:color="auto" w:fill="E3E8E5"/>
          </w:tcPr>
          <w:p>
            <w:pPr>
              <w:spacing w:after="20" w:before="20"/>
              <w:jc w:val="right"/>
            </w:pPr>
            <w:r/>
            <w:r>
              <w:rPr>
                <w:b/>
                <w:sz w:val="18"/>
              </w:rPr>
              <w:t>4.490.838 €</w:t>
            </w:r>
          </w:p>
        </w:tc>
        <w:tc>
          <w:tcPr>
            <w:tcW w:type="dxa" w:w="1077"/>
            <w:shd w:val="clear" w:color="auto" w:fill="E3E8E5"/>
          </w:tcPr>
          <w:p>
            <w:pPr>
              <w:spacing w:after="20" w:before="20"/>
              <w:jc w:val="right"/>
            </w:pPr>
            <w:r/>
            <w:r>
              <w:rPr>
                <w:b/>
                <w:sz w:val="18"/>
              </w:rPr>
              <w:t>3,43 %</w:t>
            </w:r>
          </w:p>
        </w:tc>
        <w:tc>
          <w:tcPr>
            <w:tcW w:type="dxa" w:w="1077"/>
            <w:shd w:val="clear" w:color="auto" w:fill="E3E8E5"/>
          </w:tcPr>
          <w:p>
            <w:pPr>
              <w:spacing w:after="20" w:before="20"/>
              <w:jc w:val="right"/>
            </w:pPr>
            <w:r/>
            <w:r>
              <w:rPr>
                <w:b/>
                <w:sz w:val="18"/>
              </w:rPr>
            </w:r>
          </w:p>
        </w:tc>
        <w:tc>
          <w:tcPr>
            <w:tcW w:type="dxa" w:w="1587"/>
            <w:shd w:val="clear" w:color="auto" w:fill="E3E8E5"/>
          </w:tcPr>
          <w:p>
            <w:pPr>
              <w:spacing w:after="20" w:before="20"/>
              <w:jc w:val="right"/>
            </w:pPr>
            <w:r/>
            <w:r>
              <w:rPr>
                <w:b/>
                <w:sz w:val="18"/>
              </w:rPr>
              <w:t>16.560 €</w:t>
            </w:r>
          </w:p>
        </w:tc>
        <w:tc>
          <w:tcPr>
            <w:tcW w:type="dxa" w:w="1474"/>
            <w:shd w:val="clear" w:color="auto" w:fill="E3E8E5"/>
          </w:tcPr>
          <w:p>
            <w:pPr>
              <w:spacing w:after="20" w:before="20"/>
              <w:jc w:val="right"/>
            </w:pPr>
            <w:r/>
            <w:r>
              <w:rPr>
                <w:b/>
                <w:sz w:val="18"/>
              </w:rPr>
              <w:t>198.722 €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381"/>
        <w:gridCol w:w="1701"/>
        <w:gridCol w:w="1701"/>
        <w:gridCol w:w="1814"/>
        <w:gridCol w:w="1814"/>
      </w:tblGrid>
      <w:tr>
        <w:trPr>
          <w:cantSplit/>
        </w:trPr>
        <w:tc>
          <w:tcPr>
            <w:tcW w:type="dxa" w:w="2381"/>
            <w:shd w:val="clear" w:color="auto" w:fill="2F4A3E"/>
          </w:tcPr>
          <w:p>
            <w:pPr>
              <w:keepNext/>
              <w:spacing w:after="20" w:before="20"/>
            </w:pPr>
            <w:r/>
            <w:r>
              <w:rPr>
                <w:b/>
                <w:color w:val="FFFFFF"/>
                <w:sz w:val="18"/>
              </w:rPr>
              <w:t>Jahr</w:t>
            </w:r>
          </w:p>
        </w:tc>
        <w:tc>
          <w:tcPr>
            <w:tcW w:type="dxa" w:w="1701"/>
            <w:shd w:val="clear" w:color="auto" w:fill="2F4A3E"/>
          </w:tcPr>
          <w:p>
            <w:pPr>
              <w:keepNext/>
              <w:spacing w:after="20" w:before="20"/>
              <w:jc w:val="right"/>
            </w:pPr>
            <w:r/>
            <w:r>
              <w:rPr>
                <w:b/>
                <w:color w:val="FFFFFF"/>
                <w:sz w:val="18"/>
              </w:rPr>
              <w:t>Zinsen</w:t>
            </w:r>
          </w:p>
        </w:tc>
        <w:tc>
          <w:tcPr>
            <w:tcW w:type="dxa" w:w="1701"/>
            <w:shd w:val="clear" w:color="auto" w:fill="2F4A3E"/>
          </w:tcPr>
          <w:p>
            <w:pPr>
              <w:keepNext/>
              <w:spacing w:after="20" w:before="20"/>
              <w:jc w:val="right"/>
            </w:pPr>
            <w:r/>
            <w:r>
              <w:rPr>
                <w:b/>
                <w:color w:val="FFFFFF"/>
                <w:sz w:val="18"/>
              </w:rPr>
              <w:t>Tilgung</w:t>
            </w:r>
          </w:p>
        </w:tc>
        <w:tc>
          <w:tcPr>
            <w:tcW w:type="dxa" w:w="1814"/>
            <w:shd w:val="clear" w:color="auto" w:fill="2F4A3E"/>
          </w:tcPr>
          <w:p>
            <w:pPr>
              <w:keepNext/>
              <w:spacing w:after="20" w:before="20"/>
              <w:jc w:val="right"/>
            </w:pPr>
            <w:r/>
            <w:r>
              <w:rPr>
                <w:b/>
                <w:color w:val="FFFFFF"/>
                <w:sz w:val="18"/>
              </w:rPr>
              <w:t>Kapitaldienst</w:t>
            </w:r>
          </w:p>
        </w:tc>
        <w:tc>
          <w:tcPr>
            <w:tcW w:type="dxa" w:w="1814"/>
            <w:shd w:val="clear" w:color="auto" w:fill="2F4A3E"/>
          </w:tcPr>
          <w:p>
            <w:pPr>
              <w:keepNext/>
              <w:spacing w:after="20" w:before="20"/>
              <w:jc w:val="right"/>
            </w:pPr>
            <w:r/>
            <w:r>
              <w:rPr>
                <w:b/>
                <w:color w:val="FFFFFF"/>
                <w:sz w:val="18"/>
              </w:rPr>
              <w:t>Restschuld Jahresende</w:t>
            </w:r>
          </w:p>
        </w:tc>
      </w:tr>
      <w:tr>
        <w:trPr>
          <w:cantSplit/>
        </w:trPr>
        <w:tc>
          <w:tcPr>
            <w:tcW w:type="dxa" w:w="2381"/>
          </w:tcPr>
          <w:p>
            <w:pPr>
              <w:keepNext/>
              <w:spacing w:after="20" w:before="20"/>
            </w:pPr>
            <w:r/>
            <w:r>
              <w:rPr>
                <w:sz w:val="18"/>
              </w:rPr>
              <w:t>1</w:t>
            </w:r>
          </w:p>
        </w:tc>
        <w:tc>
          <w:tcPr>
            <w:tcW w:type="dxa" w:w="1701"/>
          </w:tcPr>
          <w:p>
            <w:pPr>
              <w:keepNext/>
              <w:spacing w:after="20" w:before="20"/>
              <w:jc w:val="right"/>
            </w:pPr>
            <w:r/>
            <w:r>
              <w:rPr>
                <w:sz w:val="18"/>
              </w:rPr>
              <w:t>153.102 €</w:t>
            </w:r>
          </w:p>
        </w:tc>
        <w:tc>
          <w:tcPr>
            <w:tcW w:type="dxa" w:w="1701"/>
          </w:tcPr>
          <w:p>
            <w:pPr>
              <w:keepNext/>
              <w:spacing w:after="20" w:before="20"/>
              <w:jc w:val="right"/>
            </w:pPr>
            <w:r/>
            <w:r>
              <w:rPr>
                <w:sz w:val="18"/>
              </w:rPr>
              <w:t>45.620 €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4.445.217 €</w:t>
            </w:r>
          </w:p>
        </w:tc>
      </w:tr>
      <w:tr>
        <w:trPr>
          <w:cantSplit/>
        </w:trPr>
        <w:tc>
          <w:tcPr>
            <w:tcW w:type="dxa" w:w="2381"/>
          </w:tcPr>
          <w:p>
            <w:pPr>
              <w:keepNext/>
              <w:spacing w:after="20" w:before="20"/>
            </w:pPr>
            <w:r/>
            <w:r>
              <w:rPr>
                <w:sz w:val="18"/>
              </w:rPr>
              <w:t>2</w:t>
            </w:r>
          </w:p>
        </w:tc>
        <w:tc>
          <w:tcPr>
            <w:tcW w:type="dxa" w:w="1701"/>
          </w:tcPr>
          <w:p>
            <w:pPr>
              <w:keepNext/>
              <w:spacing w:after="20" w:before="20"/>
              <w:jc w:val="right"/>
            </w:pPr>
            <w:r/>
            <w:r>
              <w:rPr>
                <w:sz w:val="18"/>
              </w:rPr>
              <w:t>151.512 €</w:t>
            </w:r>
          </w:p>
        </w:tc>
        <w:tc>
          <w:tcPr>
            <w:tcW w:type="dxa" w:w="1701"/>
          </w:tcPr>
          <w:p>
            <w:pPr>
              <w:keepNext/>
              <w:spacing w:after="20" w:before="20"/>
              <w:jc w:val="right"/>
            </w:pPr>
            <w:r/>
            <w:r>
              <w:rPr>
                <w:sz w:val="18"/>
              </w:rPr>
              <w:t>47.210 €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4.398.008 €</w:t>
            </w:r>
          </w:p>
        </w:tc>
      </w:tr>
      <w:tr>
        <w:trPr>
          <w:cantSplit/>
        </w:trPr>
        <w:tc>
          <w:tcPr>
            <w:tcW w:type="dxa" w:w="2381"/>
          </w:tcPr>
          <w:p>
            <w:pPr>
              <w:keepNext/>
              <w:spacing w:after="20" w:before="20"/>
            </w:pPr>
            <w:r/>
            <w:r>
              <w:rPr>
                <w:sz w:val="18"/>
              </w:rPr>
              <w:t>3</w:t>
            </w:r>
          </w:p>
        </w:tc>
        <w:tc>
          <w:tcPr>
            <w:tcW w:type="dxa" w:w="1701"/>
          </w:tcPr>
          <w:p>
            <w:pPr>
              <w:keepNext/>
              <w:spacing w:after="20" w:before="20"/>
              <w:jc w:val="right"/>
            </w:pPr>
            <w:r/>
            <w:r>
              <w:rPr>
                <w:sz w:val="18"/>
              </w:rPr>
              <w:t>149.866 €</w:t>
            </w:r>
          </w:p>
        </w:tc>
        <w:tc>
          <w:tcPr>
            <w:tcW w:type="dxa" w:w="1701"/>
          </w:tcPr>
          <w:p>
            <w:pPr>
              <w:keepNext/>
              <w:spacing w:after="20" w:before="20"/>
              <w:jc w:val="right"/>
            </w:pPr>
            <w:r/>
            <w:r>
              <w:rPr>
                <w:sz w:val="18"/>
              </w:rPr>
              <w:t>48.856 €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4.349.151 €</w:t>
            </w:r>
          </w:p>
        </w:tc>
      </w:tr>
      <w:tr>
        <w:trPr>
          <w:cantSplit/>
        </w:trPr>
        <w:tc>
          <w:tcPr>
            <w:tcW w:type="dxa" w:w="2381"/>
          </w:tcPr>
          <w:p>
            <w:pPr>
              <w:keepNext/>
              <w:spacing w:after="20" w:before="20"/>
            </w:pPr>
            <w:r/>
            <w:r>
              <w:rPr>
                <w:sz w:val="18"/>
              </w:rPr>
              <w:t>5</w:t>
            </w:r>
          </w:p>
        </w:tc>
        <w:tc>
          <w:tcPr>
            <w:tcW w:type="dxa" w:w="1701"/>
          </w:tcPr>
          <w:p>
            <w:pPr>
              <w:keepNext/>
              <w:spacing w:after="20" w:before="20"/>
              <w:jc w:val="right"/>
            </w:pPr>
            <w:r/>
            <w:r>
              <w:rPr>
                <w:sz w:val="18"/>
              </w:rPr>
              <w:t>146.391 €</w:t>
            </w:r>
          </w:p>
        </w:tc>
        <w:tc>
          <w:tcPr>
            <w:tcW w:type="dxa" w:w="1701"/>
          </w:tcPr>
          <w:p>
            <w:pPr>
              <w:keepNext/>
              <w:spacing w:after="20" w:before="20"/>
              <w:jc w:val="right"/>
            </w:pPr>
            <w:r/>
            <w:r>
              <w:rPr>
                <w:sz w:val="18"/>
              </w:rPr>
              <w:t>52.331 €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4.246.258 €</w:t>
            </w:r>
          </w:p>
        </w:tc>
      </w:tr>
      <w:tr>
        <w:trPr>
          <w:cantSplit/>
        </w:trPr>
        <w:tc>
          <w:tcPr>
            <w:tcW w:type="dxa" w:w="2381"/>
            <w:shd w:val="clear" w:color="auto" w:fill="E3E8E5"/>
          </w:tcPr>
          <w:p>
            <w:pPr>
              <w:keepNext/>
              <w:spacing w:after="20" w:before="20"/>
            </w:pPr>
            <w:r/>
            <w:r>
              <w:rPr>
                <w:b/>
                <w:sz w:val="18"/>
              </w:rPr>
              <w:t>10 (Ende Zinsbindung)</w:t>
            </w:r>
          </w:p>
        </w:tc>
        <w:tc>
          <w:tcPr>
            <w:tcW w:type="dxa" w:w="1701"/>
            <w:shd w:val="clear" w:color="auto" w:fill="E3E8E5"/>
          </w:tcPr>
          <w:p>
            <w:pPr>
              <w:keepNext/>
              <w:spacing w:after="20" w:before="20"/>
              <w:jc w:val="right"/>
            </w:pPr>
            <w:r/>
            <w:r>
              <w:rPr>
                <w:b/>
                <w:sz w:val="18"/>
              </w:rPr>
              <w:t>136.537 €</w:t>
            </w:r>
          </w:p>
        </w:tc>
        <w:tc>
          <w:tcPr>
            <w:tcW w:type="dxa" w:w="1701"/>
            <w:shd w:val="clear" w:color="auto" w:fill="E3E8E5"/>
          </w:tcPr>
          <w:p>
            <w:pPr>
              <w:keepNext/>
              <w:spacing w:after="20" w:before="20"/>
              <w:jc w:val="right"/>
            </w:pPr>
            <w:r/>
            <w:r>
              <w:rPr>
                <w:b/>
                <w:sz w:val="18"/>
              </w:rPr>
              <w:t>62.185 €</w:t>
            </w:r>
          </w:p>
        </w:tc>
        <w:tc>
          <w:tcPr>
            <w:tcW w:type="dxa" w:w="1814"/>
            <w:shd w:val="clear" w:color="auto" w:fill="E3E8E5"/>
          </w:tcPr>
          <w:p>
            <w:pPr>
              <w:keepNext/>
              <w:spacing w:after="20" w:before="20"/>
              <w:jc w:val="right"/>
            </w:pPr>
            <w:r/>
            <w:r>
              <w:rPr>
                <w:b/>
                <w:sz w:val="18"/>
              </w:rPr>
              <w:t>198.722 €</w:t>
            </w:r>
          </w:p>
        </w:tc>
        <w:tc>
          <w:tcPr>
            <w:tcW w:type="dxa" w:w="1814"/>
            <w:shd w:val="clear" w:color="auto" w:fill="E3E8E5"/>
          </w:tcPr>
          <w:p>
            <w:pPr>
              <w:keepNext/>
              <w:spacing w:after="20" w:before="20"/>
              <w:jc w:val="right"/>
            </w:pPr>
            <w:r/>
            <w:r>
              <w:rPr>
                <w:b/>
                <w:sz w:val="18"/>
              </w:rPr>
              <w:t>3.955.746 €</w:t>
            </w:r>
          </w:p>
        </w:tc>
      </w:tr>
      <w:tr>
        <w:trPr>
          <w:cantSplit/>
        </w:trPr>
        <w:tc>
          <w:tcPr>
            <w:tcW w:type="dxa" w:w="2381"/>
          </w:tcPr>
          <w:p>
            <w:pPr>
              <w:keepNext/>
              <w:spacing w:after="20" w:before="20"/>
            </w:pPr>
            <w:r/>
            <w:r>
              <w:rPr>
                <w:sz w:val="18"/>
              </w:rPr>
              <w:t>15</w:t>
            </w:r>
          </w:p>
        </w:tc>
        <w:tc>
          <w:tcPr>
            <w:tcW w:type="dxa" w:w="1701"/>
          </w:tcPr>
          <w:p>
            <w:pPr>
              <w:keepNext/>
              <w:spacing w:after="20" w:before="20"/>
              <w:jc w:val="right"/>
            </w:pPr>
            <w:r/>
            <w:r>
              <w:rPr>
                <w:sz w:val="18"/>
              </w:rPr>
              <w:t>124.748 €</w:t>
            </w:r>
          </w:p>
        </w:tc>
        <w:tc>
          <w:tcPr>
            <w:tcW w:type="dxa" w:w="1701"/>
          </w:tcPr>
          <w:p>
            <w:pPr>
              <w:keepNext/>
              <w:spacing w:after="20" w:before="20"/>
              <w:jc w:val="right"/>
            </w:pPr>
            <w:r/>
            <w:r>
              <w:rPr>
                <w:sz w:val="18"/>
              </w:rPr>
              <w:t>73.974 €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3.610.303 €</w:t>
            </w:r>
          </w:p>
        </w:tc>
      </w:tr>
      <w:tr>
        <w:trPr>
          <w:cantSplit/>
        </w:trPr>
        <w:tc>
          <w:tcPr>
            <w:tcW w:type="dxa" w:w="2381"/>
          </w:tcPr>
          <w:p>
            <w:pPr>
              <w:keepNext/>
              <w:spacing w:after="20" w:before="20"/>
            </w:pPr>
            <w:r/>
            <w:r>
              <w:rPr>
                <w:sz w:val="18"/>
              </w:rPr>
              <w:t>20</w:t>
            </w:r>
          </w:p>
        </w:tc>
        <w:tc>
          <w:tcPr>
            <w:tcW w:type="dxa" w:w="1701"/>
          </w:tcPr>
          <w:p>
            <w:pPr>
              <w:keepNext/>
              <w:spacing w:after="20" w:before="20"/>
              <w:jc w:val="right"/>
            </w:pPr>
            <w:r/>
            <w:r>
              <w:rPr>
                <w:sz w:val="18"/>
              </w:rPr>
              <w:t>110.632 €</w:t>
            </w:r>
          </w:p>
        </w:tc>
        <w:tc>
          <w:tcPr>
            <w:tcW w:type="dxa" w:w="1701"/>
          </w:tcPr>
          <w:p>
            <w:pPr>
              <w:keepNext/>
              <w:spacing w:after="20" w:before="20"/>
              <w:jc w:val="right"/>
            </w:pPr>
            <w:r/>
            <w:r>
              <w:rPr>
                <w:sz w:val="18"/>
              </w:rPr>
              <w:t>88.090 €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3.199.105 €</w:t>
            </w:r>
          </w:p>
        </w:tc>
      </w:tr>
      <w:tr>
        <w:trPr>
          <w:cantSplit/>
        </w:trPr>
        <w:tc>
          <w:tcPr>
            <w:tcW w:type="dxa" w:w="2381"/>
          </w:tcPr>
          <w:p>
            <w:pPr>
              <w:keepNext/>
              <w:spacing w:after="20" w:before="20"/>
            </w:pPr>
            <w:r/>
            <w:r>
              <w:rPr>
                <w:sz w:val="18"/>
              </w:rPr>
              <w:t>25</w:t>
            </w:r>
          </w:p>
        </w:tc>
        <w:tc>
          <w:tcPr>
            <w:tcW w:type="dxa" w:w="1701"/>
          </w:tcPr>
          <w:p>
            <w:pPr>
              <w:keepNext/>
              <w:spacing w:after="20" w:before="20"/>
              <w:jc w:val="right"/>
            </w:pPr>
            <w:r/>
            <w:r>
              <w:rPr>
                <w:sz w:val="18"/>
              </w:rPr>
              <w:t>93.713 €</w:t>
            </w:r>
          </w:p>
        </w:tc>
        <w:tc>
          <w:tcPr>
            <w:tcW w:type="dxa" w:w="1701"/>
          </w:tcPr>
          <w:p>
            <w:pPr>
              <w:keepNext/>
              <w:spacing w:after="20" w:before="20"/>
              <w:jc w:val="right"/>
            </w:pPr>
            <w:r/>
            <w:r>
              <w:rPr>
                <w:sz w:val="18"/>
              </w:rPr>
              <w:t>105.009 €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2.709.124 €</w:t>
            </w:r>
          </w:p>
        </w:tc>
      </w:tr>
      <w:tr>
        <w:trPr>
          <w:cantSplit/>
        </w:trPr>
        <w:tc>
          <w:tcPr>
            <w:tcW w:type="dxa" w:w="2381"/>
          </w:tcPr>
          <w:p>
            <w:pPr>
              <w:keepNext/>
              <w:spacing w:after="20" w:before="20"/>
            </w:pPr>
            <w:r/>
            <w:r>
              <w:rPr>
                <w:sz w:val="18"/>
              </w:rPr>
              <w:t>30</w:t>
            </w:r>
          </w:p>
        </w:tc>
        <w:tc>
          <w:tcPr>
            <w:tcW w:type="dxa" w:w="1701"/>
          </w:tcPr>
          <w:p>
            <w:pPr>
              <w:keepNext/>
              <w:spacing w:after="20" w:before="20"/>
              <w:jc w:val="right"/>
            </w:pPr>
            <w:r/>
            <w:r>
              <w:rPr>
                <w:sz w:val="18"/>
              </w:rPr>
              <w:t>73.417 €</w:t>
            </w:r>
          </w:p>
        </w:tc>
        <w:tc>
          <w:tcPr>
            <w:tcW w:type="dxa" w:w="1701"/>
          </w:tcPr>
          <w:p>
            <w:pPr>
              <w:keepNext/>
              <w:spacing w:after="20" w:before="20"/>
              <w:jc w:val="right"/>
            </w:pPr>
            <w:r/>
            <w:r>
              <w:rPr>
                <w:sz w:val="18"/>
              </w:rPr>
              <w:t>125.304 €</w:t>
            </w:r>
          </w:p>
        </w:tc>
        <w:tc>
          <w:tcPr>
            <w:tcW w:type="dxa" w:w="1814"/>
          </w:tcPr>
          <w:p>
            <w:pPr>
              <w:keepNext/>
              <w:spacing w:after="20" w:before="20"/>
              <w:jc w:val="right"/>
            </w:pPr>
            <w:r/>
            <w:r>
              <w:rPr>
                <w:sz w:val="18"/>
              </w:rPr>
              <w:t>198.722 €</w:t>
            </w:r>
          </w:p>
        </w:tc>
        <w:tc>
          <w:tcPr>
            <w:tcW w:type="dxa" w:w="1814"/>
          </w:tcPr>
          <w:p>
            <w:pPr>
              <w:keepNext/>
              <w:spacing w:after="20" w:before="20"/>
              <w:jc w:val="right"/>
            </w:pPr>
            <w:r/>
            <w:r>
              <w:rPr>
                <w:sz w:val="18"/>
              </w:rPr>
              <w:t>2.124.672 €</w:t>
            </w:r>
          </w:p>
        </w:tc>
      </w:tr>
      <w:tr>
        <w:trPr>
          <w:cantSplit/>
        </w:trPr>
        <w:tc>
          <w:tcPr>
            <w:tcW w:type="dxa" w:w="2381"/>
          </w:tcPr>
          <w:p>
            <w:pPr>
              <w:spacing w:after="20" w:before="20"/>
            </w:pPr>
            <w:r/>
            <w:r>
              <w:rPr>
                <w:sz w:val="18"/>
              </w:rPr>
              <w:t>35</w:t>
            </w:r>
          </w:p>
        </w:tc>
        <w:tc>
          <w:tcPr>
            <w:tcW w:type="dxa" w:w="1701"/>
          </w:tcPr>
          <w:p>
            <w:pPr>
              <w:spacing w:after="20" w:before="20"/>
              <w:jc w:val="right"/>
            </w:pPr>
            <w:r/>
            <w:r>
              <w:rPr>
                <w:sz w:val="18"/>
              </w:rPr>
              <w:t>49.052 €</w:t>
            </w:r>
          </w:p>
        </w:tc>
        <w:tc>
          <w:tcPr>
            <w:tcW w:type="dxa" w:w="1701"/>
          </w:tcPr>
          <w:p>
            <w:pPr>
              <w:spacing w:after="20" w:before="20"/>
              <w:jc w:val="right"/>
            </w:pPr>
            <w:r/>
            <w:r>
              <w:rPr>
                <w:sz w:val="18"/>
              </w:rPr>
              <w:t>149.670 €</w:t>
            </w:r>
          </w:p>
        </w:tc>
        <w:tc>
          <w:tcPr>
            <w:tcW w:type="dxa" w:w="1814"/>
          </w:tcPr>
          <w:p>
            <w:pPr>
              <w:spacing w:after="20" w:before="20"/>
              <w:jc w:val="right"/>
            </w:pPr>
            <w:r/>
            <w:r>
              <w:rPr>
                <w:sz w:val="18"/>
              </w:rPr>
              <w:t>198.722 €</w:t>
            </w:r>
          </w:p>
        </w:tc>
        <w:tc>
          <w:tcPr>
            <w:tcW w:type="dxa" w:w="1814"/>
          </w:tcPr>
          <w:p>
            <w:pPr>
              <w:spacing w:after="20" w:before="20"/>
              <w:jc w:val="right"/>
            </w:pPr>
            <w:r/>
            <w:r>
              <w:rPr>
                <w:sz w:val="18"/>
              </w:rPr>
              <w:t>1.426.837 €</w:t>
            </w:r>
          </w:p>
        </w:tc>
      </w:tr>
    </w:tbl>
    <w:p>
      <w:pPr>
        <w:spacing w:after="40"/>
      </w:pPr>
    </w:p>
    <w:p>
      <w:pPr>
        <w:spacing w:after="80"/>
      </w:pPr>
      <w:r>
        <w:rPr>
          <w:b w:val="0"/>
          <w:i w:val="0"/>
        </w:rPr>
        <w:t>Nach 10 Jahren beträgt die Restschuld 3.955.746 €. Die Anschlussfinanzierung ist eingeplant, ein Zinsanstieg um einen Prozentpunkt auf die Restschuld kostet ca. 3.296 € pro Monat mehr. Die Bank kann eine höhere Tilgung verlangen, im Modell ist sie einstellbar.</w:t>
      </w:r>
    </w:p>
    <w:p>
      <w:pPr>
        <w:pStyle w:val="Heading1"/>
      </w:pPr>
      <w:r>
        <w:t>8  Ertrag und Kapitaldienst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5102"/>
        <w:gridCol w:w="2154"/>
        <w:gridCol w:w="2154"/>
      </w:tblGrid>
      <w:tr>
        <w:trPr>
          <w:cantSplit/>
        </w:trPr>
        <w:tc>
          <w:tcPr>
            <w:tcW w:type="dxa" w:w="5102"/>
            <w:shd w:val="clear" w:color="auto" w:fill="2F4A3E"/>
          </w:tcPr>
          <w:p>
            <w:pPr>
              <w:keepNext/>
              <w:spacing w:after="20" w:before="20"/>
            </w:pPr>
            <w:r/>
            <w:r>
              <w:rPr>
                <w:b/>
                <w:color w:val="FFFFFF"/>
                <w:sz w:val="18"/>
              </w:rPr>
              <w:t>Position</w:t>
            </w:r>
          </w:p>
        </w:tc>
        <w:tc>
          <w:tcPr>
            <w:tcW w:type="dxa" w:w="2154"/>
            <w:shd w:val="clear" w:color="auto" w:fill="2F4A3E"/>
          </w:tcPr>
          <w:p>
            <w:pPr>
              <w:keepNext/>
              <w:spacing w:after="20" w:before="20"/>
              <w:jc w:val="right"/>
            </w:pPr>
            <w:r/>
            <w:r>
              <w:rPr>
                <w:b/>
                <w:color w:val="FFFFFF"/>
                <w:sz w:val="18"/>
              </w:rPr>
              <w:t>pro Monat</w:t>
            </w:r>
          </w:p>
        </w:tc>
        <w:tc>
          <w:tcPr>
            <w:tcW w:type="dxa" w:w="2154"/>
            <w:shd w:val="clear" w:color="auto" w:fill="2F4A3E"/>
          </w:tcPr>
          <w:p>
            <w:pPr>
              <w:keepNext/>
              <w:spacing w:after="20" w:before="20"/>
              <w:jc w:val="right"/>
            </w:pPr>
            <w:r/>
            <w:r>
              <w:rPr>
                <w:b/>
                <w:color w:val="FFFFFF"/>
                <w:sz w:val="18"/>
              </w:rPr>
              <w:t>pro Jahr</w:t>
            </w:r>
          </w:p>
        </w:tc>
      </w:tr>
      <w:tr>
        <w:trPr>
          <w:cantSplit/>
        </w:trPr>
        <w:tc>
          <w:tcPr>
            <w:tcW w:type="dxa" w:w="5102"/>
          </w:tcPr>
          <w:p>
            <w:pPr>
              <w:keepNext/>
              <w:spacing w:after="20" w:before="20"/>
            </w:pPr>
            <w:r/>
            <w:r>
              <w:rPr>
                <w:sz w:val="18"/>
              </w:rPr>
              <w:t>Kaltmiete Wohnen (8 Wohnungen)</w:t>
            </w:r>
          </w:p>
        </w:tc>
        <w:tc>
          <w:tcPr>
            <w:tcW w:type="dxa" w:w="2154"/>
          </w:tcPr>
          <w:p>
            <w:pPr>
              <w:keepNext/>
              <w:spacing w:after="20" w:before="20"/>
              <w:jc w:val="right"/>
            </w:pPr>
            <w:r/>
            <w:r>
              <w:rPr>
                <w:sz w:val="18"/>
              </w:rPr>
              <w:t>+8.103 €</w:t>
            </w:r>
          </w:p>
        </w:tc>
        <w:tc>
          <w:tcPr>
            <w:tcW w:type="dxa" w:w="2154"/>
          </w:tcPr>
          <w:p>
            <w:pPr>
              <w:keepNext/>
              <w:spacing w:after="20" w:before="20"/>
              <w:jc w:val="right"/>
            </w:pPr>
            <w:r/>
            <w:r>
              <w:rPr>
                <w:sz w:val="18"/>
              </w:rPr>
              <w:t>+97.235 €</w:t>
            </w:r>
          </w:p>
        </w:tc>
      </w:tr>
      <w:tr>
        <w:trPr>
          <w:cantSplit/>
        </w:trPr>
        <w:tc>
          <w:tcPr>
            <w:tcW w:type="dxa" w:w="5102"/>
          </w:tcPr>
          <w:p>
            <w:pPr>
              <w:keepNext/>
              <w:spacing w:after="20" w:before="20"/>
            </w:pPr>
            <w:r/>
            <w:r>
              <w:rPr>
                <w:sz w:val="18"/>
              </w:rPr>
              <w:t>Pacht Gastro (460 m² × 12 €)</w:t>
            </w:r>
          </w:p>
        </w:tc>
        <w:tc>
          <w:tcPr>
            <w:tcW w:type="dxa" w:w="2154"/>
          </w:tcPr>
          <w:p>
            <w:pPr>
              <w:keepNext/>
              <w:spacing w:after="20" w:before="20"/>
              <w:jc w:val="right"/>
            </w:pPr>
            <w:r/>
            <w:r>
              <w:rPr>
                <w:sz w:val="18"/>
              </w:rPr>
              <w:t>+5.520 €</w:t>
            </w:r>
          </w:p>
        </w:tc>
        <w:tc>
          <w:tcPr>
            <w:tcW w:type="dxa" w:w="2154"/>
          </w:tcPr>
          <w:p>
            <w:pPr>
              <w:keepNext/>
              <w:spacing w:after="20" w:before="20"/>
              <w:jc w:val="right"/>
            </w:pPr>
            <w:r/>
            <w:r>
              <w:rPr>
                <w:sz w:val="18"/>
              </w:rPr>
              <w:t>+66.240 €</w:t>
            </w:r>
          </w:p>
        </w:tc>
      </w:tr>
      <w:tr>
        <w:trPr>
          <w:cantSplit/>
        </w:trPr>
        <w:tc>
          <w:tcPr>
            <w:tcW w:type="dxa" w:w="5102"/>
          </w:tcPr>
          <w:p>
            <w:pPr>
              <w:keepNext/>
              <w:spacing w:after="20" w:before="20"/>
            </w:pPr>
            <w:r/>
            <w:r>
              <w:rPr>
                <w:sz w:val="18"/>
              </w:rPr>
              <w:t>Rücklagen (10 % von Miete und Pacht)</w:t>
            </w:r>
          </w:p>
        </w:tc>
        <w:tc>
          <w:tcPr>
            <w:tcW w:type="dxa" w:w="2154"/>
          </w:tcPr>
          <w:p>
            <w:pPr>
              <w:keepNext/>
              <w:spacing w:after="20" w:before="20"/>
              <w:jc w:val="right"/>
            </w:pPr>
            <w:r/>
            <w:r>
              <w:rPr>
                <w:sz w:val="18"/>
              </w:rPr>
              <w:t>−1.362 €</w:t>
            </w:r>
          </w:p>
        </w:tc>
        <w:tc>
          <w:tcPr>
            <w:tcW w:type="dxa" w:w="2154"/>
          </w:tcPr>
          <w:p>
            <w:pPr>
              <w:keepNext/>
              <w:spacing w:after="20" w:before="20"/>
              <w:jc w:val="right"/>
            </w:pPr>
            <w:r/>
            <w:r>
              <w:rPr>
                <w:sz w:val="18"/>
              </w:rPr>
              <w:t>−16.348 €</w:t>
            </w:r>
          </w:p>
        </w:tc>
      </w:tr>
      <w:tr>
        <w:trPr>
          <w:cantSplit/>
        </w:trPr>
        <w:tc>
          <w:tcPr>
            <w:tcW w:type="dxa" w:w="5102"/>
            <w:shd w:val="clear" w:color="auto" w:fill="E3E8E5"/>
          </w:tcPr>
          <w:p>
            <w:pPr>
              <w:keepNext/>
              <w:spacing w:after="20" w:before="20"/>
            </w:pPr>
            <w:r/>
            <w:r>
              <w:rPr>
                <w:b/>
                <w:sz w:val="18"/>
              </w:rPr>
              <w:t>Nettoertrag Immobilie</w:t>
            </w:r>
          </w:p>
        </w:tc>
        <w:tc>
          <w:tcPr>
            <w:tcW w:type="dxa" w:w="2154"/>
            <w:shd w:val="clear" w:color="auto" w:fill="E3E8E5"/>
          </w:tcPr>
          <w:p>
            <w:pPr>
              <w:keepNext/>
              <w:spacing w:after="20" w:before="20"/>
              <w:jc w:val="right"/>
            </w:pPr>
            <w:r/>
            <w:r>
              <w:rPr>
                <w:b/>
                <w:sz w:val="18"/>
              </w:rPr>
              <w:t>+12.261 €</w:t>
            </w:r>
          </w:p>
        </w:tc>
        <w:tc>
          <w:tcPr>
            <w:tcW w:type="dxa" w:w="2154"/>
            <w:shd w:val="clear" w:color="auto" w:fill="E3E8E5"/>
          </w:tcPr>
          <w:p>
            <w:pPr>
              <w:keepNext/>
              <w:spacing w:after="20" w:before="20"/>
              <w:jc w:val="right"/>
            </w:pPr>
            <w:r/>
            <w:r>
              <w:rPr>
                <w:b/>
                <w:sz w:val="18"/>
              </w:rPr>
              <w:t>+147.128 €</w:t>
            </w:r>
          </w:p>
        </w:tc>
      </w:tr>
      <w:tr>
        <w:trPr>
          <w:cantSplit/>
        </w:trPr>
        <w:tc>
          <w:tcPr>
            <w:tcW w:type="dxa" w:w="5102"/>
          </w:tcPr>
          <w:p>
            <w:pPr>
              <w:keepNext/>
              <w:spacing w:after="20" w:before="20"/>
            </w:pPr>
            <w:r/>
            <w:r>
              <w:rPr>
                <w:sz w:val="18"/>
              </w:rPr>
              <w:t>Betriebsergebnis Gastro nach Pacht (50.000 € Umsatz)</w:t>
            </w:r>
          </w:p>
        </w:tc>
        <w:tc>
          <w:tcPr>
            <w:tcW w:type="dxa" w:w="2154"/>
          </w:tcPr>
          <w:p>
            <w:pPr>
              <w:keepNext/>
              <w:spacing w:after="20" w:before="20"/>
              <w:jc w:val="right"/>
            </w:pPr>
            <w:r/>
            <w:r>
              <w:rPr>
                <w:sz w:val="18"/>
              </w:rPr>
              <w:t>+9.730 €</w:t>
            </w:r>
          </w:p>
        </w:tc>
        <w:tc>
          <w:tcPr>
            <w:tcW w:type="dxa" w:w="2154"/>
          </w:tcPr>
          <w:p>
            <w:pPr>
              <w:keepNext/>
              <w:spacing w:after="20" w:before="20"/>
              <w:jc w:val="right"/>
            </w:pPr>
            <w:r/>
            <w:r>
              <w:rPr>
                <w:sz w:val="18"/>
              </w:rPr>
              <w:t>+116.760 €</w:t>
            </w:r>
          </w:p>
        </w:tc>
      </w:tr>
      <w:tr>
        <w:trPr>
          <w:cantSplit/>
        </w:trPr>
        <w:tc>
          <w:tcPr>
            <w:tcW w:type="dxa" w:w="5102"/>
            <w:shd w:val="clear" w:color="auto" w:fill="E3E8E5"/>
          </w:tcPr>
          <w:p>
            <w:pPr>
              <w:keepNext/>
              <w:spacing w:after="20" w:before="20"/>
            </w:pPr>
            <w:r/>
            <w:r>
              <w:rPr>
                <w:b/>
                <w:sz w:val="18"/>
              </w:rPr>
              <w:t>Nettoertrag vor Kapitaldienst</w:t>
            </w:r>
          </w:p>
        </w:tc>
        <w:tc>
          <w:tcPr>
            <w:tcW w:type="dxa" w:w="2154"/>
            <w:shd w:val="clear" w:color="auto" w:fill="E3E8E5"/>
          </w:tcPr>
          <w:p>
            <w:pPr>
              <w:keepNext/>
              <w:spacing w:after="20" w:before="20"/>
              <w:jc w:val="right"/>
            </w:pPr>
            <w:r/>
            <w:r>
              <w:rPr>
                <w:b/>
                <w:sz w:val="18"/>
              </w:rPr>
              <w:t>+21.991 €</w:t>
            </w:r>
          </w:p>
        </w:tc>
        <w:tc>
          <w:tcPr>
            <w:tcW w:type="dxa" w:w="2154"/>
            <w:shd w:val="clear" w:color="auto" w:fill="E3E8E5"/>
          </w:tcPr>
          <w:p>
            <w:pPr>
              <w:keepNext/>
              <w:spacing w:after="20" w:before="20"/>
              <w:jc w:val="right"/>
            </w:pPr>
            <w:r/>
            <w:r>
              <w:rPr>
                <w:b/>
                <w:sz w:val="18"/>
              </w:rPr>
              <w:t>+263.888 €</w:t>
            </w:r>
          </w:p>
        </w:tc>
      </w:tr>
      <w:tr>
        <w:trPr>
          <w:cantSplit/>
        </w:trPr>
        <w:tc>
          <w:tcPr>
            <w:tcW w:type="dxa" w:w="5102"/>
          </w:tcPr>
          <w:p>
            <w:pPr>
              <w:keepNext/>
              <w:spacing w:after="20" w:before="20"/>
            </w:pPr>
            <w:r/>
            <w:r>
              <w:rPr>
                <w:sz w:val="18"/>
              </w:rPr>
              <w:t>Kapitaldienst (Zinsen und Tilgung)</w:t>
            </w:r>
          </w:p>
        </w:tc>
        <w:tc>
          <w:tcPr>
            <w:tcW w:type="dxa" w:w="2154"/>
          </w:tcPr>
          <w:p>
            <w:pPr>
              <w:keepNext/>
              <w:spacing w:after="20" w:before="20"/>
              <w:jc w:val="right"/>
            </w:pPr>
            <w:r/>
            <w:r>
              <w:rPr>
                <w:sz w:val="18"/>
              </w:rPr>
              <w:t>−16.560 €</w:t>
            </w:r>
          </w:p>
        </w:tc>
        <w:tc>
          <w:tcPr>
            <w:tcW w:type="dxa" w:w="2154"/>
          </w:tcPr>
          <w:p>
            <w:pPr>
              <w:keepNext/>
              <w:spacing w:after="20" w:before="20"/>
              <w:jc w:val="right"/>
            </w:pPr>
            <w:r/>
            <w:r>
              <w:rPr>
                <w:sz w:val="18"/>
              </w:rPr>
              <w:t>−198.722 €</w:t>
            </w:r>
          </w:p>
        </w:tc>
      </w:tr>
      <w:tr>
        <w:trPr>
          <w:cantSplit/>
        </w:trPr>
        <w:tc>
          <w:tcPr>
            <w:tcW w:type="dxa" w:w="5102"/>
            <w:shd w:val="clear" w:color="auto" w:fill="E3E8E5"/>
          </w:tcPr>
          <w:p>
            <w:pPr>
              <w:spacing w:after="20" w:before="20"/>
            </w:pPr>
            <w:r/>
            <w:r>
              <w:rPr>
                <w:b/>
                <w:sz w:val="18"/>
              </w:rPr>
              <w:t>Ergebnis nach Kapitaldienst</w:t>
            </w:r>
          </w:p>
        </w:tc>
        <w:tc>
          <w:tcPr>
            <w:tcW w:type="dxa" w:w="2154"/>
            <w:shd w:val="clear" w:color="auto" w:fill="E3E8E5"/>
          </w:tcPr>
          <w:p>
            <w:pPr>
              <w:spacing w:after="20" w:before="20"/>
              <w:jc w:val="right"/>
            </w:pPr>
            <w:r/>
            <w:r>
              <w:rPr>
                <w:b/>
                <w:sz w:val="18"/>
              </w:rPr>
              <w:t>+5.430 €</w:t>
            </w:r>
          </w:p>
        </w:tc>
        <w:tc>
          <w:tcPr>
            <w:tcW w:type="dxa" w:w="2154"/>
            <w:shd w:val="clear" w:color="auto" w:fill="E3E8E5"/>
          </w:tcPr>
          <w:p>
            <w:pPr>
              <w:spacing w:after="20" w:before="20"/>
              <w:jc w:val="right"/>
            </w:pPr>
            <w:r/>
            <w:r>
              <w:rPr>
                <w:b/>
                <w:sz w:val="18"/>
              </w:rPr>
              <w:t>+65.166 €</w:t>
            </w:r>
          </w:p>
        </w:tc>
      </w:tr>
    </w:tbl>
    <w:p>
      <w:pPr>
        <w:spacing w:after="40"/>
      </w:pPr>
    </w:p>
    <w:p>
      <w:pPr>
        <w:pStyle w:val="ListBullet"/>
        <w:spacing w:after="60"/>
      </w:pPr>
      <w:r>
        <w:rPr>
          <w:b/>
        </w:rPr>
        <w:t xml:space="preserve">Kapitaldienstdeckung (DSCR): </w:t>
      </w:r>
      <w:r>
        <w:t>1,33 gesamt, 0,74 nur aus Miete und Pacht. Banken verlangen meist mindestens 1,2.</w:t>
      </w:r>
    </w:p>
    <w:p>
      <w:pPr>
        <w:pStyle w:val="ListBullet"/>
        <w:spacing w:after="60"/>
      </w:pPr>
      <w:r>
        <w:rPr>
          <w:b/>
        </w:rPr>
        <w:t xml:space="preserve">Zinsdeckung: </w:t>
      </w:r>
      <w:r>
        <w:t>1,72 (Ertrag vor Kapitaldienst im Verhältnis zu den Zinsen).</w:t>
      </w:r>
    </w:p>
    <w:p>
      <w:pPr>
        <w:pStyle w:val="ListBullet"/>
        <w:spacing w:after="60"/>
      </w:pPr>
      <w:r>
        <w:rPr>
          <w:b/>
        </w:rPr>
        <w:t xml:space="preserve">Anfangsrendite: </w:t>
      </w:r>
      <w:r>
        <w:t>3,28 % (Nettoertrag der Immobilie auf die Gesamtkosten).</w:t>
      </w:r>
    </w:p>
    <w:p>
      <w:pPr>
        <w:pStyle w:val="ListBullet"/>
        <w:spacing w:after="60"/>
      </w:pPr>
      <w:r>
        <w:rPr>
          <w:b/>
        </w:rPr>
        <w:t xml:space="preserve">Break-even: </w:t>
      </w:r>
      <w:r>
        <w:t>Das Haus ist ab ca. 32.200 € Gastro-Umsatz im Monat im Plus, alle Raten sind dann bezahlt.</w:t>
      </w:r>
    </w:p>
    <w:p>
      <w:r>
        <w:rPr>
          <w:b w:val="0"/>
          <w:i/>
          <w:color w:val="5B6770"/>
          <w:sz w:val="18"/>
        </w:rPr>
        <w:t>Der Gastro-Gewinn ist für die Bank der unsichere Teil des Ertrags. Ein Pachtvertrag mit einem Betreiber, der Sicherheiten stellt, und ein überzeugendes Gastro-Konzept sind deshalb entscheidend.</w:t>
      </w:r>
    </w:p>
    <w:p>
      <w:pPr>
        <w:pStyle w:val="Heading1"/>
      </w:pPr>
      <w:r>
        <w:t>9  Ertragswert und Beleihung</w:t>
      </w:r>
    </w:p>
    <w:p>
      <w:r>
        <w:rPr>
          <w:b w:val="0"/>
          <w:i w:val="0"/>
        </w:rPr>
        <w:t>Der Ertragswert wird vereinfacht nach der Immobilienwertermittlungsverordnung (ImmoWertV) berechnet: Rohertrag minus Bewirtschaftungskosten ergibt den Reinertrag, davon wird die Verzinsung des Bodenwerts abgezogen und der Rest mit einem Vervielfältiger (Barwertfaktor für die Restnutzungsdauer) kapitalisiert. Angesetzt sind ein Liegenschaftszins von 4,5 %, eine Restnutzungsdauer von 80 Jahren und Bewirtschaftungskosten nach üblichen Sätzen. Den verbindlichen Beleihungswert ermittelt der Gutachter der Bank.</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Ertragswert</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Rohertrag pro Jahr (Mieten und Pacht)</w:t>
            </w:r>
          </w:p>
        </w:tc>
        <w:tc>
          <w:tcPr>
            <w:tcW w:type="dxa" w:w="3175"/>
          </w:tcPr>
          <w:p>
            <w:pPr>
              <w:keepNext/>
              <w:spacing w:after="20" w:before="20"/>
              <w:jc w:val="right"/>
            </w:pPr>
            <w:r/>
            <w:r>
              <w:rPr>
                <w:sz w:val="18"/>
              </w:rPr>
              <w:t>163.475 €</w:t>
            </w:r>
          </w:p>
        </w:tc>
      </w:tr>
      <w:tr>
        <w:trPr>
          <w:cantSplit/>
        </w:trPr>
        <w:tc>
          <w:tcPr>
            <w:tcW w:type="dxa" w:w="6236"/>
          </w:tcPr>
          <w:p>
            <w:pPr>
              <w:keepNext/>
              <w:spacing w:after="20" w:before="20"/>
            </w:pPr>
            <w:r/>
            <w:r>
              <w:rPr>
                <w:sz w:val="18"/>
              </w:rPr>
              <w:t>Bewirtschaftungskosten (Verwaltung, Instandhaltung, Mietausfall)</w:t>
            </w:r>
          </w:p>
        </w:tc>
        <w:tc>
          <w:tcPr>
            <w:tcW w:type="dxa" w:w="3175"/>
          </w:tcPr>
          <w:p>
            <w:pPr>
              <w:keepNext/>
              <w:spacing w:after="20" w:before="20"/>
              <w:jc w:val="right"/>
            </w:pPr>
            <w:r/>
            <w:r>
              <w:rPr>
                <w:sz w:val="18"/>
              </w:rPr>
              <w:t>−21.842 €</w:t>
            </w:r>
          </w:p>
        </w:tc>
      </w:tr>
      <w:tr>
        <w:trPr>
          <w:cantSplit/>
        </w:trPr>
        <w:tc>
          <w:tcPr>
            <w:tcW w:type="dxa" w:w="6236"/>
            <w:shd w:val="clear" w:color="auto" w:fill="E3E8E5"/>
          </w:tcPr>
          <w:p>
            <w:pPr>
              <w:keepNext/>
              <w:spacing w:after="20" w:before="20"/>
            </w:pPr>
            <w:r/>
            <w:r>
              <w:rPr>
                <w:b/>
                <w:sz w:val="18"/>
              </w:rPr>
              <w:t>Reinertrag</w:t>
            </w:r>
          </w:p>
        </w:tc>
        <w:tc>
          <w:tcPr>
            <w:tcW w:type="dxa" w:w="3175"/>
            <w:shd w:val="clear" w:color="auto" w:fill="E3E8E5"/>
          </w:tcPr>
          <w:p>
            <w:pPr>
              <w:keepNext/>
              <w:spacing w:after="20" w:before="20"/>
              <w:jc w:val="right"/>
            </w:pPr>
            <w:r/>
            <w:r>
              <w:rPr>
                <w:b/>
                <w:sz w:val="18"/>
              </w:rPr>
              <w:t>141.634 €</w:t>
            </w:r>
          </w:p>
        </w:tc>
      </w:tr>
      <w:tr>
        <w:trPr>
          <w:cantSplit/>
        </w:trPr>
        <w:tc>
          <w:tcPr>
            <w:tcW w:type="dxa" w:w="6236"/>
          </w:tcPr>
          <w:p>
            <w:pPr>
              <w:keepNext/>
              <w:spacing w:after="20" w:before="20"/>
            </w:pPr>
            <w:r/>
            <w:r>
              <w:rPr>
                <w:sz w:val="18"/>
              </w:rPr>
              <w:t>Bodenwert (960 m² × 230 €)</w:t>
            </w:r>
          </w:p>
        </w:tc>
        <w:tc>
          <w:tcPr>
            <w:tcW w:type="dxa" w:w="3175"/>
          </w:tcPr>
          <w:p>
            <w:pPr>
              <w:keepNext/>
              <w:spacing w:after="20" w:before="20"/>
              <w:jc w:val="right"/>
            </w:pPr>
            <w:r/>
            <w:r>
              <w:rPr>
                <w:sz w:val="18"/>
              </w:rPr>
              <w:t>220.800 €</w:t>
            </w:r>
          </w:p>
        </w:tc>
      </w:tr>
      <w:tr>
        <w:trPr>
          <w:cantSplit/>
        </w:trPr>
        <w:tc>
          <w:tcPr>
            <w:tcW w:type="dxa" w:w="6236"/>
          </w:tcPr>
          <w:p>
            <w:pPr>
              <w:keepNext/>
              <w:spacing w:after="20" w:before="20"/>
            </w:pPr>
            <w:r/>
            <w:r>
              <w:rPr>
                <w:sz w:val="18"/>
              </w:rPr>
              <w:t>Gebäudeertragswert (Vervielfältiger 21,6)</w:t>
            </w:r>
          </w:p>
        </w:tc>
        <w:tc>
          <w:tcPr>
            <w:tcW w:type="dxa" w:w="3175"/>
          </w:tcPr>
          <w:p>
            <w:pPr>
              <w:keepNext/>
              <w:spacing w:after="20" w:before="20"/>
              <w:jc w:val="right"/>
            </w:pPr>
            <w:r/>
            <w:r>
              <w:rPr>
                <w:sz w:val="18"/>
              </w:rPr>
              <w:t>2.840.108 €</w:t>
            </w:r>
          </w:p>
        </w:tc>
      </w:tr>
      <w:tr>
        <w:trPr>
          <w:cantSplit/>
        </w:trPr>
        <w:tc>
          <w:tcPr>
            <w:tcW w:type="dxa" w:w="6236"/>
            <w:shd w:val="clear" w:color="auto" w:fill="E3E8E5"/>
          </w:tcPr>
          <w:p>
            <w:pPr>
              <w:spacing w:after="20" w:before="20"/>
            </w:pPr>
            <w:r/>
            <w:r>
              <w:rPr>
                <w:b/>
                <w:sz w:val="18"/>
              </w:rPr>
              <w:t>Ertragswert (Gebäude plus Boden)</w:t>
            </w:r>
          </w:p>
        </w:tc>
        <w:tc>
          <w:tcPr>
            <w:tcW w:type="dxa" w:w="3175"/>
            <w:shd w:val="clear" w:color="auto" w:fill="E3E8E5"/>
          </w:tcPr>
          <w:p>
            <w:pPr>
              <w:spacing w:after="20" w:before="20"/>
              <w:jc w:val="right"/>
            </w:pPr>
            <w:r/>
            <w:r>
              <w:rPr>
                <w:b/>
                <w:sz w:val="18"/>
              </w:rPr>
              <w:t>3.060.908 €</w:t>
            </w:r>
          </w:p>
        </w:tc>
      </w:tr>
    </w:tbl>
    <w:p>
      <w:pPr>
        <w:spacing w:after="40"/>
      </w:pP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236"/>
        <w:gridCol w:w="3175"/>
      </w:tblGrid>
      <w:tr>
        <w:trPr>
          <w:cantSplit/>
        </w:trPr>
        <w:tc>
          <w:tcPr>
            <w:tcW w:type="dxa" w:w="6236"/>
            <w:shd w:val="clear" w:color="auto" w:fill="2F4A3E"/>
          </w:tcPr>
          <w:p>
            <w:pPr>
              <w:keepNext/>
              <w:spacing w:after="20" w:before="20"/>
            </w:pPr>
            <w:r/>
            <w:r>
              <w:rPr>
                <w:b/>
                <w:color w:val="FFFFFF"/>
                <w:sz w:val="18"/>
              </w:rPr>
              <w:t>Beleihung</w:t>
            </w:r>
          </w:p>
        </w:tc>
        <w:tc>
          <w:tcPr>
            <w:tcW w:type="dxa" w:w="3175"/>
            <w:shd w:val="clear" w:color="auto" w:fill="2F4A3E"/>
          </w:tcPr>
          <w:p>
            <w:pPr>
              <w:keepNext/>
              <w:spacing w:after="20" w:before="20"/>
              <w:jc w:val="right"/>
            </w:pPr>
            <w:r/>
            <w:r>
              <w:rPr>
                <w:b/>
                <w:color w:val="FFFFFF"/>
                <w:sz w:val="18"/>
              </w:rPr>
              <w:t>Betrag</w:t>
            </w:r>
          </w:p>
        </w:tc>
      </w:tr>
      <w:tr>
        <w:trPr>
          <w:cantSplit/>
        </w:trPr>
        <w:tc>
          <w:tcPr>
            <w:tcW w:type="dxa" w:w="6236"/>
          </w:tcPr>
          <w:p>
            <w:pPr>
              <w:keepNext/>
              <w:spacing w:after="20" w:before="20"/>
            </w:pPr>
            <w:r/>
            <w:r>
              <w:rPr>
                <w:sz w:val="18"/>
              </w:rPr>
              <w:t>Sachwert (Bodenwert plus Herstellungskosten des Gebäudes)</w:t>
            </w:r>
          </w:p>
        </w:tc>
        <w:tc>
          <w:tcPr>
            <w:tcW w:type="dxa" w:w="3175"/>
          </w:tcPr>
          <w:p>
            <w:pPr>
              <w:keepNext/>
              <w:spacing w:after="20" w:before="20"/>
              <w:jc w:val="right"/>
            </w:pPr>
            <w:r/>
            <w:r>
              <w:rPr>
                <w:sz w:val="18"/>
              </w:rPr>
              <w:t>4.054.316 €</w:t>
            </w:r>
          </w:p>
        </w:tc>
      </w:tr>
      <w:tr>
        <w:trPr>
          <w:cantSplit/>
        </w:trPr>
        <w:tc>
          <w:tcPr>
            <w:tcW w:type="dxa" w:w="6236"/>
          </w:tcPr>
          <w:p>
            <w:pPr>
              <w:keepNext/>
              <w:spacing w:after="20" w:before="20"/>
            </w:pPr>
            <w:r/>
            <w:r>
              <w:rPr>
                <w:sz w:val="18"/>
              </w:rPr>
              <w:t>Beleihungswert (niedrigerer Wert, Sicherheitsabschlag 10 %)</w:t>
            </w:r>
          </w:p>
        </w:tc>
        <w:tc>
          <w:tcPr>
            <w:tcW w:type="dxa" w:w="3175"/>
          </w:tcPr>
          <w:p>
            <w:pPr>
              <w:keepNext/>
              <w:spacing w:after="20" w:before="20"/>
              <w:jc w:val="right"/>
            </w:pPr>
            <w:r/>
            <w:r>
              <w:rPr>
                <w:sz w:val="18"/>
              </w:rPr>
              <w:t>2.754.817 €</w:t>
            </w:r>
          </w:p>
        </w:tc>
      </w:tr>
      <w:tr>
        <w:trPr>
          <w:cantSplit/>
        </w:trPr>
        <w:tc>
          <w:tcPr>
            <w:tcW w:type="dxa" w:w="6236"/>
          </w:tcPr>
          <w:p>
            <w:pPr>
              <w:keepNext/>
              <w:spacing w:after="20" w:before="20"/>
            </w:pPr>
            <w:r/>
            <w:r>
              <w:rPr>
                <w:sz w:val="18"/>
              </w:rPr>
              <w:t>Gesamtkosten und Darlehensbedarf</w:t>
            </w:r>
          </w:p>
        </w:tc>
        <w:tc>
          <w:tcPr>
            <w:tcW w:type="dxa" w:w="3175"/>
          </w:tcPr>
          <w:p>
            <w:pPr>
              <w:keepNext/>
              <w:spacing w:after="20" w:before="20"/>
              <w:jc w:val="right"/>
            </w:pPr>
            <w:r/>
            <w:r>
              <w:rPr>
                <w:sz w:val="18"/>
              </w:rPr>
              <w:t>4.490.838 €</w:t>
            </w:r>
          </w:p>
        </w:tc>
      </w:tr>
      <w:tr>
        <w:trPr>
          <w:cantSplit/>
        </w:trPr>
        <w:tc>
          <w:tcPr>
            <w:tcW w:type="dxa" w:w="6236"/>
            <w:shd w:val="clear" w:color="auto" w:fill="E3E8E5"/>
          </w:tcPr>
          <w:p>
            <w:pPr>
              <w:keepNext/>
              <w:spacing w:after="20" w:before="20"/>
            </w:pPr>
            <w:r/>
            <w:r>
              <w:rPr>
                <w:b/>
                <w:sz w:val="18"/>
              </w:rPr>
              <w:t>Beleihungsauslauf (Darlehen im Verhältnis zum Beleihungswert)</w:t>
            </w:r>
          </w:p>
        </w:tc>
        <w:tc>
          <w:tcPr>
            <w:tcW w:type="dxa" w:w="3175"/>
            <w:shd w:val="clear" w:color="auto" w:fill="E3E8E5"/>
          </w:tcPr>
          <w:p>
            <w:pPr>
              <w:keepNext/>
              <w:spacing w:after="20" w:before="20"/>
              <w:jc w:val="right"/>
            </w:pPr>
            <w:r/>
            <w:r>
              <w:rPr>
                <w:b/>
                <w:sz w:val="18"/>
              </w:rPr>
              <w:t>163 %</w:t>
            </w:r>
          </w:p>
        </w:tc>
      </w:tr>
      <w:tr>
        <w:trPr>
          <w:cantSplit/>
        </w:trPr>
        <w:tc>
          <w:tcPr>
            <w:tcW w:type="dxa" w:w="6236"/>
          </w:tcPr>
          <w:p>
            <w:pPr>
              <w:keepNext/>
              <w:spacing w:after="20" w:before="20"/>
            </w:pPr>
            <w:r/>
            <w:r>
              <w:rPr>
                <w:sz w:val="18"/>
              </w:rPr>
              <w:t>Ertragswert minus Gesamtkosten</w:t>
            </w:r>
          </w:p>
        </w:tc>
        <w:tc>
          <w:tcPr>
            <w:tcW w:type="dxa" w:w="3175"/>
          </w:tcPr>
          <w:p>
            <w:pPr>
              <w:keepNext/>
              <w:spacing w:after="20" w:before="20"/>
              <w:jc w:val="right"/>
            </w:pPr>
            <w:r/>
            <w:r>
              <w:rPr>
                <w:sz w:val="18"/>
              </w:rPr>
              <w:t>−1.429.929 €</w:t>
            </w:r>
          </w:p>
        </w:tc>
      </w:tr>
      <w:tr>
        <w:trPr>
          <w:cantSplit/>
        </w:trPr>
        <w:tc>
          <w:tcPr>
            <w:tcW w:type="dxa" w:w="6236"/>
          </w:tcPr>
          <w:p>
            <w:pPr>
              <w:spacing w:after="20" w:before="20"/>
            </w:pPr>
            <w:r/>
            <w:r>
              <w:rPr>
                <w:sz w:val="18"/>
              </w:rPr>
              <w:t>Darlehen über dem üblichen Auslauf von 80 %</w:t>
            </w:r>
          </w:p>
        </w:tc>
        <w:tc>
          <w:tcPr>
            <w:tcW w:type="dxa" w:w="3175"/>
          </w:tcPr>
          <w:p>
            <w:pPr>
              <w:spacing w:after="20" w:before="20"/>
              <w:jc w:val="right"/>
            </w:pPr>
            <w:r/>
            <w:r>
              <w:rPr>
                <w:sz w:val="18"/>
              </w:rPr>
              <w:t>2.286.984 €</w:t>
            </w:r>
          </w:p>
        </w:tc>
      </w:tr>
    </w:tbl>
    <w:p>
      <w:pPr>
        <w:spacing w:after="40"/>
      </w:pPr>
    </w:p>
    <w:p>
      <w:pPr>
        <w:spacing w:after="40"/>
      </w:pPr>
      <w:r>
        <w:rPr>
          <w:b/>
          <w:i w:val="0"/>
          <w:color w:val="2F4A3E"/>
        </w:rPr>
        <w:t>Bewertung</w:t>
      </w:r>
    </w:p>
    <w:p>
      <w:r>
        <w:rPr>
          <w:b w:val="0"/>
          <w:i w:val="0"/>
        </w:rPr>
        <w:t>Die Mieten und die Pacht tragen einen Ertragswert von 3,06 Mio. €, die Kosten liegen bei 4,49 Mio. €. Bei 100 % Fremdfinanzierung ergibt sich ein Beleihungsauslauf von 163 %, Banken beleihen üblicherweise nur bis ca. 80 %. Um das Darlehen darstellen zu können, bietet der Bauherr der Bank zusätzliche Sicherheiten an, etwa Grundschulden auf weitere Immobilien, eine Bürgschaft oder Eigenkapital. Rechnerisch geht es um ca. 2,29 Mio. €. Weitere Hebel sind höhere Mieten durch Vorvermietung, niedrigere Baukosten durch die Angebote der Bekannten-Unternehmen und eine Städtebauförderung (Zuschuss der Stadt, noch offen).</w:t>
      </w:r>
    </w:p>
    <w:p>
      <w:pPr>
        <w:pStyle w:val="Heading1"/>
      </w:pPr>
      <w:r>
        <w:t>10  Prognose und Belastungstest</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891"/>
        <w:gridCol w:w="1304"/>
        <w:gridCol w:w="1304"/>
        <w:gridCol w:w="1304"/>
        <w:gridCol w:w="1304"/>
        <w:gridCol w:w="1304"/>
      </w:tblGrid>
      <w:tr>
        <w:trPr>
          <w:cantSplit/>
        </w:trPr>
        <w:tc>
          <w:tcPr>
            <w:tcW w:type="dxa" w:w="2891"/>
            <w:shd w:val="clear" w:color="auto" w:fill="2F4A3E"/>
          </w:tcPr>
          <w:p>
            <w:pPr>
              <w:keepNext/>
              <w:spacing w:after="20" w:before="20"/>
            </w:pPr>
            <w:r/>
            <w:r>
              <w:rPr>
                <w:b/>
                <w:color w:val="FFFFFF"/>
                <w:sz w:val="17"/>
              </w:rPr>
              <w:t>Jahr</w:t>
            </w:r>
          </w:p>
        </w:tc>
        <w:tc>
          <w:tcPr>
            <w:tcW w:type="dxa" w:w="1304"/>
            <w:shd w:val="clear" w:color="auto" w:fill="2F4A3E"/>
          </w:tcPr>
          <w:p>
            <w:pPr>
              <w:keepNext/>
              <w:spacing w:after="20" w:before="20"/>
              <w:jc w:val="right"/>
            </w:pPr>
            <w:r/>
            <w:r>
              <w:rPr>
                <w:b/>
                <w:color w:val="FFFFFF"/>
                <w:sz w:val="17"/>
              </w:rPr>
              <w:t>1</w:t>
            </w:r>
          </w:p>
        </w:tc>
        <w:tc>
          <w:tcPr>
            <w:tcW w:type="dxa" w:w="1304"/>
            <w:shd w:val="clear" w:color="auto" w:fill="2F4A3E"/>
          </w:tcPr>
          <w:p>
            <w:pPr>
              <w:keepNext/>
              <w:spacing w:after="20" w:before="20"/>
              <w:jc w:val="right"/>
            </w:pPr>
            <w:r/>
            <w:r>
              <w:rPr>
                <w:b/>
                <w:color w:val="FFFFFF"/>
                <w:sz w:val="17"/>
              </w:rPr>
              <w:t>3</w:t>
            </w:r>
          </w:p>
        </w:tc>
        <w:tc>
          <w:tcPr>
            <w:tcW w:type="dxa" w:w="1304"/>
            <w:shd w:val="clear" w:color="auto" w:fill="2F4A3E"/>
          </w:tcPr>
          <w:p>
            <w:pPr>
              <w:keepNext/>
              <w:spacing w:after="20" w:before="20"/>
              <w:jc w:val="right"/>
            </w:pPr>
            <w:r/>
            <w:r>
              <w:rPr>
                <w:b/>
                <w:color w:val="FFFFFF"/>
                <w:sz w:val="17"/>
              </w:rPr>
              <w:t>5</w:t>
            </w:r>
          </w:p>
        </w:tc>
        <w:tc>
          <w:tcPr>
            <w:tcW w:type="dxa" w:w="1304"/>
            <w:shd w:val="clear" w:color="auto" w:fill="2F4A3E"/>
          </w:tcPr>
          <w:p>
            <w:pPr>
              <w:keepNext/>
              <w:spacing w:after="20" w:before="20"/>
              <w:jc w:val="right"/>
            </w:pPr>
            <w:r/>
            <w:r>
              <w:rPr>
                <w:b/>
                <w:color w:val="FFFFFF"/>
                <w:sz w:val="17"/>
              </w:rPr>
              <w:t>7</w:t>
            </w:r>
          </w:p>
        </w:tc>
        <w:tc>
          <w:tcPr>
            <w:tcW w:type="dxa" w:w="1304"/>
            <w:shd w:val="clear" w:color="auto" w:fill="2F4A3E"/>
          </w:tcPr>
          <w:p>
            <w:pPr>
              <w:keepNext/>
              <w:spacing w:after="20" w:before="20"/>
              <w:jc w:val="right"/>
            </w:pPr>
            <w:r/>
            <w:r>
              <w:rPr>
                <w:b/>
                <w:color w:val="FFFFFF"/>
                <w:sz w:val="17"/>
              </w:rPr>
              <w:t>10</w:t>
            </w:r>
          </w:p>
        </w:tc>
      </w:tr>
      <w:tr>
        <w:trPr>
          <w:cantSplit/>
        </w:trPr>
        <w:tc>
          <w:tcPr>
            <w:tcW w:type="dxa" w:w="2891"/>
          </w:tcPr>
          <w:p>
            <w:pPr>
              <w:keepNext/>
              <w:spacing w:after="20" w:before="20"/>
            </w:pPr>
            <w:r/>
            <w:r>
              <w:rPr>
                <w:sz w:val="17"/>
              </w:rPr>
              <w:t>Nettoertrag vor Kapitaldienst</w:t>
            </w:r>
          </w:p>
        </w:tc>
        <w:tc>
          <w:tcPr>
            <w:tcW w:type="dxa" w:w="1304"/>
          </w:tcPr>
          <w:p>
            <w:pPr>
              <w:keepNext/>
              <w:spacing w:after="20" w:before="20"/>
              <w:jc w:val="right"/>
            </w:pPr>
            <w:r/>
            <w:r>
              <w:rPr>
                <w:sz w:val="17"/>
              </w:rPr>
              <w:t>263.888 €</w:t>
            </w:r>
          </w:p>
        </w:tc>
        <w:tc>
          <w:tcPr>
            <w:tcW w:type="dxa" w:w="1304"/>
          </w:tcPr>
          <w:p>
            <w:pPr>
              <w:keepNext/>
              <w:spacing w:after="20" w:before="20"/>
              <w:jc w:val="right"/>
            </w:pPr>
            <w:r/>
            <w:r>
              <w:rPr>
                <w:sz w:val="17"/>
              </w:rPr>
              <w:t>271.864 €</w:t>
            </w:r>
          </w:p>
        </w:tc>
        <w:tc>
          <w:tcPr>
            <w:tcW w:type="dxa" w:w="1304"/>
          </w:tcPr>
          <w:p>
            <w:pPr>
              <w:keepNext/>
              <w:spacing w:after="20" w:before="20"/>
              <w:jc w:val="right"/>
            </w:pPr>
            <w:r/>
            <w:r>
              <w:rPr>
                <w:sz w:val="17"/>
              </w:rPr>
              <w:t>280.081 €</w:t>
            </w:r>
          </w:p>
        </w:tc>
        <w:tc>
          <w:tcPr>
            <w:tcW w:type="dxa" w:w="1304"/>
          </w:tcPr>
          <w:p>
            <w:pPr>
              <w:keepNext/>
              <w:spacing w:after="20" w:before="20"/>
              <w:jc w:val="right"/>
            </w:pPr>
            <w:r/>
            <w:r>
              <w:rPr>
                <w:sz w:val="17"/>
              </w:rPr>
              <w:t>288.546 €</w:t>
            </w:r>
          </w:p>
        </w:tc>
        <w:tc>
          <w:tcPr>
            <w:tcW w:type="dxa" w:w="1304"/>
          </w:tcPr>
          <w:p>
            <w:pPr>
              <w:keepNext/>
              <w:spacing w:after="20" w:before="20"/>
              <w:jc w:val="right"/>
            </w:pPr>
            <w:r/>
            <w:r>
              <w:rPr>
                <w:sz w:val="17"/>
              </w:rPr>
              <w:t>301.727 €</w:t>
            </w:r>
          </w:p>
        </w:tc>
      </w:tr>
      <w:tr>
        <w:trPr>
          <w:cantSplit/>
        </w:trPr>
        <w:tc>
          <w:tcPr>
            <w:tcW w:type="dxa" w:w="2891"/>
          </w:tcPr>
          <w:p>
            <w:pPr>
              <w:keepNext/>
              <w:spacing w:after="20" w:before="20"/>
            </w:pPr>
            <w:r/>
            <w:r>
              <w:rPr>
                <w:sz w:val="17"/>
              </w:rPr>
              <w:t>Kapitaldienst</w:t>
            </w:r>
          </w:p>
        </w:tc>
        <w:tc>
          <w:tcPr>
            <w:tcW w:type="dxa" w:w="1304"/>
          </w:tcPr>
          <w:p>
            <w:pPr>
              <w:keepNext/>
              <w:spacing w:after="20" w:before="20"/>
              <w:jc w:val="right"/>
            </w:pPr>
            <w:r/>
            <w:r>
              <w:rPr>
                <w:sz w:val="17"/>
              </w:rPr>
              <w:t>−198.722 €</w:t>
            </w:r>
          </w:p>
        </w:tc>
        <w:tc>
          <w:tcPr>
            <w:tcW w:type="dxa" w:w="1304"/>
          </w:tcPr>
          <w:p>
            <w:pPr>
              <w:keepNext/>
              <w:spacing w:after="20" w:before="20"/>
              <w:jc w:val="right"/>
            </w:pPr>
            <w:r/>
            <w:r>
              <w:rPr>
                <w:sz w:val="17"/>
              </w:rPr>
              <w:t>−198.722 €</w:t>
            </w:r>
          </w:p>
        </w:tc>
        <w:tc>
          <w:tcPr>
            <w:tcW w:type="dxa" w:w="1304"/>
          </w:tcPr>
          <w:p>
            <w:pPr>
              <w:keepNext/>
              <w:spacing w:after="20" w:before="20"/>
              <w:jc w:val="right"/>
            </w:pPr>
            <w:r/>
            <w:r>
              <w:rPr>
                <w:sz w:val="17"/>
              </w:rPr>
              <w:t>−198.722 €</w:t>
            </w:r>
          </w:p>
        </w:tc>
        <w:tc>
          <w:tcPr>
            <w:tcW w:type="dxa" w:w="1304"/>
          </w:tcPr>
          <w:p>
            <w:pPr>
              <w:keepNext/>
              <w:spacing w:after="20" w:before="20"/>
              <w:jc w:val="right"/>
            </w:pPr>
            <w:r/>
            <w:r>
              <w:rPr>
                <w:sz w:val="17"/>
              </w:rPr>
              <w:t>−198.722 €</w:t>
            </w:r>
          </w:p>
        </w:tc>
        <w:tc>
          <w:tcPr>
            <w:tcW w:type="dxa" w:w="1304"/>
          </w:tcPr>
          <w:p>
            <w:pPr>
              <w:keepNext/>
              <w:spacing w:after="20" w:before="20"/>
              <w:jc w:val="right"/>
            </w:pPr>
            <w:r/>
            <w:r>
              <w:rPr>
                <w:sz w:val="17"/>
              </w:rPr>
              <w:t>−198.722 €</w:t>
            </w:r>
          </w:p>
        </w:tc>
      </w:tr>
      <w:tr>
        <w:trPr>
          <w:cantSplit/>
        </w:trPr>
        <w:tc>
          <w:tcPr>
            <w:tcW w:type="dxa" w:w="2891"/>
            <w:shd w:val="clear" w:color="auto" w:fill="E3E8E5"/>
          </w:tcPr>
          <w:p>
            <w:pPr>
              <w:keepNext/>
              <w:spacing w:after="20" w:before="20"/>
            </w:pPr>
            <w:r/>
            <w:r>
              <w:rPr>
                <w:b/>
                <w:sz w:val="17"/>
              </w:rPr>
              <w:t>Ergebnis nach Kapitaldienst</w:t>
            </w:r>
          </w:p>
        </w:tc>
        <w:tc>
          <w:tcPr>
            <w:tcW w:type="dxa" w:w="1304"/>
            <w:shd w:val="clear" w:color="auto" w:fill="E3E8E5"/>
          </w:tcPr>
          <w:p>
            <w:pPr>
              <w:keepNext/>
              <w:spacing w:after="20" w:before="20"/>
              <w:jc w:val="right"/>
            </w:pPr>
            <w:r/>
            <w:r>
              <w:rPr>
                <w:b/>
                <w:sz w:val="17"/>
              </w:rPr>
              <w:t>65.166 €</w:t>
            </w:r>
          </w:p>
        </w:tc>
        <w:tc>
          <w:tcPr>
            <w:tcW w:type="dxa" w:w="1304"/>
            <w:shd w:val="clear" w:color="auto" w:fill="E3E8E5"/>
          </w:tcPr>
          <w:p>
            <w:pPr>
              <w:keepNext/>
              <w:spacing w:after="20" w:before="20"/>
              <w:jc w:val="right"/>
            </w:pPr>
            <w:r/>
            <w:r>
              <w:rPr>
                <w:b/>
                <w:sz w:val="17"/>
              </w:rPr>
              <w:t>73.142 €</w:t>
            </w:r>
          </w:p>
        </w:tc>
        <w:tc>
          <w:tcPr>
            <w:tcW w:type="dxa" w:w="1304"/>
            <w:shd w:val="clear" w:color="auto" w:fill="E3E8E5"/>
          </w:tcPr>
          <w:p>
            <w:pPr>
              <w:keepNext/>
              <w:spacing w:after="20" w:before="20"/>
              <w:jc w:val="right"/>
            </w:pPr>
            <w:r/>
            <w:r>
              <w:rPr>
                <w:b/>
                <w:sz w:val="17"/>
              </w:rPr>
              <w:t>81.359 €</w:t>
            </w:r>
          </w:p>
        </w:tc>
        <w:tc>
          <w:tcPr>
            <w:tcW w:type="dxa" w:w="1304"/>
            <w:shd w:val="clear" w:color="auto" w:fill="E3E8E5"/>
          </w:tcPr>
          <w:p>
            <w:pPr>
              <w:keepNext/>
              <w:spacing w:after="20" w:before="20"/>
              <w:jc w:val="right"/>
            </w:pPr>
            <w:r/>
            <w:r>
              <w:rPr>
                <w:b/>
                <w:sz w:val="17"/>
              </w:rPr>
              <w:t>89.824 €</w:t>
            </w:r>
          </w:p>
        </w:tc>
        <w:tc>
          <w:tcPr>
            <w:tcW w:type="dxa" w:w="1304"/>
            <w:shd w:val="clear" w:color="auto" w:fill="E3E8E5"/>
          </w:tcPr>
          <w:p>
            <w:pPr>
              <w:keepNext/>
              <w:spacing w:after="20" w:before="20"/>
              <w:jc w:val="right"/>
            </w:pPr>
            <w:r/>
            <w:r>
              <w:rPr>
                <w:b/>
                <w:sz w:val="17"/>
              </w:rPr>
              <w:t>103.005 €</w:t>
            </w:r>
          </w:p>
        </w:tc>
      </w:tr>
      <w:tr>
        <w:trPr>
          <w:cantSplit/>
        </w:trPr>
        <w:tc>
          <w:tcPr>
            <w:tcW w:type="dxa" w:w="2891"/>
          </w:tcPr>
          <w:p>
            <w:pPr>
              <w:keepNext/>
              <w:spacing w:after="20" w:before="20"/>
            </w:pPr>
            <w:r/>
            <w:r>
              <w:rPr>
                <w:sz w:val="17"/>
              </w:rPr>
              <w:t>Kapitaldienstdeckung (DSCR)</w:t>
            </w:r>
          </w:p>
        </w:tc>
        <w:tc>
          <w:tcPr>
            <w:tcW w:type="dxa" w:w="1304"/>
          </w:tcPr>
          <w:p>
            <w:pPr>
              <w:keepNext/>
              <w:spacing w:after="20" w:before="20"/>
              <w:jc w:val="right"/>
            </w:pPr>
            <w:r/>
            <w:r>
              <w:rPr>
                <w:sz w:val="17"/>
              </w:rPr>
              <w:t>1,33</w:t>
            </w:r>
          </w:p>
        </w:tc>
        <w:tc>
          <w:tcPr>
            <w:tcW w:type="dxa" w:w="1304"/>
          </w:tcPr>
          <w:p>
            <w:pPr>
              <w:keepNext/>
              <w:spacing w:after="20" w:before="20"/>
              <w:jc w:val="right"/>
            </w:pPr>
            <w:r/>
            <w:r>
              <w:rPr>
                <w:sz w:val="17"/>
              </w:rPr>
              <w:t>1,37</w:t>
            </w:r>
          </w:p>
        </w:tc>
        <w:tc>
          <w:tcPr>
            <w:tcW w:type="dxa" w:w="1304"/>
          </w:tcPr>
          <w:p>
            <w:pPr>
              <w:keepNext/>
              <w:spacing w:after="20" w:before="20"/>
              <w:jc w:val="right"/>
            </w:pPr>
            <w:r/>
            <w:r>
              <w:rPr>
                <w:sz w:val="17"/>
              </w:rPr>
              <w:t>1,41</w:t>
            </w:r>
          </w:p>
        </w:tc>
        <w:tc>
          <w:tcPr>
            <w:tcW w:type="dxa" w:w="1304"/>
          </w:tcPr>
          <w:p>
            <w:pPr>
              <w:keepNext/>
              <w:spacing w:after="20" w:before="20"/>
              <w:jc w:val="right"/>
            </w:pPr>
            <w:r/>
            <w:r>
              <w:rPr>
                <w:sz w:val="17"/>
              </w:rPr>
              <w:t>1,45</w:t>
            </w:r>
          </w:p>
        </w:tc>
        <w:tc>
          <w:tcPr>
            <w:tcW w:type="dxa" w:w="1304"/>
          </w:tcPr>
          <w:p>
            <w:pPr>
              <w:keepNext/>
              <w:spacing w:after="20" w:before="20"/>
              <w:jc w:val="right"/>
            </w:pPr>
            <w:r/>
            <w:r>
              <w:rPr>
                <w:sz w:val="17"/>
              </w:rPr>
              <w:t>1,52</w:t>
            </w:r>
          </w:p>
        </w:tc>
      </w:tr>
      <w:tr>
        <w:trPr>
          <w:cantSplit/>
        </w:trPr>
        <w:tc>
          <w:tcPr>
            <w:tcW w:type="dxa" w:w="2891"/>
          </w:tcPr>
          <w:p>
            <w:pPr>
              <w:spacing w:after="20" w:before="20"/>
            </w:pPr>
            <w:r/>
            <w:r>
              <w:rPr>
                <w:sz w:val="17"/>
              </w:rPr>
              <w:t>Restschuld Jahresende</w:t>
            </w:r>
          </w:p>
        </w:tc>
        <w:tc>
          <w:tcPr>
            <w:tcW w:type="dxa" w:w="1304"/>
          </w:tcPr>
          <w:p>
            <w:pPr>
              <w:spacing w:after="20" w:before="20"/>
              <w:jc w:val="right"/>
            </w:pPr>
            <w:r/>
            <w:r>
              <w:rPr>
                <w:sz w:val="17"/>
              </w:rPr>
              <w:t>4.445.217 €</w:t>
            </w:r>
          </w:p>
        </w:tc>
        <w:tc>
          <w:tcPr>
            <w:tcW w:type="dxa" w:w="1304"/>
          </w:tcPr>
          <w:p>
            <w:pPr>
              <w:spacing w:after="20" w:before="20"/>
              <w:jc w:val="right"/>
            </w:pPr>
            <w:r/>
            <w:r>
              <w:rPr>
                <w:sz w:val="17"/>
              </w:rPr>
              <w:t>4.349.151 €</w:t>
            </w:r>
          </w:p>
        </w:tc>
        <w:tc>
          <w:tcPr>
            <w:tcW w:type="dxa" w:w="1304"/>
          </w:tcPr>
          <w:p>
            <w:pPr>
              <w:spacing w:after="20" w:before="20"/>
              <w:jc w:val="right"/>
            </w:pPr>
            <w:r/>
            <w:r>
              <w:rPr>
                <w:sz w:val="17"/>
              </w:rPr>
              <w:t>4.246.258 €</w:t>
            </w:r>
          </w:p>
        </w:tc>
        <w:tc>
          <w:tcPr>
            <w:tcW w:type="dxa" w:w="1304"/>
          </w:tcPr>
          <w:p>
            <w:pPr>
              <w:spacing w:after="20" w:before="20"/>
              <w:jc w:val="right"/>
            </w:pPr>
            <w:r/>
            <w:r>
              <w:rPr>
                <w:sz w:val="17"/>
              </w:rPr>
              <w:t>4.136.032 €</w:t>
            </w:r>
          </w:p>
        </w:tc>
        <w:tc>
          <w:tcPr>
            <w:tcW w:type="dxa" w:w="1304"/>
          </w:tcPr>
          <w:p>
            <w:pPr>
              <w:spacing w:after="20" w:before="20"/>
              <w:jc w:val="right"/>
            </w:pPr>
            <w:r/>
            <w:r>
              <w:rPr>
                <w:sz w:val="17"/>
              </w:rPr>
              <w:t>3.955.746 €</w:t>
            </w:r>
          </w:p>
        </w:tc>
      </w:tr>
    </w:tbl>
    <w:p>
      <w:pPr>
        <w:spacing w:after="40"/>
      </w:pPr>
    </w:p>
    <w:p>
      <w:r>
        <w:rPr>
          <w:b w:val="0"/>
          <w:i/>
          <w:color w:val="5B6770"/>
          <w:sz w:val="18"/>
        </w:rPr>
        <w:t>Annahme: Miete, Pacht und Gastro-Umsatz steigen um 1,5 % pro Jahr, der Kapitaldienst bleibt gleich. Die Kapitaldienstdeckung verbessert sich von 1,33 auf 1,52 in Jahr 10.</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876"/>
        <w:gridCol w:w="1587"/>
        <w:gridCol w:w="1134"/>
        <w:gridCol w:w="1814"/>
      </w:tblGrid>
      <w:tr>
        <w:trPr>
          <w:cantSplit/>
        </w:trPr>
        <w:tc>
          <w:tcPr>
            <w:tcW w:type="dxa" w:w="4876"/>
            <w:shd w:val="clear" w:color="auto" w:fill="2F4A3E"/>
          </w:tcPr>
          <w:p>
            <w:pPr>
              <w:keepNext/>
              <w:spacing w:after="20" w:before="20"/>
            </w:pPr>
            <w:r/>
            <w:r>
              <w:rPr>
                <w:b/>
                <w:color w:val="FFFFFF"/>
                <w:sz w:val="18"/>
              </w:rPr>
              <w:t>Belastungstest (pro Monat)</w:t>
            </w:r>
          </w:p>
        </w:tc>
        <w:tc>
          <w:tcPr>
            <w:tcW w:type="dxa" w:w="1587"/>
            <w:shd w:val="clear" w:color="auto" w:fill="2F4A3E"/>
          </w:tcPr>
          <w:p>
            <w:pPr>
              <w:keepNext/>
              <w:spacing w:after="20" w:before="20"/>
              <w:jc w:val="right"/>
            </w:pPr>
            <w:r/>
            <w:r>
              <w:rPr>
                <w:b/>
                <w:color w:val="FFFFFF"/>
                <w:sz w:val="18"/>
              </w:rPr>
              <w:t>Ergebnis</w:t>
            </w:r>
          </w:p>
        </w:tc>
        <w:tc>
          <w:tcPr>
            <w:tcW w:type="dxa" w:w="1134"/>
            <w:shd w:val="clear" w:color="auto" w:fill="2F4A3E"/>
          </w:tcPr>
          <w:p>
            <w:pPr>
              <w:keepNext/>
              <w:spacing w:after="20" w:before="20"/>
              <w:jc w:val="right"/>
            </w:pPr>
            <w:r/>
            <w:r>
              <w:rPr>
                <w:b/>
                <w:color w:val="FFFFFF"/>
                <w:sz w:val="18"/>
              </w:rPr>
              <w:t>DSCR</w:t>
            </w:r>
          </w:p>
        </w:tc>
        <w:tc>
          <w:tcPr>
            <w:tcW w:type="dxa" w:w="1814"/>
            <w:shd w:val="clear" w:color="auto" w:fill="2F4A3E"/>
          </w:tcPr>
          <w:p>
            <w:pPr>
              <w:keepNext/>
              <w:spacing w:after="20" w:before="20"/>
              <w:jc w:val="right"/>
            </w:pPr>
            <w:r/>
            <w:r>
              <w:rPr>
                <w:b/>
                <w:color w:val="FFFFFF"/>
                <w:sz w:val="18"/>
              </w:rPr>
              <w:t>zum Plan</w:t>
            </w:r>
          </w:p>
        </w:tc>
      </w:tr>
      <w:tr>
        <w:trPr>
          <w:cantSplit/>
        </w:trPr>
        <w:tc>
          <w:tcPr>
            <w:tcW w:type="dxa" w:w="4876"/>
            <w:shd w:val="clear" w:color="auto" w:fill="E3E8E5"/>
          </w:tcPr>
          <w:p>
            <w:pPr>
              <w:keepNext/>
              <w:spacing w:after="20" w:before="20"/>
            </w:pPr>
            <w:r/>
            <w:r>
              <w:rPr>
                <w:b/>
                <w:sz w:val="18"/>
              </w:rPr>
              <w:t>Plan</w:t>
            </w:r>
          </w:p>
        </w:tc>
        <w:tc>
          <w:tcPr>
            <w:tcW w:type="dxa" w:w="1587"/>
            <w:shd w:val="clear" w:color="auto" w:fill="E3E8E5"/>
          </w:tcPr>
          <w:p>
            <w:pPr>
              <w:keepNext/>
              <w:spacing w:after="20" w:before="20"/>
              <w:jc w:val="right"/>
            </w:pPr>
            <w:r/>
            <w:r>
              <w:rPr>
                <w:b/>
                <w:sz w:val="18"/>
              </w:rPr>
              <w:t>+5.430 €</w:t>
            </w:r>
          </w:p>
        </w:tc>
        <w:tc>
          <w:tcPr>
            <w:tcW w:type="dxa" w:w="1134"/>
            <w:shd w:val="clear" w:color="auto" w:fill="E3E8E5"/>
          </w:tcPr>
          <w:p>
            <w:pPr>
              <w:keepNext/>
              <w:spacing w:after="20" w:before="20"/>
              <w:jc w:val="right"/>
            </w:pPr>
            <w:r/>
            <w:r>
              <w:rPr>
                <w:b/>
                <w:sz w:val="18"/>
              </w:rPr>
              <w:t>1,33</w:t>
            </w:r>
          </w:p>
        </w:tc>
        <w:tc>
          <w:tcPr>
            <w:tcW w:type="dxa" w:w="1814"/>
            <w:shd w:val="clear" w:color="auto" w:fill="E3E8E5"/>
          </w:tcPr>
          <w:p>
            <w:pPr>
              <w:keepNext/>
              <w:spacing w:after="20" w:before="20"/>
              <w:jc w:val="right"/>
            </w:pPr>
            <w:r/>
            <w:r>
              <w:rPr>
                <w:b/>
                <w:sz w:val="18"/>
              </w:rPr>
            </w:r>
          </w:p>
        </w:tc>
      </w:tr>
      <w:tr>
        <w:trPr>
          <w:cantSplit/>
        </w:trPr>
        <w:tc>
          <w:tcPr>
            <w:tcW w:type="dxa" w:w="4876"/>
          </w:tcPr>
          <w:p>
            <w:pPr>
              <w:keepNext/>
              <w:spacing w:after="20" w:before="20"/>
            </w:pPr>
            <w:r/>
            <w:r>
              <w:rPr>
                <w:sz w:val="18"/>
              </w:rPr>
              <w:t>Anschlusszins nach 10 Jahren +1 Prozentpunkt (auf Restschuld)</w:t>
            </w:r>
          </w:p>
        </w:tc>
        <w:tc>
          <w:tcPr>
            <w:tcW w:type="dxa" w:w="1587"/>
          </w:tcPr>
          <w:p>
            <w:pPr>
              <w:keepNext/>
              <w:spacing w:after="20" w:before="20"/>
              <w:jc w:val="right"/>
            </w:pPr>
            <w:r/>
            <w:r>
              <w:rPr>
                <w:sz w:val="18"/>
              </w:rPr>
              <w:t>+2.134 €</w:t>
            </w:r>
          </w:p>
        </w:tc>
        <w:tc>
          <w:tcPr>
            <w:tcW w:type="dxa" w:w="1134"/>
          </w:tcPr>
          <w:p>
            <w:pPr>
              <w:keepNext/>
              <w:spacing w:after="20" w:before="20"/>
              <w:jc w:val="right"/>
            </w:pPr>
            <w:r/>
            <w:r>
              <w:rPr>
                <w:sz w:val="18"/>
              </w:rPr>
              <w:t>1,11</w:t>
            </w:r>
          </w:p>
        </w:tc>
        <w:tc>
          <w:tcPr>
            <w:tcW w:type="dxa" w:w="1814"/>
          </w:tcPr>
          <w:p>
            <w:pPr>
              <w:keepNext/>
              <w:spacing w:after="20" w:before="20"/>
              <w:jc w:val="right"/>
            </w:pPr>
            <w:r/>
            <w:r>
              <w:rPr>
                <w:sz w:val="18"/>
              </w:rPr>
              <w:t>−3.296 €</w:t>
            </w:r>
          </w:p>
        </w:tc>
      </w:tr>
      <w:tr>
        <w:trPr>
          <w:cantSplit/>
        </w:trPr>
        <w:tc>
          <w:tcPr>
            <w:tcW w:type="dxa" w:w="4876"/>
          </w:tcPr>
          <w:p>
            <w:pPr>
              <w:keepNext/>
              <w:spacing w:after="20" w:before="20"/>
            </w:pPr>
            <w:r/>
            <w:r>
              <w:rPr>
                <w:sz w:val="18"/>
              </w:rPr>
              <w:t>Mieten Wohnen −10 %</w:t>
            </w:r>
          </w:p>
        </w:tc>
        <w:tc>
          <w:tcPr>
            <w:tcW w:type="dxa" w:w="1587"/>
          </w:tcPr>
          <w:p>
            <w:pPr>
              <w:keepNext/>
              <w:spacing w:after="20" w:before="20"/>
              <w:jc w:val="right"/>
            </w:pPr>
            <w:r/>
            <w:r>
              <w:rPr>
                <w:sz w:val="18"/>
              </w:rPr>
              <w:t>+4.701 €</w:t>
            </w:r>
          </w:p>
        </w:tc>
        <w:tc>
          <w:tcPr>
            <w:tcW w:type="dxa" w:w="1134"/>
          </w:tcPr>
          <w:p>
            <w:pPr>
              <w:keepNext/>
              <w:spacing w:after="20" w:before="20"/>
              <w:jc w:val="right"/>
            </w:pPr>
            <w:r/>
            <w:r>
              <w:rPr>
                <w:sz w:val="18"/>
              </w:rPr>
              <w:t>1,28</w:t>
            </w:r>
          </w:p>
        </w:tc>
        <w:tc>
          <w:tcPr>
            <w:tcW w:type="dxa" w:w="1814"/>
          </w:tcPr>
          <w:p>
            <w:pPr>
              <w:keepNext/>
              <w:spacing w:after="20" w:before="20"/>
              <w:jc w:val="right"/>
            </w:pPr>
            <w:r/>
            <w:r>
              <w:rPr>
                <w:sz w:val="18"/>
              </w:rPr>
              <w:t>−729 €</w:t>
            </w:r>
          </w:p>
        </w:tc>
      </w:tr>
      <w:tr>
        <w:trPr>
          <w:cantSplit/>
        </w:trPr>
        <w:tc>
          <w:tcPr>
            <w:tcW w:type="dxa" w:w="4876"/>
          </w:tcPr>
          <w:p>
            <w:pPr>
              <w:keepNext/>
              <w:spacing w:after="20" w:before="20"/>
            </w:pPr>
            <w:r/>
            <w:r>
              <w:rPr>
                <w:sz w:val="18"/>
              </w:rPr>
              <w:t>Gastro-Umsatz −20 %</w:t>
            </w:r>
          </w:p>
        </w:tc>
        <w:tc>
          <w:tcPr>
            <w:tcW w:type="dxa" w:w="1587"/>
          </w:tcPr>
          <w:p>
            <w:pPr>
              <w:keepNext/>
              <w:spacing w:after="20" w:before="20"/>
              <w:jc w:val="right"/>
            </w:pPr>
            <w:r/>
            <w:r>
              <w:rPr>
                <w:sz w:val="18"/>
              </w:rPr>
              <w:t>+2.380 €</w:t>
            </w:r>
          </w:p>
        </w:tc>
        <w:tc>
          <w:tcPr>
            <w:tcW w:type="dxa" w:w="1134"/>
          </w:tcPr>
          <w:p>
            <w:pPr>
              <w:keepNext/>
              <w:spacing w:after="20" w:before="20"/>
              <w:jc w:val="right"/>
            </w:pPr>
            <w:r/>
            <w:r>
              <w:rPr>
                <w:sz w:val="18"/>
              </w:rPr>
              <w:t>1,14</w:t>
            </w:r>
          </w:p>
        </w:tc>
        <w:tc>
          <w:tcPr>
            <w:tcW w:type="dxa" w:w="1814"/>
          </w:tcPr>
          <w:p>
            <w:pPr>
              <w:keepNext/>
              <w:spacing w:after="20" w:before="20"/>
              <w:jc w:val="right"/>
            </w:pPr>
            <w:r/>
            <w:r>
              <w:rPr>
                <w:sz w:val="18"/>
              </w:rPr>
              <w:t>−3.050 €</w:t>
            </w:r>
          </w:p>
        </w:tc>
      </w:tr>
      <w:tr>
        <w:trPr>
          <w:cantSplit/>
        </w:trPr>
        <w:tc>
          <w:tcPr>
            <w:tcW w:type="dxa" w:w="4876"/>
          </w:tcPr>
          <w:p>
            <w:pPr>
              <w:keepNext/>
              <w:spacing w:after="20" w:before="20"/>
            </w:pPr>
            <w:r/>
            <w:r>
              <w:rPr>
                <w:sz w:val="18"/>
              </w:rPr>
              <w:t>Gastro-Umsatz −40 %</w:t>
            </w:r>
          </w:p>
        </w:tc>
        <w:tc>
          <w:tcPr>
            <w:tcW w:type="dxa" w:w="1587"/>
          </w:tcPr>
          <w:p>
            <w:pPr>
              <w:keepNext/>
              <w:spacing w:after="20" w:before="20"/>
              <w:jc w:val="right"/>
            </w:pPr>
            <w:r/>
            <w:r>
              <w:rPr>
                <w:sz w:val="18"/>
              </w:rPr>
              <w:t>−670 €</w:t>
            </w:r>
          </w:p>
        </w:tc>
        <w:tc>
          <w:tcPr>
            <w:tcW w:type="dxa" w:w="1134"/>
          </w:tcPr>
          <w:p>
            <w:pPr>
              <w:keepNext/>
              <w:spacing w:after="20" w:before="20"/>
              <w:jc w:val="right"/>
            </w:pPr>
            <w:r/>
            <w:r>
              <w:rPr>
                <w:sz w:val="18"/>
              </w:rPr>
              <w:t>0,96</w:t>
            </w:r>
          </w:p>
        </w:tc>
        <w:tc>
          <w:tcPr>
            <w:tcW w:type="dxa" w:w="1814"/>
          </w:tcPr>
          <w:p>
            <w:pPr>
              <w:keepNext/>
              <w:spacing w:after="20" w:before="20"/>
              <w:jc w:val="right"/>
            </w:pPr>
            <w:r/>
            <w:r>
              <w:rPr>
                <w:sz w:val="18"/>
              </w:rPr>
              <w:t>−6.100 €</w:t>
            </w:r>
          </w:p>
        </w:tc>
      </w:tr>
      <w:tr>
        <w:trPr>
          <w:cantSplit/>
        </w:trPr>
        <w:tc>
          <w:tcPr>
            <w:tcW w:type="dxa" w:w="4876"/>
          </w:tcPr>
          <w:p>
            <w:pPr>
              <w:keepNext/>
              <w:spacing w:after="20" w:before="20"/>
            </w:pPr>
            <w:r/>
            <w:r>
              <w:rPr>
                <w:sz w:val="18"/>
              </w:rPr>
              <w:t>Baukosten +10 % (Kredit steigt entsprechend)</w:t>
            </w:r>
          </w:p>
        </w:tc>
        <w:tc>
          <w:tcPr>
            <w:tcW w:type="dxa" w:w="1587"/>
          </w:tcPr>
          <w:p>
            <w:pPr>
              <w:keepNext/>
              <w:spacing w:after="20" w:before="20"/>
              <w:jc w:val="right"/>
            </w:pPr>
            <w:r/>
            <w:r>
              <w:rPr>
                <w:sz w:val="18"/>
              </w:rPr>
              <w:t>+4.058 €</w:t>
            </w:r>
          </w:p>
        </w:tc>
        <w:tc>
          <w:tcPr>
            <w:tcW w:type="dxa" w:w="1134"/>
          </w:tcPr>
          <w:p>
            <w:pPr>
              <w:keepNext/>
              <w:spacing w:after="20" w:before="20"/>
              <w:jc w:val="right"/>
            </w:pPr>
            <w:r/>
            <w:r>
              <w:rPr>
                <w:sz w:val="18"/>
              </w:rPr>
              <w:t>1,23</w:t>
            </w:r>
          </w:p>
        </w:tc>
        <w:tc>
          <w:tcPr>
            <w:tcW w:type="dxa" w:w="1814"/>
          </w:tcPr>
          <w:p>
            <w:pPr>
              <w:keepNext/>
              <w:spacing w:after="20" w:before="20"/>
              <w:jc w:val="right"/>
            </w:pPr>
            <w:r/>
            <w:r>
              <w:rPr>
                <w:sz w:val="18"/>
              </w:rPr>
              <w:t>−1.372 €</w:t>
            </w:r>
          </w:p>
        </w:tc>
      </w:tr>
      <w:tr>
        <w:trPr>
          <w:cantSplit/>
        </w:trPr>
        <w:tc>
          <w:tcPr>
            <w:tcW w:type="dxa" w:w="4876"/>
          </w:tcPr>
          <w:p>
            <w:pPr>
              <w:spacing w:after="20" w:before="20"/>
            </w:pPr>
            <w:r/>
            <w:r>
              <w:rPr>
                <w:sz w:val="18"/>
              </w:rPr>
              <w:t>Gastro fällt ganz aus (keine Pacht, kein Betriebsergebnis)</w:t>
            </w:r>
          </w:p>
        </w:tc>
        <w:tc>
          <w:tcPr>
            <w:tcW w:type="dxa" w:w="1587"/>
          </w:tcPr>
          <w:p>
            <w:pPr>
              <w:spacing w:after="20" w:before="20"/>
              <w:jc w:val="right"/>
            </w:pPr>
            <w:r/>
            <w:r>
              <w:rPr>
                <w:sz w:val="18"/>
              </w:rPr>
              <w:t>−9.268 €</w:t>
            </w:r>
          </w:p>
        </w:tc>
        <w:tc>
          <w:tcPr>
            <w:tcW w:type="dxa" w:w="1134"/>
          </w:tcPr>
          <w:p>
            <w:pPr>
              <w:spacing w:after="20" w:before="20"/>
              <w:jc w:val="right"/>
            </w:pPr>
            <w:r/>
            <w:r>
              <w:rPr>
                <w:sz w:val="18"/>
              </w:rPr>
              <w:t>0,44</w:t>
            </w:r>
          </w:p>
        </w:tc>
        <w:tc>
          <w:tcPr>
            <w:tcW w:type="dxa" w:w="1814"/>
          </w:tcPr>
          <w:p>
            <w:pPr>
              <w:spacing w:after="20" w:before="20"/>
              <w:jc w:val="right"/>
            </w:pPr>
            <w:r/>
            <w:r>
              <w:rPr>
                <w:sz w:val="18"/>
              </w:rPr>
              <w:t>−14.698 €</w:t>
            </w:r>
          </w:p>
        </w:tc>
      </w:tr>
    </w:tbl>
    <w:p>
      <w:pPr>
        <w:spacing w:after="40"/>
      </w:pPr>
    </w:p>
    <w:p>
      <w:pPr>
        <w:spacing w:after="80"/>
      </w:pPr>
      <w:r>
        <w:rPr>
          <w:b w:val="0"/>
          <w:i w:val="0"/>
        </w:rPr>
        <w:t>Die Tests sind vereinfacht. Das Ergebnis reagiert am stärksten auf den Gastro-Umsatz und die Pacht. Bei einem Umsatz −40 % oder einem Ausfall der Gastro reicht der Ertrag nicht mehr für die Raten.</w:t>
      </w:r>
    </w:p>
    <w:p>
      <w:pPr>
        <w:pStyle w:val="Heading1"/>
      </w:pPr>
      <w:r>
        <w:t>11  Prüfung: zwei Wohnungen als Airbnb</w:t>
      </w:r>
    </w:p>
    <w:p>
      <w:r>
        <w:rPr>
          <w:b w:val="0"/>
          <w:i w:val="0"/>
        </w:rPr>
        <w:t>Geprüft wurde, ob zwei Wohnungen als Airbnb-Apartments (Kurzzeitvermietung) mehr bringen als langfristige Vermietung. Angesetzt sind eine Auslastung von 50 % (laut Quelle liegt der Emsland-Durchschnitt bei ca. 37 %), Möblierung von 600 €/m² im Kredit, Kosten von 56 % des Umsatzes (Plattform, Reinigung, Nebenkosten, Rücklage) und ein Mindest-Mehrertrag von 300 € pro Monat für den Mehraufwand.</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4309"/>
        <w:gridCol w:w="1701"/>
        <w:gridCol w:w="1701"/>
        <w:gridCol w:w="1701"/>
      </w:tblGrid>
      <w:tr>
        <w:trPr>
          <w:cantSplit/>
        </w:trPr>
        <w:tc>
          <w:tcPr>
            <w:tcW w:type="dxa" w:w="4309"/>
            <w:shd w:val="clear" w:color="auto" w:fill="2F4A3E"/>
          </w:tcPr>
          <w:p>
            <w:pPr>
              <w:keepNext/>
              <w:spacing w:after="20" w:before="20"/>
            </w:pPr>
            <w:r/>
            <w:r>
              <w:rPr>
                <w:b/>
                <w:color w:val="FFFFFF"/>
                <w:sz w:val="18"/>
              </w:rPr>
              <w:t>Zwei Apartments à ...</w:t>
            </w:r>
          </w:p>
        </w:tc>
        <w:tc>
          <w:tcPr>
            <w:tcW w:type="dxa" w:w="1701"/>
            <w:shd w:val="clear" w:color="auto" w:fill="2F4A3E"/>
          </w:tcPr>
          <w:p>
            <w:pPr>
              <w:keepNext/>
              <w:spacing w:after="20" w:before="20"/>
              <w:jc w:val="right"/>
            </w:pPr>
            <w:r/>
            <w:r>
              <w:rPr>
                <w:b/>
                <w:color w:val="FFFFFF"/>
                <w:sz w:val="18"/>
              </w:rPr>
              <w:t>45 m²</w:t>
            </w:r>
          </w:p>
        </w:tc>
        <w:tc>
          <w:tcPr>
            <w:tcW w:type="dxa" w:w="1701"/>
            <w:shd w:val="clear" w:color="auto" w:fill="2F4A3E"/>
          </w:tcPr>
          <w:p>
            <w:pPr>
              <w:keepNext/>
              <w:spacing w:after="20" w:before="20"/>
              <w:jc w:val="right"/>
            </w:pPr>
            <w:r/>
            <w:r>
              <w:rPr>
                <w:b/>
                <w:color w:val="FFFFFF"/>
                <w:sz w:val="18"/>
              </w:rPr>
              <w:t>60 m²</w:t>
            </w:r>
          </w:p>
        </w:tc>
        <w:tc>
          <w:tcPr>
            <w:tcW w:type="dxa" w:w="1701"/>
            <w:shd w:val="clear" w:color="auto" w:fill="2F4A3E"/>
          </w:tcPr>
          <w:p>
            <w:pPr>
              <w:keepNext/>
              <w:spacing w:after="20" w:before="20"/>
              <w:jc w:val="right"/>
            </w:pPr>
            <w:r/>
            <w:r>
              <w:rPr>
                <w:b/>
                <w:color w:val="FFFFFF"/>
                <w:sz w:val="18"/>
              </w:rPr>
              <w:t>83 m²</w:t>
            </w:r>
          </w:p>
        </w:tc>
      </w:tr>
      <w:tr>
        <w:trPr>
          <w:cantSplit/>
        </w:trPr>
        <w:tc>
          <w:tcPr>
            <w:tcW w:type="dxa" w:w="4309"/>
          </w:tcPr>
          <w:p>
            <w:pPr>
              <w:keepNext/>
              <w:spacing w:after="20" w:before="20"/>
            </w:pPr>
            <w:r/>
            <w:r>
              <w:rPr>
                <w:sz w:val="18"/>
              </w:rPr>
              <w:t>Preis pro Nacht</w:t>
            </w:r>
          </w:p>
        </w:tc>
        <w:tc>
          <w:tcPr>
            <w:tcW w:type="dxa" w:w="1701"/>
          </w:tcPr>
          <w:p>
            <w:pPr>
              <w:keepNext/>
              <w:spacing w:after="20" w:before="20"/>
              <w:jc w:val="right"/>
            </w:pPr>
            <w:r/>
            <w:r>
              <w:rPr>
                <w:sz w:val="18"/>
              </w:rPr>
              <w:t>80 €</w:t>
            </w:r>
          </w:p>
        </w:tc>
        <w:tc>
          <w:tcPr>
            <w:tcW w:type="dxa" w:w="1701"/>
          </w:tcPr>
          <w:p>
            <w:pPr>
              <w:keepNext/>
              <w:spacing w:after="20" w:before="20"/>
              <w:jc w:val="right"/>
            </w:pPr>
            <w:r/>
            <w:r>
              <w:rPr>
                <w:sz w:val="18"/>
              </w:rPr>
              <w:t>95 €</w:t>
            </w:r>
          </w:p>
        </w:tc>
        <w:tc>
          <w:tcPr>
            <w:tcW w:type="dxa" w:w="1701"/>
          </w:tcPr>
          <w:p>
            <w:pPr>
              <w:keepNext/>
              <w:spacing w:after="20" w:before="20"/>
              <w:jc w:val="right"/>
            </w:pPr>
            <w:r/>
            <w:r>
              <w:rPr>
                <w:sz w:val="18"/>
              </w:rPr>
              <w:t>115 €</w:t>
            </w:r>
          </w:p>
        </w:tc>
      </w:tr>
      <w:tr>
        <w:trPr>
          <w:cantSplit/>
        </w:trPr>
        <w:tc>
          <w:tcPr>
            <w:tcW w:type="dxa" w:w="4309"/>
          </w:tcPr>
          <w:p>
            <w:pPr>
              <w:keepNext/>
              <w:spacing w:after="20" w:before="20"/>
            </w:pPr>
            <w:r/>
            <w:r>
              <w:rPr>
                <w:sz w:val="18"/>
              </w:rPr>
              <w:t>Netto Airbnb je Apartment und Monat</w:t>
            </w:r>
          </w:p>
        </w:tc>
        <w:tc>
          <w:tcPr>
            <w:tcW w:type="dxa" w:w="1701"/>
          </w:tcPr>
          <w:p>
            <w:pPr>
              <w:keepNext/>
              <w:spacing w:after="20" w:before="20"/>
              <w:jc w:val="right"/>
            </w:pPr>
            <w:r/>
            <w:r>
              <w:rPr>
                <w:sz w:val="18"/>
              </w:rPr>
              <w:t>535 €</w:t>
            </w:r>
          </w:p>
        </w:tc>
        <w:tc>
          <w:tcPr>
            <w:tcW w:type="dxa" w:w="1701"/>
          </w:tcPr>
          <w:p>
            <w:pPr>
              <w:keepNext/>
              <w:spacing w:after="20" w:before="20"/>
              <w:jc w:val="right"/>
            </w:pPr>
            <w:r/>
            <w:r>
              <w:rPr>
                <w:sz w:val="18"/>
              </w:rPr>
              <w:t>636 €</w:t>
            </w:r>
          </w:p>
        </w:tc>
        <w:tc>
          <w:tcPr>
            <w:tcW w:type="dxa" w:w="1701"/>
          </w:tcPr>
          <w:p>
            <w:pPr>
              <w:keepNext/>
              <w:spacing w:after="20" w:before="20"/>
              <w:jc w:val="right"/>
            </w:pPr>
            <w:r/>
            <w:r>
              <w:rPr>
                <w:sz w:val="18"/>
              </w:rPr>
              <w:t>770 €</w:t>
            </w:r>
          </w:p>
        </w:tc>
      </w:tr>
      <w:tr>
        <w:trPr>
          <w:cantSplit/>
        </w:trPr>
        <w:tc>
          <w:tcPr>
            <w:tcW w:type="dxa" w:w="4309"/>
          </w:tcPr>
          <w:p>
            <w:pPr>
              <w:keepNext/>
              <w:spacing w:after="20" w:before="20"/>
            </w:pPr>
            <w:r/>
            <w:r>
              <w:rPr>
                <w:sz w:val="18"/>
              </w:rPr>
              <w:t>Netto langfristige Miete je Apartment und Monat</w:t>
            </w:r>
          </w:p>
        </w:tc>
        <w:tc>
          <w:tcPr>
            <w:tcW w:type="dxa" w:w="1701"/>
          </w:tcPr>
          <w:p>
            <w:pPr>
              <w:keepNext/>
              <w:spacing w:after="20" w:before="20"/>
              <w:jc w:val="right"/>
            </w:pPr>
            <w:r/>
            <w:r>
              <w:rPr>
                <w:sz w:val="18"/>
              </w:rPr>
              <w:t>453 €</w:t>
            </w:r>
          </w:p>
        </w:tc>
        <w:tc>
          <w:tcPr>
            <w:tcW w:type="dxa" w:w="1701"/>
          </w:tcPr>
          <w:p>
            <w:pPr>
              <w:keepNext/>
              <w:spacing w:after="20" w:before="20"/>
              <w:jc w:val="right"/>
            </w:pPr>
            <w:r/>
            <w:r>
              <w:rPr>
                <w:sz w:val="18"/>
              </w:rPr>
              <w:t>604 €</w:t>
            </w:r>
          </w:p>
        </w:tc>
        <w:tc>
          <w:tcPr>
            <w:tcW w:type="dxa" w:w="1701"/>
          </w:tcPr>
          <w:p>
            <w:pPr>
              <w:keepNext/>
              <w:spacing w:after="20" w:before="20"/>
              <w:jc w:val="right"/>
            </w:pPr>
            <w:r/>
            <w:r>
              <w:rPr>
                <w:sz w:val="18"/>
              </w:rPr>
              <w:t>835 €</w:t>
            </w:r>
          </w:p>
        </w:tc>
      </w:tr>
      <w:tr>
        <w:trPr>
          <w:cantSplit/>
        </w:trPr>
        <w:tc>
          <w:tcPr>
            <w:tcW w:type="dxa" w:w="4309"/>
          </w:tcPr>
          <w:p>
            <w:pPr>
              <w:keepNext/>
              <w:spacing w:after="20" w:before="20"/>
            </w:pPr>
            <w:r/>
            <w:r>
              <w:rPr>
                <w:sz w:val="18"/>
              </w:rPr>
              <w:t>Möblierung (im Kredit)</w:t>
            </w:r>
          </w:p>
        </w:tc>
        <w:tc>
          <w:tcPr>
            <w:tcW w:type="dxa" w:w="1701"/>
          </w:tcPr>
          <w:p>
            <w:pPr>
              <w:keepNext/>
              <w:spacing w:after="20" w:before="20"/>
              <w:jc w:val="right"/>
            </w:pPr>
            <w:r/>
            <w:r>
              <w:rPr>
                <w:sz w:val="18"/>
              </w:rPr>
              <w:t>27.000 €</w:t>
            </w:r>
          </w:p>
        </w:tc>
        <w:tc>
          <w:tcPr>
            <w:tcW w:type="dxa" w:w="1701"/>
          </w:tcPr>
          <w:p>
            <w:pPr>
              <w:keepNext/>
              <w:spacing w:after="20" w:before="20"/>
              <w:jc w:val="right"/>
            </w:pPr>
            <w:r/>
            <w:r>
              <w:rPr>
                <w:sz w:val="18"/>
              </w:rPr>
              <w:t>36.000 €</w:t>
            </w:r>
          </w:p>
        </w:tc>
        <w:tc>
          <w:tcPr>
            <w:tcW w:type="dxa" w:w="1701"/>
          </w:tcPr>
          <w:p>
            <w:pPr>
              <w:keepNext/>
              <w:spacing w:after="20" w:before="20"/>
              <w:jc w:val="right"/>
            </w:pPr>
            <w:r/>
            <w:r>
              <w:rPr>
                <w:sz w:val="18"/>
              </w:rPr>
              <w:t>49.800 €</w:t>
            </w:r>
          </w:p>
        </w:tc>
      </w:tr>
      <w:tr>
        <w:trPr>
          <w:cantSplit/>
        </w:trPr>
        <w:tc>
          <w:tcPr>
            <w:tcW w:type="dxa" w:w="4309"/>
            <w:shd w:val="clear" w:color="auto" w:fill="E3E8E5"/>
          </w:tcPr>
          <w:p>
            <w:pPr>
              <w:spacing w:after="20" w:before="20"/>
            </w:pPr>
            <w:r/>
            <w:r>
              <w:rPr>
                <w:b/>
                <w:sz w:val="18"/>
              </w:rPr>
              <w:t>Mehrertrag für 2 Apartments pro Monat</w:t>
            </w:r>
          </w:p>
        </w:tc>
        <w:tc>
          <w:tcPr>
            <w:tcW w:type="dxa" w:w="1701"/>
            <w:shd w:val="clear" w:color="auto" w:fill="E3E8E5"/>
          </w:tcPr>
          <w:p>
            <w:pPr>
              <w:spacing w:after="20" w:before="20"/>
              <w:jc w:val="right"/>
            </w:pPr>
            <w:r/>
            <w:r>
              <w:rPr>
                <w:b/>
                <w:sz w:val="18"/>
              </w:rPr>
              <w:t>−60 €</w:t>
            </w:r>
          </w:p>
        </w:tc>
        <w:tc>
          <w:tcPr>
            <w:tcW w:type="dxa" w:w="1701"/>
            <w:shd w:val="clear" w:color="auto" w:fill="E3E8E5"/>
          </w:tcPr>
          <w:p>
            <w:pPr>
              <w:spacing w:after="20" w:before="20"/>
              <w:jc w:val="right"/>
            </w:pPr>
            <w:r/>
            <w:r>
              <w:rPr>
                <w:b/>
                <w:sz w:val="18"/>
              </w:rPr>
              <w:t>−236 €</w:t>
            </w:r>
          </w:p>
        </w:tc>
        <w:tc>
          <w:tcPr>
            <w:tcW w:type="dxa" w:w="1701"/>
            <w:shd w:val="clear" w:color="auto" w:fill="E3E8E5"/>
          </w:tcPr>
          <w:p>
            <w:pPr>
              <w:spacing w:after="20" w:before="20"/>
              <w:jc w:val="right"/>
            </w:pPr>
            <w:r/>
            <w:r>
              <w:rPr>
                <w:b/>
                <w:sz w:val="18"/>
              </w:rPr>
              <w:t>−546 €</w:t>
            </w:r>
          </w:p>
        </w:tc>
      </w:tr>
    </w:tbl>
    <w:p>
      <w:pPr>
        <w:spacing w:after="40"/>
      </w:pPr>
    </w:p>
    <w:p>
      <w:r>
        <w:rPr>
          <w:b/>
          <w:i w:val="0"/>
          <w:color w:val="2F4A3E"/>
        </w:rPr>
        <w:t>Ergebnis: Kurzzeitvermietung lohnt sich nicht. Auch kleine Apartments bringen nach Möblierung, Kapitaldienst und Kosten weniger als langfristige Mieter. Dazu kommen Aufwand für Gäste und Reinigung und bei mehr als 12 Betten Sonderbau-Brandschutz. Alle 8 Wohnungen bleiben deshalb langfristig vermietet.</w:t>
      </w:r>
    </w:p>
    <w:p>
      <w:pPr>
        <w:pStyle w:val="Heading1"/>
      </w:pPr>
      <w:r>
        <w:t>12  Chancen und Risiken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1701"/>
        <w:gridCol w:w="3855"/>
        <w:gridCol w:w="3855"/>
      </w:tblGrid>
      <w:tr>
        <w:trPr>
          <w:cantSplit/>
        </w:trPr>
        <w:tc>
          <w:tcPr>
            <w:tcW w:type="dxa" w:w="1701"/>
            <w:shd w:val="clear" w:color="auto" w:fill="2F4A3E"/>
          </w:tcPr>
          <w:p>
            <w:pPr>
              <w:keepNext/>
              <w:spacing w:after="20" w:before="20"/>
            </w:pPr>
            <w:r/>
            <w:r>
              <w:rPr>
                <w:b/>
                <w:color w:val="FFFFFF"/>
                <w:sz w:val="17"/>
              </w:rPr>
              <w:t>Thema</w:t>
            </w:r>
          </w:p>
        </w:tc>
        <w:tc>
          <w:tcPr>
            <w:tcW w:type="dxa" w:w="3855"/>
            <w:shd w:val="clear" w:color="auto" w:fill="2F4A3E"/>
          </w:tcPr>
          <w:p>
            <w:pPr>
              <w:keepNext/>
              <w:spacing w:after="20" w:before="20"/>
            </w:pPr>
            <w:r/>
            <w:r>
              <w:rPr>
                <w:b/>
                <w:color w:val="FFFFFF"/>
                <w:sz w:val="17"/>
              </w:rPr>
              <w:t>Risiko</w:t>
            </w:r>
          </w:p>
        </w:tc>
        <w:tc>
          <w:tcPr>
            <w:tcW w:type="dxa" w:w="3855"/>
            <w:shd w:val="clear" w:color="auto" w:fill="2F4A3E"/>
          </w:tcPr>
          <w:p>
            <w:pPr>
              <w:keepNext/>
              <w:spacing w:after="20" w:before="20"/>
            </w:pPr>
            <w:r/>
            <w:r>
              <w:rPr>
                <w:b/>
                <w:color w:val="FFFFFF"/>
                <w:sz w:val="17"/>
              </w:rPr>
              <w:t>Gegenmaßnahme</w:t>
            </w:r>
          </w:p>
        </w:tc>
      </w:tr>
      <w:tr>
        <w:trPr>
          <w:cantSplit/>
        </w:trPr>
        <w:tc>
          <w:tcPr>
            <w:tcW w:type="dxa" w:w="1701"/>
          </w:tcPr>
          <w:p>
            <w:pPr>
              <w:keepNext/>
              <w:spacing w:after="20" w:before="20"/>
            </w:pPr>
            <w:r/>
            <w:r>
              <w:rPr>
                <w:sz w:val="17"/>
              </w:rPr>
              <w:t>Sicherheiten</w:t>
            </w:r>
          </w:p>
        </w:tc>
        <w:tc>
          <w:tcPr>
            <w:tcW w:type="dxa" w:w="3855"/>
          </w:tcPr>
          <w:p>
            <w:pPr>
              <w:keepNext/>
              <w:spacing w:after="20" w:before="20"/>
            </w:pPr>
            <w:r/>
            <w:r>
              <w:rPr>
                <w:sz w:val="17"/>
              </w:rPr>
              <w:t>Beleihungsauslauf 163 % bei 100 % Fremdfinanzierung</w:t>
            </w:r>
          </w:p>
        </w:tc>
        <w:tc>
          <w:tcPr>
            <w:tcW w:type="dxa" w:w="3855"/>
          </w:tcPr>
          <w:p>
            <w:pPr>
              <w:keepNext/>
              <w:spacing w:after="20" w:before="20"/>
            </w:pPr>
            <w:r/>
            <w:r>
              <w:rPr>
                <w:sz w:val="17"/>
              </w:rPr>
              <w:t>Zusätzliche Grundschulden, Bürgschaft, Eigenkapital; Pachtvertrag mit Bonitätsnachweis</w:t>
            </w:r>
          </w:p>
        </w:tc>
      </w:tr>
      <w:tr>
        <w:trPr>
          <w:cantSplit/>
        </w:trPr>
        <w:tc>
          <w:tcPr>
            <w:tcW w:type="dxa" w:w="1701"/>
          </w:tcPr>
          <w:p>
            <w:pPr>
              <w:keepNext/>
              <w:spacing w:after="20" w:before="20"/>
            </w:pPr>
            <w:r/>
            <w:r>
              <w:rPr>
                <w:sz w:val="17"/>
              </w:rPr>
              <w:t>Gastro-Umsatz</w:t>
            </w:r>
          </w:p>
        </w:tc>
        <w:tc>
          <w:tcPr>
            <w:tcW w:type="dxa" w:w="3855"/>
          </w:tcPr>
          <w:p>
            <w:pPr>
              <w:keepNext/>
              <w:spacing w:after="20" w:before="20"/>
            </w:pPr>
            <w:r/>
            <w:r>
              <w:rPr>
                <w:sz w:val="17"/>
              </w:rPr>
              <w:t>Haus ab ca. 32.000 € Umsatz im Plus; bei Ausfall der Gastro fehlen ca. 14.698 € pro Monat</w:t>
            </w:r>
          </w:p>
        </w:tc>
        <w:tc>
          <w:tcPr>
            <w:tcW w:type="dxa" w:w="3855"/>
          </w:tcPr>
          <w:p>
            <w:pPr>
              <w:keepNext/>
              <w:spacing w:after="20" w:before="20"/>
            </w:pPr>
            <w:r/>
            <w:r>
              <w:rPr>
                <w:sz w:val="17"/>
              </w:rPr>
              <w:t>Konzept, erfahrener Betreiber, Probebetrieb, Pachtstaffel</w:t>
            </w:r>
          </w:p>
        </w:tc>
      </w:tr>
      <w:tr>
        <w:trPr>
          <w:cantSplit/>
        </w:trPr>
        <w:tc>
          <w:tcPr>
            <w:tcW w:type="dxa" w:w="1701"/>
          </w:tcPr>
          <w:p>
            <w:pPr>
              <w:keepNext/>
              <w:spacing w:after="20" w:before="20"/>
            </w:pPr>
            <w:r/>
            <w:r>
              <w:rPr>
                <w:sz w:val="17"/>
              </w:rPr>
              <w:t>Miete</w:t>
            </w:r>
          </w:p>
        </w:tc>
        <w:tc>
          <w:tcPr>
            <w:tcW w:type="dxa" w:w="3855"/>
          </w:tcPr>
          <w:p>
            <w:pPr>
              <w:keepNext/>
              <w:spacing w:after="20" w:before="20"/>
            </w:pPr>
            <w:r/>
            <w:r>
              <w:rPr>
                <w:sz w:val="17"/>
              </w:rPr>
              <w:t>11,18 €/m² liegt am oberen Rand der Marktdaten</w:t>
            </w:r>
          </w:p>
        </w:tc>
        <w:tc>
          <w:tcPr>
            <w:tcW w:type="dxa" w:w="3855"/>
          </w:tcPr>
          <w:p>
            <w:pPr>
              <w:keepNext/>
              <w:spacing w:after="20" w:before="20"/>
            </w:pPr>
            <w:r/>
            <w:r>
              <w:rPr>
                <w:sz w:val="17"/>
              </w:rPr>
              <w:t>Vorvermietung, Vergleichsangebote, Einrichtungsqualität</w:t>
            </w:r>
          </w:p>
        </w:tc>
      </w:tr>
      <w:tr>
        <w:trPr>
          <w:cantSplit/>
        </w:trPr>
        <w:tc>
          <w:tcPr>
            <w:tcW w:type="dxa" w:w="1701"/>
          </w:tcPr>
          <w:p>
            <w:pPr>
              <w:keepNext/>
              <w:spacing w:after="20" w:before="20"/>
            </w:pPr>
            <w:r/>
            <w:r>
              <w:rPr>
                <w:sz w:val="17"/>
              </w:rPr>
              <w:t>Zins</w:t>
            </w:r>
          </w:p>
        </w:tc>
        <w:tc>
          <w:tcPr>
            <w:tcW w:type="dxa" w:w="3855"/>
          </w:tcPr>
          <w:p>
            <w:pPr>
              <w:keepNext/>
              <w:spacing w:after="20" w:before="20"/>
            </w:pPr>
            <w:r/>
            <w:r>
              <w:rPr>
                <w:sz w:val="17"/>
              </w:rPr>
              <w:t>KfW-Zins und Rahmen unsicher, Folgezins nach 10 Jahren offen</w:t>
            </w:r>
          </w:p>
        </w:tc>
        <w:tc>
          <w:tcPr>
            <w:tcW w:type="dxa" w:w="3855"/>
          </w:tcPr>
          <w:p>
            <w:pPr>
              <w:keepNext/>
              <w:spacing w:after="20" w:before="20"/>
            </w:pPr>
            <w:r/>
            <w:r>
              <w:rPr>
                <w:sz w:val="17"/>
              </w:rPr>
              <w:t>Zusage vor Baubeginn, Forward-Darlehen, höhere Tilgung später</w:t>
            </w:r>
          </w:p>
        </w:tc>
      </w:tr>
      <w:tr>
        <w:trPr>
          <w:cantSplit/>
        </w:trPr>
        <w:tc>
          <w:tcPr>
            <w:tcW w:type="dxa" w:w="1701"/>
          </w:tcPr>
          <w:p>
            <w:pPr>
              <w:keepNext/>
              <w:spacing w:after="20" w:before="20"/>
            </w:pPr>
            <w:r/>
            <w:r>
              <w:rPr>
                <w:sz w:val="17"/>
              </w:rPr>
              <w:t>Genehmigung</w:t>
            </w:r>
          </w:p>
        </w:tc>
        <w:tc>
          <w:tcPr>
            <w:tcW w:type="dxa" w:w="3855"/>
          </w:tcPr>
          <w:p>
            <w:pPr>
              <w:keepNext/>
              <w:spacing w:after="20" w:before="20"/>
            </w:pPr>
            <w:r/>
            <w:r>
              <w:rPr>
                <w:sz w:val="17"/>
              </w:rPr>
              <w:t>540 m², Staffelgeschoss, Flachdach, Stellplätze</w:t>
            </w:r>
          </w:p>
        </w:tc>
        <w:tc>
          <w:tcPr>
            <w:tcW w:type="dxa" w:w="3855"/>
          </w:tcPr>
          <w:p>
            <w:pPr>
              <w:keepNext/>
              <w:spacing w:after="20" w:before="20"/>
            </w:pPr>
            <w:r/>
            <w:r>
              <w:rPr>
                <w:sz w:val="17"/>
              </w:rPr>
              <w:t>Bauvoranfrage, städtebaulicher Vertrag, Plan B mit kleinerer Grundfläche</w:t>
            </w:r>
          </w:p>
        </w:tc>
      </w:tr>
      <w:tr>
        <w:trPr>
          <w:cantSplit/>
        </w:trPr>
        <w:tc>
          <w:tcPr>
            <w:tcW w:type="dxa" w:w="1701"/>
          </w:tcPr>
          <w:p>
            <w:pPr>
              <w:keepNext/>
              <w:spacing w:after="20" w:before="20"/>
            </w:pPr>
            <w:r/>
            <w:r>
              <w:rPr>
                <w:sz w:val="17"/>
              </w:rPr>
              <w:t>Standard</w:t>
            </w:r>
          </w:p>
        </w:tc>
        <w:tc>
          <w:tcPr>
            <w:tcW w:type="dxa" w:w="3855"/>
          </w:tcPr>
          <w:p>
            <w:pPr>
              <w:keepNext/>
              <w:spacing w:after="20" w:before="20"/>
            </w:pPr>
            <w:r/>
            <w:r>
              <w:rPr>
                <w:sz w:val="17"/>
              </w:rPr>
              <w:t>KfW verlangt Effizienzhaus 40 mit QNG, Mehrkosten</w:t>
            </w:r>
          </w:p>
        </w:tc>
        <w:tc>
          <w:tcPr>
            <w:tcW w:type="dxa" w:w="3855"/>
          </w:tcPr>
          <w:p>
            <w:pPr>
              <w:keepNext/>
              <w:spacing w:after="20" w:before="20"/>
            </w:pPr>
            <w:r/>
            <w:r>
              <w:rPr>
                <w:sz w:val="17"/>
              </w:rPr>
              <w:t>Energieeffizienz-Experte früh einbinden, Holzbau nutzen</w:t>
            </w:r>
          </w:p>
        </w:tc>
      </w:tr>
      <w:tr>
        <w:trPr>
          <w:cantSplit/>
        </w:trPr>
        <w:tc>
          <w:tcPr>
            <w:tcW w:type="dxa" w:w="1701"/>
          </w:tcPr>
          <w:p>
            <w:pPr>
              <w:spacing w:after="20" w:before="20"/>
            </w:pPr>
            <w:r/>
            <w:r>
              <w:rPr>
                <w:sz w:val="17"/>
              </w:rPr>
              <w:t>Baukosten</w:t>
            </w:r>
          </w:p>
        </w:tc>
        <w:tc>
          <w:tcPr>
            <w:tcW w:type="dxa" w:w="3855"/>
          </w:tcPr>
          <w:p>
            <w:pPr>
              <w:spacing w:after="20" w:before="20"/>
            </w:pPr>
            <w:r/>
            <w:r>
              <w:rPr>
                <w:sz w:val="17"/>
              </w:rPr>
              <w:t>Preise sind Annahmen (2.200 €/m²); +10 % kosten ca. 1.400 € im Monat</w:t>
            </w:r>
          </w:p>
        </w:tc>
        <w:tc>
          <w:tcPr>
            <w:tcW w:type="dxa" w:w="3855"/>
          </w:tcPr>
          <w:p>
            <w:pPr>
              <w:spacing w:after="20" w:before="20"/>
            </w:pPr>
            <w:r/>
            <w:r>
              <w:rPr>
                <w:sz w:val="17"/>
              </w:rPr>
              <w:t>Festpreisangebote Bauunternehmen und Zimmerei</w:t>
            </w:r>
          </w:p>
        </w:tc>
      </w:tr>
    </w:tbl>
    <w:p>
      <w:pPr>
        <w:spacing w:after="40"/>
      </w:pPr>
    </w:p>
    <w:p>
      <w:r>
        <w:rPr>
          <w:b w:val="0"/>
          <w:i w:val="0"/>
        </w:rPr>
        <w:t>Chancen: zentrale Lage am neuen Marktplatz, Holzbau und Eigenleistung der Partner aus dem Bekanntenkreis, zinsverbilligte KfW-Kredite, Spielraum beim Gastro-Umsatz (Terrasse, Feiern, Catering sind nicht eingerechnet).</w:t>
      </w:r>
    </w:p>
    <w:p>
      <w:pPr>
        <w:pStyle w:val="Heading1"/>
      </w:pPr>
      <w:r>
        <w:t>13  Zeitplan und nächste Schritte</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2041"/>
        <w:gridCol w:w="7370"/>
      </w:tblGrid>
      <w:tr>
        <w:trPr>
          <w:cantSplit/>
        </w:trPr>
        <w:tc>
          <w:tcPr>
            <w:tcW w:type="dxa" w:w="2041"/>
            <w:shd w:val="clear" w:color="auto" w:fill="2F4A3E"/>
          </w:tcPr>
          <w:p>
            <w:pPr>
              <w:keepNext/>
              <w:spacing w:after="20" w:before="20"/>
            </w:pPr>
            <w:r/>
            <w:r>
              <w:rPr>
                <w:b/>
                <w:color w:val="FFFFFF"/>
                <w:sz w:val="18"/>
              </w:rPr>
              <w:t>Zeitpunkt</w:t>
            </w:r>
          </w:p>
        </w:tc>
        <w:tc>
          <w:tcPr>
            <w:tcW w:type="dxa" w:w="7370"/>
            <w:shd w:val="clear" w:color="auto" w:fill="2F4A3E"/>
          </w:tcPr>
          <w:p>
            <w:pPr>
              <w:keepNext/>
              <w:spacing w:after="20" w:before="20"/>
            </w:pPr>
            <w:r/>
            <w:r>
              <w:rPr>
                <w:b/>
                <w:color w:val="FFFFFF"/>
                <w:sz w:val="18"/>
              </w:rPr>
              <w:t>Schritt</w:t>
            </w:r>
          </w:p>
        </w:tc>
      </w:tr>
      <w:tr>
        <w:trPr>
          <w:cantSplit/>
        </w:trPr>
        <w:tc>
          <w:tcPr>
            <w:tcW w:type="dxa" w:w="2041"/>
          </w:tcPr>
          <w:p>
            <w:pPr>
              <w:keepNext/>
              <w:spacing w:after="20" w:before="20"/>
            </w:pPr>
            <w:r/>
            <w:r>
              <w:rPr>
                <w:sz w:val="18"/>
              </w:rPr>
              <w:t>Oktober 2026</w:t>
            </w:r>
          </w:p>
        </w:tc>
        <w:tc>
          <w:tcPr>
            <w:tcW w:type="dxa" w:w="7370"/>
          </w:tcPr>
          <w:p>
            <w:pPr>
              <w:keepNext/>
              <w:spacing w:after="20" w:before="20"/>
            </w:pPr>
            <w:r/>
            <w:r>
              <w:rPr>
                <w:sz w:val="18"/>
              </w:rPr>
              <w:t>Gespräch mit der Stadt: Preis, Förderung, Stellplätze, Zulässigkeit der 540 m²</w:t>
            </w:r>
          </w:p>
        </w:tc>
      </w:tr>
      <w:tr>
        <w:trPr>
          <w:cantSplit/>
        </w:trPr>
        <w:tc>
          <w:tcPr>
            <w:tcW w:type="dxa" w:w="2041"/>
          </w:tcPr>
          <w:p>
            <w:pPr>
              <w:keepNext/>
              <w:spacing w:after="20" w:before="20"/>
            </w:pPr>
            <w:r/>
            <w:r>
              <w:rPr>
                <w:sz w:val="18"/>
              </w:rPr>
              <w:t>November 2026</w:t>
            </w:r>
          </w:p>
        </w:tc>
        <w:tc>
          <w:tcPr>
            <w:tcW w:type="dxa" w:w="7370"/>
          </w:tcPr>
          <w:p>
            <w:pPr>
              <w:keepNext/>
              <w:spacing w:after="20" w:before="20"/>
            </w:pPr>
            <w:r/>
            <w:r>
              <w:rPr>
                <w:sz w:val="18"/>
              </w:rPr>
              <w:t>Architekt beauftragen, Baufenster, Höhen und Geschosse schriftlich klären, Energieeffizienz-Experte für Effizienzhaus 40 und QNG</w:t>
            </w:r>
          </w:p>
        </w:tc>
      </w:tr>
      <w:tr>
        <w:trPr>
          <w:cantSplit/>
        </w:trPr>
        <w:tc>
          <w:tcPr>
            <w:tcW w:type="dxa" w:w="2041"/>
          </w:tcPr>
          <w:p>
            <w:pPr>
              <w:keepNext/>
              <w:spacing w:after="20" w:before="20"/>
            </w:pPr>
            <w:r/>
            <w:r>
              <w:rPr>
                <w:sz w:val="18"/>
              </w:rPr>
              <w:t>Dezember 2026</w:t>
            </w:r>
          </w:p>
        </w:tc>
        <w:tc>
          <w:tcPr>
            <w:tcW w:type="dxa" w:w="7370"/>
          </w:tcPr>
          <w:p>
            <w:pPr>
              <w:keepNext/>
              <w:spacing w:after="20" w:before="20"/>
            </w:pPr>
            <w:r/>
            <w:r>
              <w:rPr>
                <w:sz w:val="18"/>
              </w:rPr>
              <w:t>Hausbank: Finanzierung, Anlaufzeit, KfW 297, 298, 299 und Sicherheiten klären</w:t>
            </w:r>
          </w:p>
        </w:tc>
      </w:tr>
      <w:tr>
        <w:trPr>
          <w:cantSplit/>
        </w:trPr>
        <w:tc>
          <w:tcPr>
            <w:tcW w:type="dxa" w:w="2041"/>
          </w:tcPr>
          <w:p>
            <w:pPr>
              <w:keepNext/>
              <w:spacing w:after="20" w:before="20"/>
            </w:pPr>
            <w:r/>
            <w:r>
              <w:rPr>
                <w:sz w:val="18"/>
              </w:rPr>
              <w:t>Q1 2027</w:t>
            </w:r>
          </w:p>
        </w:tc>
        <w:tc>
          <w:tcPr>
            <w:tcW w:type="dxa" w:w="7370"/>
          </w:tcPr>
          <w:p>
            <w:pPr>
              <w:keepNext/>
              <w:spacing w:after="20" w:before="20"/>
            </w:pPr>
            <w:r/>
            <w:r>
              <w:rPr>
                <w:sz w:val="18"/>
              </w:rPr>
              <w:t>Städtebaulicher Vertrag, Bauantrag, Festpreisangebote, KfW-Antrag über die Hausbank vor Baubeginn</w:t>
            </w:r>
          </w:p>
        </w:tc>
      </w:tr>
      <w:tr>
        <w:trPr>
          <w:cantSplit/>
        </w:trPr>
        <w:tc>
          <w:tcPr>
            <w:tcW w:type="dxa" w:w="2041"/>
          </w:tcPr>
          <w:p>
            <w:pPr>
              <w:keepNext/>
              <w:spacing w:after="20" w:before="20"/>
            </w:pPr>
            <w:r/>
            <w:r>
              <w:rPr>
                <w:sz w:val="18"/>
              </w:rPr>
              <w:t>Mitte 2027</w:t>
            </w:r>
          </w:p>
        </w:tc>
        <w:tc>
          <w:tcPr>
            <w:tcW w:type="dxa" w:w="7370"/>
          </w:tcPr>
          <w:p>
            <w:pPr>
              <w:keepNext/>
              <w:spacing w:after="20" w:before="20"/>
            </w:pPr>
            <w:r/>
            <w:r>
              <w:rPr>
                <w:sz w:val="18"/>
              </w:rPr>
              <w:t>Baubeginn, 15 Monate Bauzeit</w:t>
            </w:r>
          </w:p>
        </w:tc>
      </w:tr>
      <w:tr>
        <w:trPr>
          <w:cantSplit/>
        </w:trPr>
        <w:tc>
          <w:tcPr>
            <w:tcW w:type="dxa" w:w="2041"/>
          </w:tcPr>
          <w:p>
            <w:pPr>
              <w:spacing w:after="20" w:before="20"/>
            </w:pPr>
            <w:r/>
            <w:r>
              <w:rPr>
                <w:sz w:val="18"/>
              </w:rPr>
              <w:t>Ende 2028</w:t>
            </w:r>
          </w:p>
        </w:tc>
        <w:tc>
          <w:tcPr>
            <w:tcW w:type="dxa" w:w="7370"/>
          </w:tcPr>
          <w:p>
            <w:pPr>
              <w:spacing w:after="20" w:before="20"/>
            </w:pPr>
            <w:r/>
            <w:r>
              <w:rPr>
                <w:sz w:val="18"/>
              </w:rPr>
              <w:t>Fertigstellung und Eröffnung zusammen mit der neuen Mitte</w:t>
            </w:r>
          </w:p>
        </w:tc>
      </w:tr>
    </w:tbl>
    <w:p>
      <w:pPr>
        <w:spacing w:after="40"/>
      </w:pPr>
    </w:p>
    <w:p>
      <w:pPr>
        <w:pStyle w:val="Heading1"/>
      </w:pPr>
      <w:r>
        <w:t>14  Anlagen und Unterlagen für die Bank</w:t>
      </w:r>
    </w:p>
    <w:p>
      <w:r>
        <w:rPr>
          <w:b w:val="0"/>
          <w:i w:val="0"/>
        </w:rPr>
        <w:t>Das Rechenmodell Bankunterlagen_Baufeld3.xlsx enthält Übersicht, Annahmen, Flächen und Mieten, Kosten und Finanzierungsplan, Bauphase, Abzahlungsplan (monatlich und jährlich), Ertrag und Kapitaldienst, Gastro-Betrieb, Ertragswert, Prognose, Belastungstest, Airbnb-Prüfung und die vollständige Checkliste der Unterlagen. Die wichtigsten Unterlagen:</w:t>
      </w:r>
    </w:p>
    <w:tbl>
      <w:tblPr>
        <w:tblW w:type="auto" w:w="0"/>
        <w:jc w:val="center"/>
        <w:tblLayout w:type="fixed"/>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Layout w:type="fixed"/>
      </w:tblPr>
      <w:tblGrid>
        <w:gridCol w:w="680"/>
        <w:gridCol w:w="7030"/>
        <w:gridCol w:w="1701"/>
      </w:tblGrid>
      <w:tr>
        <w:trPr>
          <w:cantSplit/>
        </w:trPr>
        <w:tc>
          <w:tcPr>
            <w:tcW w:type="dxa" w:w="680"/>
            <w:shd w:val="clear" w:color="auto" w:fill="2F4A3E"/>
          </w:tcPr>
          <w:p>
            <w:pPr>
              <w:spacing w:after="20" w:before="20"/>
            </w:pPr>
            <w:r/>
            <w:r>
              <w:rPr>
                <w:b/>
                <w:color w:val="FFFFFF"/>
                <w:sz w:val="17"/>
              </w:rPr>
              <w:t>Nr.</w:t>
            </w:r>
          </w:p>
        </w:tc>
        <w:tc>
          <w:tcPr>
            <w:tcW w:type="dxa" w:w="7030"/>
            <w:shd w:val="clear" w:color="auto" w:fill="2F4A3E"/>
          </w:tcPr>
          <w:p>
            <w:pPr>
              <w:spacing w:after="20" w:before="20"/>
            </w:pPr>
            <w:r/>
            <w:r>
              <w:rPr>
                <w:b/>
                <w:color w:val="FFFFFF"/>
                <w:sz w:val="17"/>
              </w:rPr>
              <w:t>Unterlage</w:t>
            </w:r>
          </w:p>
        </w:tc>
        <w:tc>
          <w:tcPr>
            <w:tcW w:type="dxa" w:w="1701"/>
            <w:shd w:val="clear" w:color="auto" w:fill="2F4A3E"/>
          </w:tcPr>
          <w:p>
            <w:pPr>
              <w:spacing w:after="20" w:before="20"/>
            </w:pPr>
            <w:r/>
            <w:r>
              <w:rPr>
                <w:b/>
                <w:color w:val="FFFFFF"/>
                <w:sz w:val="17"/>
              </w:rPr>
              <w:t>Status</w:t>
            </w:r>
          </w:p>
        </w:tc>
      </w:tr>
      <w:tr>
        <w:trPr>
          <w:cantSplit/>
        </w:trPr>
        <w:tc>
          <w:tcPr>
            <w:tcW w:type="dxa" w:w="680"/>
          </w:tcPr>
          <w:p>
            <w:pPr>
              <w:spacing w:after="20" w:before="20"/>
            </w:pPr>
            <w:r/>
            <w:r>
              <w:rPr>
                <w:sz w:val="17"/>
              </w:rPr>
              <w:t>1</w:t>
            </w:r>
          </w:p>
        </w:tc>
        <w:tc>
          <w:tcPr>
            <w:tcW w:type="dxa" w:w="7030"/>
          </w:tcPr>
          <w:p>
            <w:pPr>
              <w:spacing w:after="20" w:before="20"/>
            </w:pPr>
            <w:r/>
            <w:r>
              <w:rPr>
                <w:sz w:val="17"/>
              </w:rPr>
              <w:t>Projekt: Businessplan (Word) und Präsentation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2</w:t>
            </w:r>
          </w:p>
        </w:tc>
        <w:tc>
          <w:tcPr>
            <w:tcW w:type="dxa" w:w="7030"/>
          </w:tcPr>
          <w:p>
            <w:pPr>
              <w:spacing w:after="20" w:before="20"/>
            </w:pPr>
            <w:r/>
            <w:r>
              <w:rPr>
                <w:sz w:val="17"/>
              </w:rPr>
              <w:t>Projekt: Rechenmodell mit Finanzierungs- und Tilgungsplan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3</w:t>
            </w:r>
          </w:p>
        </w:tc>
        <w:tc>
          <w:tcPr>
            <w:tcW w:type="dxa" w:w="7030"/>
          </w:tcPr>
          <w:p>
            <w:pPr>
              <w:spacing w:after="20" w:before="20"/>
            </w:pPr>
            <w:r/>
            <w:r>
              <w:rPr>
                <w:sz w:val="17"/>
              </w:rPr>
              <w:t>Projekt: Gastro-Konzept mit Gestaltung</w:t>
            </w:r>
          </w:p>
        </w:tc>
        <w:tc>
          <w:tcPr>
            <w:tcW w:type="dxa" w:w="1701"/>
          </w:tcPr>
          <w:p>
            <w:pPr>
              <w:spacing w:after="20" w:before="20"/>
            </w:pPr>
            <w:r/>
            <w:r>
              <w:rPr>
                <w:sz w:val="17"/>
              </w:rPr>
              <w:t>vorhanden</w:t>
            </w:r>
          </w:p>
        </w:tc>
      </w:tr>
      <w:tr>
        <w:trPr>
          <w:cantSplit/>
        </w:trPr>
        <w:tc>
          <w:tcPr>
            <w:tcW w:type="dxa" w:w="680"/>
          </w:tcPr>
          <w:p>
            <w:pPr>
              <w:spacing w:after="20" w:before="20"/>
            </w:pPr>
            <w:r/>
            <w:r>
              <w:rPr>
                <w:sz w:val="17"/>
              </w:rPr>
              <w:t>4</w:t>
            </w:r>
          </w:p>
        </w:tc>
        <w:tc>
          <w:tcPr>
            <w:tcW w:type="dxa" w:w="7030"/>
          </w:tcPr>
          <w:p>
            <w:pPr>
              <w:spacing w:after="20" w:before="20"/>
            </w:pPr>
            <w:r/>
            <w:r>
              <w:rPr>
                <w:sz w:val="17"/>
              </w:rPr>
              <w:t>Projekt: Lageplan, Flurkarte, Grundbuchauszug</w:t>
            </w:r>
          </w:p>
        </w:tc>
        <w:tc>
          <w:tcPr>
            <w:tcW w:type="dxa" w:w="1701"/>
          </w:tcPr>
          <w:p>
            <w:pPr>
              <w:spacing w:after="20" w:before="20"/>
            </w:pPr>
            <w:r/>
            <w:r>
              <w:rPr>
                <w:sz w:val="17"/>
              </w:rPr>
              <w:t>offen</w:t>
            </w:r>
          </w:p>
        </w:tc>
      </w:tr>
      <w:tr>
        <w:trPr>
          <w:cantSplit/>
        </w:trPr>
        <w:tc>
          <w:tcPr>
            <w:tcW w:type="dxa" w:w="680"/>
          </w:tcPr>
          <w:p>
            <w:pPr>
              <w:spacing w:after="20" w:before="20"/>
            </w:pPr>
            <w:r/>
            <w:r>
              <w:rPr>
                <w:sz w:val="17"/>
              </w:rPr>
              <w:t>5</w:t>
            </w:r>
          </w:p>
        </w:tc>
        <w:tc>
          <w:tcPr>
            <w:tcW w:type="dxa" w:w="7030"/>
          </w:tcPr>
          <w:p>
            <w:pPr>
              <w:spacing w:after="20" w:before="20"/>
            </w:pPr>
            <w:r/>
            <w:r>
              <w:rPr>
                <w:sz w:val="17"/>
              </w:rPr>
              <w:t>Projekt: Bebauungsplan Nr. 123, 1. Änderung und Konzeptheft</w:t>
            </w:r>
          </w:p>
        </w:tc>
        <w:tc>
          <w:tcPr>
            <w:tcW w:type="dxa" w:w="1701"/>
          </w:tcPr>
          <w:p>
            <w:pPr>
              <w:spacing w:after="20" w:before="20"/>
            </w:pPr>
            <w:r/>
            <w:r>
              <w:rPr>
                <w:sz w:val="17"/>
              </w:rPr>
              <w:t>teilweise</w:t>
            </w:r>
          </w:p>
        </w:tc>
      </w:tr>
      <w:tr>
        <w:trPr>
          <w:cantSplit/>
        </w:trPr>
        <w:tc>
          <w:tcPr>
            <w:tcW w:type="dxa" w:w="680"/>
          </w:tcPr>
          <w:p>
            <w:pPr>
              <w:spacing w:after="20" w:before="20"/>
            </w:pPr>
            <w:r/>
            <w:r>
              <w:rPr>
                <w:sz w:val="17"/>
              </w:rPr>
              <w:t>6</w:t>
            </w:r>
          </w:p>
        </w:tc>
        <w:tc>
          <w:tcPr>
            <w:tcW w:type="dxa" w:w="7030"/>
          </w:tcPr>
          <w:p>
            <w:pPr>
              <w:spacing w:after="20" w:before="20"/>
            </w:pPr>
            <w:r/>
            <w:r>
              <w:rPr>
                <w:sz w:val="17"/>
              </w:rPr>
              <w:t>Projekt: Grundstückskaufvertrag oder Reservierung der Stadt</w:t>
            </w:r>
          </w:p>
        </w:tc>
        <w:tc>
          <w:tcPr>
            <w:tcW w:type="dxa" w:w="1701"/>
          </w:tcPr>
          <w:p>
            <w:pPr>
              <w:spacing w:after="20" w:before="20"/>
            </w:pPr>
            <w:r/>
            <w:r>
              <w:rPr>
                <w:sz w:val="17"/>
              </w:rPr>
              <w:t>offen</w:t>
            </w:r>
          </w:p>
        </w:tc>
      </w:tr>
      <w:tr>
        <w:trPr>
          <w:cantSplit/>
        </w:trPr>
        <w:tc>
          <w:tcPr>
            <w:tcW w:type="dxa" w:w="680"/>
          </w:tcPr>
          <w:p>
            <w:pPr>
              <w:spacing w:after="20" w:before="20"/>
            </w:pPr>
            <w:r/>
            <w:r>
              <w:rPr>
                <w:sz w:val="17"/>
              </w:rPr>
              <w:t>7</w:t>
            </w:r>
          </w:p>
        </w:tc>
        <w:tc>
          <w:tcPr>
            <w:tcW w:type="dxa" w:w="7030"/>
          </w:tcPr>
          <w:p>
            <w:pPr>
              <w:spacing w:after="20" w:before="20"/>
            </w:pPr>
            <w:r/>
            <w:r>
              <w:rPr>
                <w:sz w:val="17"/>
              </w:rPr>
              <w:t>Bau: Entwurfspläne, Flächen- und Wohnflächenberechnung</w:t>
            </w:r>
          </w:p>
        </w:tc>
        <w:tc>
          <w:tcPr>
            <w:tcW w:type="dxa" w:w="1701"/>
          </w:tcPr>
          <w:p>
            <w:pPr>
              <w:spacing w:after="20" w:before="20"/>
            </w:pPr>
            <w:r/>
            <w:r>
              <w:rPr>
                <w:sz w:val="17"/>
              </w:rPr>
              <w:t>offen</w:t>
            </w:r>
          </w:p>
        </w:tc>
      </w:tr>
      <w:tr>
        <w:trPr>
          <w:cantSplit/>
        </w:trPr>
        <w:tc>
          <w:tcPr>
            <w:tcW w:type="dxa" w:w="680"/>
          </w:tcPr>
          <w:p>
            <w:pPr>
              <w:spacing w:after="20" w:before="20"/>
            </w:pPr>
            <w:r/>
            <w:r>
              <w:rPr>
                <w:sz w:val="17"/>
              </w:rPr>
              <w:t>8</w:t>
            </w:r>
          </w:p>
        </w:tc>
        <w:tc>
          <w:tcPr>
            <w:tcW w:type="dxa" w:w="7030"/>
          </w:tcPr>
          <w:p>
            <w:pPr>
              <w:spacing w:after="20" w:before="20"/>
            </w:pPr>
            <w:r/>
            <w:r>
              <w:rPr>
                <w:sz w:val="17"/>
              </w:rPr>
              <w:t>Bau: Baubeschreibung</w:t>
            </w:r>
          </w:p>
        </w:tc>
        <w:tc>
          <w:tcPr>
            <w:tcW w:type="dxa" w:w="1701"/>
          </w:tcPr>
          <w:p>
            <w:pPr>
              <w:spacing w:after="20" w:before="20"/>
            </w:pPr>
            <w:r/>
            <w:r>
              <w:rPr>
                <w:sz w:val="17"/>
              </w:rPr>
              <w:t>offen</w:t>
            </w:r>
          </w:p>
        </w:tc>
      </w:tr>
      <w:tr>
        <w:trPr>
          <w:cantSplit/>
        </w:trPr>
        <w:tc>
          <w:tcPr>
            <w:tcW w:type="dxa" w:w="680"/>
          </w:tcPr>
          <w:p>
            <w:pPr>
              <w:spacing w:after="20" w:before="20"/>
            </w:pPr>
            <w:r/>
            <w:r>
              <w:rPr>
                <w:sz w:val="17"/>
              </w:rPr>
              <w:t>9</w:t>
            </w:r>
          </w:p>
        </w:tc>
        <w:tc>
          <w:tcPr>
            <w:tcW w:type="dxa" w:w="7030"/>
          </w:tcPr>
          <w:p>
            <w:pPr>
              <w:spacing w:after="20" w:before="20"/>
            </w:pPr>
            <w:r/>
            <w:r>
              <w:rPr>
                <w:sz w:val="17"/>
              </w:rPr>
              <w:t>Bau: Bauvoranfrage oder Baugenehmigung</w:t>
            </w:r>
          </w:p>
        </w:tc>
        <w:tc>
          <w:tcPr>
            <w:tcW w:type="dxa" w:w="1701"/>
          </w:tcPr>
          <w:p>
            <w:pPr>
              <w:spacing w:after="20" w:before="20"/>
            </w:pPr>
            <w:r/>
            <w:r>
              <w:rPr>
                <w:sz w:val="17"/>
              </w:rPr>
              <w:t>offen</w:t>
            </w:r>
          </w:p>
        </w:tc>
      </w:tr>
      <w:tr>
        <w:trPr>
          <w:cantSplit/>
        </w:trPr>
        <w:tc>
          <w:tcPr>
            <w:tcW w:type="dxa" w:w="680"/>
          </w:tcPr>
          <w:p>
            <w:pPr>
              <w:spacing w:after="20" w:before="20"/>
            </w:pPr>
            <w:r/>
            <w:r>
              <w:rPr>
                <w:sz w:val="17"/>
              </w:rPr>
              <w:t>10</w:t>
            </w:r>
          </w:p>
        </w:tc>
        <w:tc>
          <w:tcPr>
            <w:tcW w:type="dxa" w:w="7030"/>
          </w:tcPr>
          <w:p>
            <w:pPr>
              <w:spacing w:after="20" w:before="20"/>
            </w:pPr>
            <w:r/>
            <w:r>
              <w:rPr>
                <w:sz w:val="17"/>
              </w:rPr>
              <w:t>Bau: Kostenberechnung nach DIN 276 und Angebote</w:t>
            </w:r>
          </w:p>
        </w:tc>
        <w:tc>
          <w:tcPr>
            <w:tcW w:type="dxa" w:w="1701"/>
          </w:tcPr>
          <w:p>
            <w:pPr>
              <w:spacing w:after="20" w:before="20"/>
            </w:pPr>
            <w:r/>
            <w:r>
              <w:rPr>
                <w:sz w:val="17"/>
              </w:rPr>
              <w:t>offen</w:t>
            </w:r>
          </w:p>
        </w:tc>
      </w:tr>
      <w:tr>
        <w:trPr>
          <w:cantSplit/>
        </w:trPr>
        <w:tc>
          <w:tcPr>
            <w:tcW w:type="dxa" w:w="680"/>
          </w:tcPr>
          <w:p>
            <w:pPr>
              <w:spacing w:after="20" w:before="20"/>
            </w:pPr>
            <w:r/>
            <w:r>
              <w:rPr>
                <w:sz w:val="17"/>
              </w:rPr>
              <w:t>11</w:t>
            </w:r>
          </w:p>
        </w:tc>
        <w:tc>
          <w:tcPr>
            <w:tcW w:type="dxa" w:w="7030"/>
          </w:tcPr>
          <w:p>
            <w:pPr>
              <w:spacing w:after="20" w:before="20"/>
            </w:pPr>
            <w:r/>
            <w:r>
              <w:rPr>
                <w:sz w:val="17"/>
              </w:rPr>
              <w:t>Bau: Bauzeitenplan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12</w:t>
            </w:r>
          </w:p>
        </w:tc>
        <w:tc>
          <w:tcPr>
            <w:tcW w:type="dxa" w:w="7030"/>
          </w:tcPr>
          <w:p>
            <w:pPr>
              <w:spacing w:after="20" w:before="20"/>
            </w:pPr>
            <w:r/>
            <w:r>
              <w:rPr>
                <w:sz w:val="17"/>
              </w:rPr>
              <w:t>KfW: Bestätigung Energieeffizienz-Experte (Effizienzhaus 40)</w:t>
            </w:r>
          </w:p>
        </w:tc>
        <w:tc>
          <w:tcPr>
            <w:tcW w:type="dxa" w:w="1701"/>
          </w:tcPr>
          <w:p>
            <w:pPr>
              <w:spacing w:after="20" w:before="20"/>
            </w:pPr>
            <w:r/>
            <w:r>
              <w:rPr>
                <w:sz w:val="17"/>
              </w:rPr>
              <w:t>offen</w:t>
            </w:r>
          </w:p>
        </w:tc>
      </w:tr>
      <w:tr>
        <w:trPr>
          <w:cantSplit/>
        </w:trPr>
        <w:tc>
          <w:tcPr>
            <w:tcW w:type="dxa" w:w="680"/>
          </w:tcPr>
          <w:p>
            <w:pPr>
              <w:spacing w:after="20" w:before="20"/>
            </w:pPr>
            <w:r/>
            <w:r>
              <w:rPr>
                <w:sz w:val="17"/>
              </w:rPr>
              <w:t>13</w:t>
            </w:r>
          </w:p>
        </w:tc>
        <w:tc>
          <w:tcPr>
            <w:tcW w:type="dxa" w:w="7030"/>
          </w:tcPr>
          <w:p>
            <w:pPr>
              <w:spacing w:after="20" w:before="20"/>
            </w:pPr>
            <w:r/>
            <w:r>
              <w:rPr>
                <w:sz w:val="17"/>
              </w:rPr>
              <w:t>KfW: QNG-Zertifizierung (Konzept und Zertifizierer)</w:t>
            </w:r>
          </w:p>
        </w:tc>
        <w:tc>
          <w:tcPr>
            <w:tcW w:type="dxa" w:w="1701"/>
          </w:tcPr>
          <w:p>
            <w:pPr>
              <w:spacing w:after="20" w:before="20"/>
            </w:pPr>
            <w:r/>
            <w:r>
              <w:rPr>
                <w:sz w:val="17"/>
              </w:rPr>
              <w:t>offen</w:t>
            </w:r>
          </w:p>
        </w:tc>
      </w:tr>
      <w:tr>
        <w:trPr>
          <w:cantSplit/>
        </w:trPr>
        <w:tc>
          <w:tcPr>
            <w:tcW w:type="dxa" w:w="680"/>
          </w:tcPr>
          <w:p>
            <w:pPr>
              <w:spacing w:after="20" w:before="20"/>
            </w:pPr>
            <w:r/>
            <w:r>
              <w:rPr>
                <w:sz w:val="17"/>
              </w:rPr>
              <w:t>14</w:t>
            </w:r>
          </w:p>
        </w:tc>
        <w:tc>
          <w:tcPr>
            <w:tcW w:type="dxa" w:w="7030"/>
          </w:tcPr>
          <w:p>
            <w:pPr>
              <w:spacing w:after="20" w:before="20"/>
            </w:pPr>
            <w:r/>
            <w:r>
              <w:rPr>
                <w:sz w:val="17"/>
              </w:rPr>
              <w:t>KfW: Heizkonzept ohne Öl, Gas und Biomasse</w:t>
            </w:r>
          </w:p>
        </w:tc>
        <w:tc>
          <w:tcPr>
            <w:tcW w:type="dxa" w:w="1701"/>
          </w:tcPr>
          <w:p>
            <w:pPr>
              <w:spacing w:after="20" w:before="20"/>
            </w:pPr>
            <w:r/>
            <w:r>
              <w:rPr>
                <w:sz w:val="17"/>
              </w:rPr>
              <w:t>offen</w:t>
            </w:r>
          </w:p>
        </w:tc>
      </w:tr>
      <w:tr>
        <w:trPr>
          <w:cantSplit/>
        </w:trPr>
        <w:tc>
          <w:tcPr>
            <w:tcW w:type="dxa" w:w="680"/>
          </w:tcPr>
          <w:p>
            <w:pPr>
              <w:spacing w:after="20" w:before="20"/>
            </w:pPr>
            <w:r/>
            <w:r>
              <w:rPr>
                <w:sz w:val="17"/>
              </w:rPr>
              <w:t>15</w:t>
            </w:r>
          </w:p>
        </w:tc>
        <w:tc>
          <w:tcPr>
            <w:tcW w:type="dxa" w:w="7030"/>
          </w:tcPr>
          <w:p>
            <w:pPr>
              <w:spacing w:after="20" w:before="20"/>
            </w:pPr>
            <w:r/>
            <w:r>
              <w:rPr>
                <w:sz w:val="17"/>
              </w:rPr>
              <w:t>Einnahmen: Mietaufstellung und Mietkalkulation</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16</w:t>
            </w:r>
          </w:p>
        </w:tc>
        <w:tc>
          <w:tcPr>
            <w:tcW w:type="dxa" w:w="7030"/>
          </w:tcPr>
          <w:p>
            <w:pPr>
              <w:spacing w:after="20" w:before="20"/>
            </w:pPr>
            <w:r/>
            <w:r>
              <w:rPr>
                <w:sz w:val="17"/>
              </w:rPr>
              <w:t>Einnahmen: Pachtvertrag Gastro (Entwurf)</w:t>
            </w:r>
          </w:p>
        </w:tc>
        <w:tc>
          <w:tcPr>
            <w:tcW w:type="dxa" w:w="1701"/>
          </w:tcPr>
          <w:p>
            <w:pPr>
              <w:spacing w:after="20" w:before="20"/>
            </w:pPr>
            <w:r/>
            <w:r>
              <w:rPr>
                <w:sz w:val="17"/>
              </w:rPr>
              <w:t>offen</w:t>
            </w:r>
          </w:p>
        </w:tc>
      </w:tr>
      <w:tr>
        <w:trPr>
          <w:cantSplit/>
        </w:trPr>
        <w:tc>
          <w:tcPr>
            <w:tcW w:type="dxa" w:w="680"/>
          </w:tcPr>
          <w:p>
            <w:pPr>
              <w:spacing w:after="20" w:before="20"/>
            </w:pPr>
            <w:r/>
            <w:r>
              <w:rPr>
                <w:sz w:val="17"/>
              </w:rPr>
              <w:t>17</w:t>
            </w:r>
          </w:p>
        </w:tc>
        <w:tc>
          <w:tcPr>
            <w:tcW w:type="dxa" w:w="7030"/>
          </w:tcPr>
          <w:p>
            <w:pPr>
              <w:spacing w:after="20" w:before="20"/>
            </w:pPr>
            <w:r/>
            <w:r>
              <w:rPr>
                <w:sz w:val="17"/>
              </w:rPr>
              <w:t>Einnahmen: Vorvermietungsabsichten</w:t>
            </w:r>
          </w:p>
        </w:tc>
        <w:tc>
          <w:tcPr>
            <w:tcW w:type="dxa" w:w="1701"/>
          </w:tcPr>
          <w:p>
            <w:pPr>
              <w:spacing w:after="20" w:before="20"/>
            </w:pPr>
            <w:r/>
            <w:r>
              <w:rPr>
                <w:sz w:val="17"/>
              </w:rPr>
              <w:t>offen</w:t>
            </w:r>
          </w:p>
        </w:tc>
      </w:tr>
      <w:tr>
        <w:trPr>
          <w:cantSplit/>
        </w:trPr>
        <w:tc>
          <w:tcPr>
            <w:tcW w:type="dxa" w:w="680"/>
          </w:tcPr>
          <w:p>
            <w:pPr>
              <w:spacing w:after="20" w:before="20"/>
            </w:pPr>
            <w:r/>
            <w:r>
              <w:rPr>
                <w:sz w:val="17"/>
              </w:rPr>
              <w:t>18</w:t>
            </w:r>
          </w:p>
        </w:tc>
        <w:tc>
          <w:tcPr>
            <w:tcW w:type="dxa" w:w="7030"/>
          </w:tcPr>
          <w:p>
            <w:pPr>
              <w:spacing w:after="20" w:before="20"/>
            </w:pPr>
            <w:r/>
            <w:r>
              <w:rPr>
                <w:sz w:val="17"/>
              </w:rPr>
              <w:t>Betrieb: Gastro-Kalkulation mit Wareneinsatz, Personal, Umsatz</w:t>
            </w:r>
          </w:p>
        </w:tc>
        <w:tc>
          <w:tcPr>
            <w:tcW w:type="dxa" w:w="1701"/>
          </w:tcPr>
          <w:p>
            <w:pPr>
              <w:spacing w:after="20" w:before="20"/>
            </w:pPr>
            <w:r/>
            <w:r>
              <w:rPr>
                <w:sz w:val="17"/>
              </w:rPr>
              <w:t>vorhanden</w:t>
            </w:r>
          </w:p>
        </w:tc>
      </w:tr>
      <w:tr>
        <w:trPr>
          <w:cantSplit/>
        </w:trPr>
        <w:tc>
          <w:tcPr>
            <w:tcW w:type="dxa" w:w="680"/>
          </w:tcPr>
          <w:p>
            <w:pPr>
              <w:spacing w:after="20" w:before="20"/>
            </w:pPr>
            <w:r/>
            <w:r>
              <w:rPr>
                <w:sz w:val="17"/>
              </w:rPr>
              <w:t>19</w:t>
            </w:r>
          </w:p>
        </w:tc>
        <w:tc>
          <w:tcPr>
            <w:tcW w:type="dxa" w:w="7030"/>
          </w:tcPr>
          <w:p>
            <w:pPr>
              <w:spacing w:after="20" w:before="20"/>
            </w:pPr>
            <w:r/>
            <w:r>
              <w:rPr>
                <w:sz w:val="17"/>
              </w:rPr>
              <w:t>Betrieb: Nachweis Gastro-Erfahrung, Lebenslauf, Konzession</w:t>
            </w:r>
          </w:p>
        </w:tc>
        <w:tc>
          <w:tcPr>
            <w:tcW w:type="dxa" w:w="1701"/>
          </w:tcPr>
          <w:p>
            <w:pPr>
              <w:spacing w:after="20" w:before="20"/>
            </w:pPr>
            <w:r/>
            <w:r>
              <w:rPr>
                <w:sz w:val="17"/>
              </w:rPr>
              <w:t>offen</w:t>
            </w:r>
          </w:p>
        </w:tc>
      </w:tr>
      <w:tr>
        <w:trPr>
          <w:cantSplit/>
        </w:trPr>
        <w:tc>
          <w:tcPr>
            <w:tcW w:type="dxa" w:w="680"/>
          </w:tcPr>
          <w:p>
            <w:pPr>
              <w:spacing w:after="20" w:before="20"/>
            </w:pPr>
            <w:r/>
            <w:r>
              <w:rPr>
                <w:sz w:val="17"/>
              </w:rPr>
              <w:t>20</w:t>
            </w:r>
          </w:p>
        </w:tc>
        <w:tc>
          <w:tcPr>
            <w:tcW w:type="dxa" w:w="7030"/>
          </w:tcPr>
          <w:p>
            <w:pPr>
              <w:spacing w:after="20" w:before="20"/>
            </w:pPr>
            <w:r/>
            <w:r>
              <w:rPr>
                <w:sz w:val="17"/>
              </w:rPr>
              <w:t>Person: Selbstauskunft und Vermögensübersicht</w:t>
            </w:r>
          </w:p>
        </w:tc>
        <w:tc>
          <w:tcPr>
            <w:tcW w:type="dxa" w:w="1701"/>
          </w:tcPr>
          <w:p>
            <w:pPr>
              <w:spacing w:after="20" w:before="20"/>
            </w:pPr>
            <w:r/>
            <w:r>
              <w:rPr>
                <w:sz w:val="17"/>
              </w:rPr>
              <w:t>offen</w:t>
            </w:r>
          </w:p>
        </w:tc>
      </w:tr>
      <w:tr>
        <w:trPr>
          <w:cantSplit/>
        </w:trPr>
        <w:tc>
          <w:tcPr>
            <w:tcW w:type="dxa" w:w="680"/>
          </w:tcPr>
          <w:p>
            <w:pPr>
              <w:spacing w:after="20" w:before="20"/>
            </w:pPr>
            <w:r/>
            <w:r>
              <w:rPr>
                <w:sz w:val="17"/>
              </w:rPr>
              <w:t>21</w:t>
            </w:r>
          </w:p>
        </w:tc>
        <w:tc>
          <w:tcPr>
            <w:tcW w:type="dxa" w:w="7030"/>
          </w:tcPr>
          <w:p>
            <w:pPr>
              <w:spacing w:after="20" w:before="20"/>
            </w:pPr>
            <w:r/>
            <w:r>
              <w:rPr>
                <w:sz w:val="17"/>
              </w:rPr>
              <w:t>Person: Einkommensnachweise, Steuerbescheide, BWA, Schufa</w:t>
            </w:r>
          </w:p>
        </w:tc>
        <w:tc>
          <w:tcPr>
            <w:tcW w:type="dxa" w:w="1701"/>
          </w:tcPr>
          <w:p>
            <w:pPr>
              <w:spacing w:after="20" w:before="20"/>
            </w:pPr>
            <w:r/>
            <w:r>
              <w:rPr>
                <w:sz w:val="17"/>
              </w:rPr>
              <w:t>offen</w:t>
            </w:r>
          </w:p>
        </w:tc>
      </w:tr>
      <w:tr>
        <w:trPr>
          <w:cantSplit/>
        </w:trPr>
        <w:tc>
          <w:tcPr>
            <w:tcW w:type="dxa" w:w="680"/>
          </w:tcPr>
          <w:p>
            <w:pPr>
              <w:spacing w:after="20" w:before="20"/>
            </w:pPr>
            <w:r/>
            <w:r>
              <w:rPr>
                <w:sz w:val="17"/>
              </w:rPr>
              <w:t>22</w:t>
            </w:r>
          </w:p>
        </w:tc>
        <w:tc>
          <w:tcPr>
            <w:tcW w:type="dxa" w:w="7030"/>
          </w:tcPr>
          <w:p>
            <w:pPr>
              <w:spacing w:after="20" w:before="20"/>
            </w:pPr>
            <w:r/>
            <w:r>
              <w:rPr>
                <w:sz w:val="17"/>
              </w:rPr>
              <w:t>Person: Nachweis weiterer Sicherheiten</w:t>
            </w:r>
          </w:p>
        </w:tc>
        <w:tc>
          <w:tcPr>
            <w:tcW w:type="dxa" w:w="1701"/>
          </w:tcPr>
          <w:p>
            <w:pPr>
              <w:spacing w:after="20" w:before="20"/>
            </w:pPr>
            <w:r/>
            <w:r>
              <w:rPr>
                <w:sz w:val="17"/>
              </w:rPr>
              <w:t>offen</w:t>
            </w:r>
          </w:p>
        </w:tc>
      </w:tr>
      <w:tr>
        <w:trPr>
          <w:cantSplit/>
        </w:trPr>
        <w:tc>
          <w:tcPr>
            <w:tcW w:type="dxa" w:w="680"/>
          </w:tcPr>
          <w:p>
            <w:pPr>
              <w:spacing w:after="20" w:before="20"/>
            </w:pPr>
            <w:r/>
            <w:r>
              <w:rPr>
                <w:sz w:val="17"/>
              </w:rPr>
              <w:t>23</w:t>
            </w:r>
          </w:p>
        </w:tc>
        <w:tc>
          <w:tcPr>
            <w:tcW w:type="dxa" w:w="7030"/>
          </w:tcPr>
          <w:p>
            <w:pPr>
              <w:spacing w:after="20" w:before="20"/>
            </w:pPr>
            <w:r/>
            <w:r>
              <w:rPr>
                <w:sz w:val="17"/>
              </w:rPr>
              <w:t>Sicherheit: Wertermittlung / Beleihungswert</w:t>
            </w:r>
          </w:p>
        </w:tc>
        <w:tc>
          <w:tcPr>
            <w:tcW w:type="dxa" w:w="1701"/>
          </w:tcPr>
          <w:p>
            <w:pPr>
              <w:spacing w:after="20" w:before="20"/>
            </w:pPr>
            <w:r/>
            <w:r>
              <w:rPr>
                <w:sz w:val="17"/>
              </w:rPr>
              <w:t>offen</w:t>
            </w:r>
          </w:p>
        </w:tc>
      </w:tr>
      <w:tr>
        <w:trPr>
          <w:cantSplit/>
        </w:trPr>
        <w:tc>
          <w:tcPr>
            <w:tcW w:type="dxa" w:w="680"/>
          </w:tcPr>
          <w:p>
            <w:pPr>
              <w:spacing w:after="20" w:before="20"/>
            </w:pPr>
            <w:r/>
            <w:r>
              <w:rPr>
                <w:sz w:val="17"/>
              </w:rPr>
              <w:t>24</w:t>
            </w:r>
          </w:p>
        </w:tc>
        <w:tc>
          <w:tcPr>
            <w:tcW w:type="dxa" w:w="7030"/>
          </w:tcPr>
          <w:p>
            <w:pPr>
              <w:spacing w:after="20" w:before="20"/>
            </w:pPr>
            <w:r/>
            <w:r>
              <w:rPr>
                <w:sz w:val="17"/>
              </w:rPr>
              <w:t>Sicherheit: Versicherungen</w:t>
            </w:r>
          </w:p>
        </w:tc>
        <w:tc>
          <w:tcPr>
            <w:tcW w:type="dxa" w:w="1701"/>
          </w:tcPr>
          <w:p>
            <w:pPr>
              <w:spacing w:after="20" w:before="20"/>
            </w:pPr>
            <w:r/>
            <w:r>
              <w:rPr>
                <w:sz w:val="17"/>
              </w:rPr>
              <w:t>offen</w:t>
            </w:r>
          </w:p>
        </w:tc>
      </w:tr>
    </w:tbl>
    <w:p>
      <w:pPr>
        <w:spacing w:after="40"/>
      </w:pPr>
    </w:p>
    <w:p>
      <w:r>
        <w:rPr>
          <w:b w:val="0"/>
          <w:i/>
          <w:color w:val="5B6770"/>
          <w:sz w:val="18"/>
        </w:rPr>
        <w:t>Weitere Anlagen: Präsentation (Neue-Mitte-Werlte_Baufeld3_8-Wohnungen_Grosse-Gastro-EG.pptx), Gastro-Konzept (Neue-Mitte-Werlte_Baufeld3_Gastro-Konzept.pptx).</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6"/>
      </w:rPr>
      <w:t xml:space="preserve">Businessplan Baufeld 3, Neue Mitte Werlte  |  Seite </w:t>
    </w:r>
    <w:r>
      <w:rPr>
        <w:color w:val="5B677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Georgia" w:hAnsi="Georgia" w:eastAsia="Georgia"/>
      <w:b w:val="0"/>
      <w:bCs/>
      <w:color w:val="8C3B32"/>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eastAsia="Georgia"/>
      <w:b w:val="0"/>
      <w:bCs/>
      <w:color w:val="2F4A3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b w:val="0"/>
      <w:color w:val="2F4A3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