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Restaurant, Bar und 12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Restaurant und Bar im Erdgeschoss, 2 Büro-Ankermieter und 5 Wohnungen im 1. Obergeschoss, 7 Wohnungen im Staffelgeschoss in Holzbau</w:t>
            </w:r>
          </w:p>
        </w:tc>
      </w:tr>
      <w:tr>
        <w:trPr>
          <w:cantSplit/>
        </w:trPr>
        <w:tc>
          <w:tcPr>
            <w:tcW w:type="dxa" w:w="2268"/>
          </w:tcPr>
          <w:p>
            <w:pPr>
              <w:keepNext/>
              <w:spacing w:after="20" w:before="20"/>
            </w:pPr>
            <w:r/>
            <w:r>
              <w:rPr>
                <w:sz w:val="20"/>
              </w:rPr>
              <w:t>Struktur</w:t>
            </w:r>
          </w:p>
        </w:tc>
        <w:tc>
          <w:tcPr>
            <w:tcW w:type="dxa" w:w="7143"/>
          </w:tcPr>
          <w:p>
            <w:pPr>
              <w:keepNext/>
              <w:spacing w:after="20" w:before="20"/>
            </w:pPr>
            <w:r/>
            <w:r>
              <w:rPr>
                <w:sz w:val="20"/>
              </w:rPr>
              <w:t>Vermietungs-GbR (Eigentümerin, Gesellschafter als Investoren) und eigene Betreiberfirma für die Gastro, die Pacht zahlt</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4.894.879 € (Basis ohne Eigenkapital), davon KfW-Kredite 2.947.500 €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liegen Restaurant und Bar mit ca. 510 m² und ca. 190 Plätzen. Im 1. Obergeschoss mieten zwei Ankermieter Büros (100 m² Versicherungsgesellschaft o. ä., 65 m² Makler o. ä., 10 Jahre fest), dazu kommen 5 Wohnungen. Im Staffelgeschoss in Holzbau liegen 7 Wohnungen. Die 12 Wohnungen haben zusammen 655 m² Wohnfläche und werden langfristig vermietet. Das Gebäude gehört einer Vermietungs-GbR, deren Gesellschafter die Investoren sind. Die Gastro führt eine eigene Betreiberfirma des Bauherrn und zahlt 10 % vom Umsatz als Pacht (mindestens 10 €/m²).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Darlehen insgesamt (Basis ohne Eigenkapital)</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2.947.500 € (60 %)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3,21 %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17.189 €</w:t>
            </w:r>
          </w:p>
        </w:tc>
      </w:tr>
      <w:tr>
        <w:trPr>
          <w:cantSplit/>
        </w:trPr>
        <w:tc>
          <w:tcPr>
            <w:tcW w:type="dxa" w:w="6236"/>
          </w:tcPr>
          <w:p>
            <w:pPr>
              <w:keepNext/>
              <w:spacing w:after="20" w:before="20"/>
            </w:pPr>
            <w:r/>
            <w:r>
              <w:rPr>
                <w:sz w:val="19"/>
              </w:rPr>
              <w:t>Zinsvorteil durch KfW-Kredite pro Jahr (gegenüber Hausbank 4 %)</w:t>
            </w:r>
          </w:p>
        </w:tc>
        <w:tc>
          <w:tcPr>
            <w:tcW w:type="dxa" w:w="3175"/>
          </w:tcPr>
          <w:p>
            <w:pPr>
              <w:keepNext/>
              <w:spacing w:after="20" w:before="20"/>
              <w:jc w:val="right"/>
            </w:pPr>
            <w:r/>
            <w:r>
              <w:rPr>
                <w:sz w:val="19"/>
              </w:rPr>
              <w:t>38.475 €</w:t>
            </w:r>
          </w:p>
        </w:tc>
      </w:tr>
      <w:tr>
        <w:trPr>
          <w:cantSplit/>
        </w:trPr>
        <w:tc>
          <w:tcPr>
            <w:tcW w:type="dxa" w:w="6236"/>
          </w:tcPr>
          <w:p>
            <w:pPr>
              <w:keepNext/>
              <w:spacing w:after="20" w:before="20"/>
            </w:pPr>
            <w:r/>
            <w:r>
              <w:rPr>
                <w:sz w:val="19"/>
              </w:rPr>
              <w:t>Nettoertrag der GbR pro Monat</w:t>
            </w:r>
          </w:p>
        </w:tc>
        <w:tc>
          <w:tcPr>
            <w:tcW w:type="dxa" w:w="3175"/>
          </w:tcPr>
          <w:p>
            <w:pPr>
              <w:keepNext/>
              <w:spacing w:after="20" w:before="20"/>
              <w:jc w:val="right"/>
            </w:pPr>
            <w:r/>
            <w:r>
              <w:rPr>
                <w:sz w:val="19"/>
              </w:rPr>
              <w:t>16.636 €</w:t>
            </w:r>
          </w:p>
        </w:tc>
      </w:tr>
      <w:tr>
        <w:trPr>
          <w:cantSplit/>
        </w:trPr>
        <w:tc>
          <w:tcPr>
            <w:tcW w:type="dxa" w:w="6236"/>
          </w:tcPr>
          <w:p>
            <w:pPr>
              <w:keepNext/>
              <w:spacing w:after="20" w:before="20"/>
            </w:pPr>
            <w:r/>
            <w:r>
              <w:rPr>
                <w:sz w:val="19"/>
              </w:rPr>
              <w:t>Ergebnis der GbR pro Monat nach Kapitaldienst</w:t>
            </w:r>
          </w:p>
        </w:tc>
        <w:tc>
          <w:tcPr>
            <w:tcW w:type="dxa" w:w="3175"/>
          </w:tcPr>
          <w:p>
            <w:pPr>
              <w:keepNext/>
              <w:spacing w:after="20" w:before="20"/>
              <w:jc w:val="right"/>
            </w:pPr>
            <w:r/>
            <w:r>
              <w:rPr>
                <w:sz w:val="19"/>
              </w:rPr>
              <w:t>−553 €</w:t>
            </w:r>
          </w:p>
        </w:tc>
      </w:tr>
      <w:tr>
        <w:trPr>
          <w:cantSplit/>
        </w:trPr>
        <w:tc>
          <w:tcPr>
            <w:tcW w:type="dxa" w:w="6236"/>
          </w:tcPr>
          <w:p>
            <w:pPr>
              <w:keepNext/>
              <w:spacing w:after="20" w:before="20"/>
            </w:pPr>
            <w:r/>
            <w:r>
              <w:rPr>
                <w:sz w:val="19"/>
              </w:rPr>
              <w:t>Kapitaldienstdeckung der GbR (DSCR, Verhältnis Ertrag zu Raten)</w:t>
            </w:r>
          </w:p>
        </w:tc>
        <w:tc>
          <w:tcPr>
            <w:tcW w:type="dxa" w:w="3175"/>
          </w:tcPr>
          <w:p>
            <w:pPr>
              <w:keepNext/>
              <w:spacing w:after="20" w:before="20"/>
              <w:jc w:val="right"/>
            </w:pPr>
            <w:r/>
            <w:r>
              <w:rPr>
                <w:sz w:val="19"/>
              </w:rPr>
              <w:t>0,97, mit Gastro-Gewinn des Bauherrn 2,11</w:t>
            </w:r>
          </w:p>
        </w:tc>
      </w:tr>
      <w:tr>
        <w:trPr>
          <w:cantSplit/>
        </w:trPr>
        <w:tc>
          <w:tcPr>
            <w:tcW w:type="dxa" w:w="6236"/>
          </w:tcPr>
          <w:p>
            <w:pPr>
              <w:keepNext/>
              <w:spacing w:after="20" w:before="20"/>
            </w:pPr>
            <w:r/>
            <w:r>
              <w:rPr>
                <w:sz w:val="19"/>
              </w:rPr>
              <w:t>Betriebsergebnis der Betreiberfirma nach Pacht pro Monat</w:t>
            </w:r>
          </w:p>
        </w:tc>
        <w:tc>
          <w:tcPr>
            <w:tcW w:type="dxa" w:w="3175"/>
          </w:tcPr>
          <w:p>
            <w:pPr>
              <w:keepNext/>
              <w:spacing w:after="20" w:before="20"/>
              <w:jc w:val="right"/>
            </w:pPr>
            <w:r/>
            <w:r>
              <w:rPr>
                <w:sz w:val="19"/>
              </w:rPr>
              <w:t>+19.605 €</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3.591.638 €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3.232.474 €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151 %</w:t>
            </w:r>
          </w:p>
        </w:tc>
      </w:tr>
    </w:tbl>
    <w:p>
      <w:pPr>
        <w:spacing w:after="40"/>
      </w:pPr>
    </w:p>
    <w:p>
      <w:pPr>
        <w:spacing w:after="40"/>
      </w:pPr>
      <w:r>
        <w:rPr>
          <w:b/>
          <w:i w:val="0"/>
          <w:color w:val="2F4A3E"/>
        </w:rPr>
        <w:t>Kernaussagen</w:t>
      </w:r>
    </w:p>
    <w:p>
      <w:pPr>
        <w:pStyle w:val="ListBullet"/>
        <w:spacing w:after="60"/>
      </w:pPr>
      <w:r>
        <w:rPr>
          <w:b/>
        </w:rPr>
        <w:t xml:space="preserve">Die GbR trägt die Raten ohne Eigenkapital knapp nicht. </w:t>
      </w:r>
      <w:r>
        <w:t>Die Kapitaldienstdeckung der GbR liegt bei 0,97, das Ergebnis bei −553 € im Monat. Mit Eigenkapital der Gesellschafter (siehe Szenarien) wird die Deckung 1,2 erreicht.</w:t>
      </w:r>
    </w:p>
    <w:p>
      <w:pPr>
        <w:pStyle w:val="ListBullet"/>
        <w:spacing w:after="60"/>
      </w:pPr>
      <w:r>
        <w:rPr>
          <w:b/>
        </w:rPr>
        <w:t xml:space="preserve">Die Gastro ist getrennt. </w:t>
      </w:r>
      <w:r>
        <w:t>Die Betreiberfirma verdient +19.605 € im Monat nach Pacht, das gehört dem Bauherrn. Die GbR bekommt 9.564 € Pacht im Monat.</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47 %.</w:t>
      </w:r>
    </w:p>
    <w:p>
      <w:pPr>
        <w:pStyle w:val="ListBullet"/>
        <w:spacing w:after="60"/>
      </w:pPr>
      <w:r>
        <w:rPr>
          <w:b/>
        </w:rPr>
        <w:t xml:space="preserve">Förderung senkt die Zinslast. </w:t>
      </w:r>
      <w:r>
        <w:t>Die drei KfW-Kreditprogramme decken 60 % des Darlehens zu 2,5 bis 3,0 % ab und sparen 38.475 € Zinsen im Jahr, der Mischzins liegt bei 3,21 % statt 4,0 %. Steuerliche Abschreibungen sind eine Option.</w:t>
      </w:r>
    </w:p>
    <w:p>
      <w:pPr>
        <w:pStyle w:val="ListBullet"/>
        <w:spacing w:after="60"/>
      </w:pPr>
      <w:r>
        <w:rPr>
          <w:b/>
        </w:rPr>
        <w:t xml:space="preserve">Der Beleihungswert ist die Hürde. </w:t>
      </w:r>
      <w:r>
        <w:t>Der Ertragswert von 3,59 Mio. € liegt unter den Kosten von 4,89 Mio. €, der Beleihungsauslauf beträgt 151 %. Die Bank wird zusätzliche Sicherheiten oder Eigenkapital in der Größenordnung von 2,31 Mio. € verlangen.</w:t>
      </w:r>
    </w:p>
    <w:p>
      <w:pPr>
        <w:pStyle w:val="ListBullet"/>
        <w:spacing w:after="60"/>
      </w:pPr>
      <w:r>
        <w:rPr>
          <w:b/>
        </w:rPr>
        <w:t xml:space="preserve">Airbnb lohnt sich nicht. </w:t>
      </w:r>
      <w:r>
        <w:t>Ein 60-m²-Airbnb-Apartment bringt bei der Werlter Auslastung (17 %, Emsland 36 %) deutlich weniger als eine langfristige Miete, deshalb bleiben alle 12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61</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5 Wohnungen, im Staffelgeschoss 7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Restaurant und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+ 5 × 64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7 × 48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12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Wohnungen</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1–5 im 1. OG (5 × 64.2 m²)</w:t>
            </w:r>
          </w:p>
        </w:tc>
        <w:tc>
          <w:tcPr>
            <w:tcW w:type="dxa" w:w="1134"/>
          </w:tcPr>
          <w:p>
            <w:pPr>
              <w:keepNext/>
              <w:spacing w:after="20" w:before="20"/>
            </w:pPr>
            <w:r/>
            <w:r>
              <w:rPr>
                <w:sz w:val="18"/>
              </w:rPr>
              <w:t>1. OG</w:t>
            </w:r>
          </w:p>
        </w:tc>
        <w:tc>
          <w:tcPr>
            <w:tcW w:type="dxa" w:w="1361"/>
          </w:tcPr>
          <w:p>
            <w:pPr>
              <w:keepNext/>
              <w:spacing w:after="20" w:before="20"/>
              <w:jc w:val="right"/>
            </w:pPr>
            <w:r/>
            <w:r>
              <w:rPr>
                <w:sz w:val="18"/>
              </w:rPr>
              <w:t>321,0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3.588 €</w:t>
            </w:r>
          </w:p>
        </w:tc>
        <w:tc>
          <w:tcPr>
            <w:tcW w:type="dxa" w:w="1701"/>
          </w:tcPr>
          <w:p>
            <w:pPr>
              <w:keepNext/>
              <w:spacing w:after="20" w:before="20"/>
              <w:jc w:val="right"/>
            </w:pPr>
            <w:r/>
            <w:r>
              <w:rPr>
                <w:sz w:val="18"/>
              </w:rPr>
              <w:t>43.052 €</w:t>
            </w:r>
          </w:p>
        </w:tc>
      </w:tr>
      <w:tr>
        <w:trPr>
          <w:cantSplit/>
        </w:trPr>
        <w:tc>
          <w:tcPr>
            <w:tcW w:type="dxa" w:w="2041"/>
          </w:tcPr>
          <w:p>
            <w:pPr>
              <w:keepNext/>
              <w:spacing w:after="20" w:before="20"/>
            </w:pPr>
            <w:r/>
            <w:r>
              <w:rPr>
                <w:sz w:val="18"/>
              </w:rPr>
              <w:t>WE 6–12 im Staffelgeschoss (7 × 47.7 m²)</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334,0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3.733 €</w:t>
            </w:r>
          </w:p>
        </w:tc>
        <w:tc>
          <w:tcPr>
            <w:tcW w:type="dxa" w:w="1701"/>
          </w:tcPr>
          <w:p>
            <w:pPr>
              <w:keepNext/>
              <w:spacing w:after="20" w:before="20"/>
              <w:jc w:val="right"/>
            </w:pPr>
            <w:r/>
            <w:r>
              <w:rPr>
                <w:sz w:val="18"/>
              </w:rPr>
              <w:t>44.795 €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 vom Umsatz)</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18,75 €</w:t>
            </w:r>
          </w:p>
        </w:tc>
        <w:tc>
          <w:tcPr>
            <w:tcW w:type="dxa" w:w="1814"/>
          </w:tcPr>
          <w:p>
            <w:pPr>
              <w:keepNext/>
              <w:spacing w:after="20" w:before="20"/>
              <w:jc w:val="right"/>
            </w:pPr>
            <w:r/>
            <w:r>
              <w:rPr>
                <w:sz w:val="18"/>
              </w:rPr>
              <w:t>9.564 €</w:t>
            </w:r>
          </w:p>
        </w:tc>
        <w:tc>
          <w:tcPr>
            <w:tcW w:type="dxa" w:w="1701"/>
          </w:tcPr>
          <w:p>
            <w:pPr>
              <w:keepNext/>
              <w:spacing w:after="20" w:before="20"/>
              <w:jc w:val="right"/>
            </w:pPr>
            <w:r/>
            <w:r>
              <w:rPr>
                <w:sz w:val="18"/>
              </w:rPr>
              <w:t>114.762 €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18.484 €</w:t>
            </w:r>
          </w:p>
        </w:tc>
        <w:tc>
          <w:tcPr>
            <w:tcW w:type="dxa" w:w="1701"/>
            <w:shd w:val="clear" w:color="auto" w:fill="E3E8E5"/>
          </w:tcPr>
          <w:p>
            <w:pPr>
              <w:spacing w:after="20" w:before="20"/>
              <w:jc w:val="right"/>
            </w:pPr>
            <w:r/>
            <w:r>
              <w:rPr>
                <w:b/>
                <w:sz w:val="18"/>
              </w:rPr>
              <w:t>221.809 €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95.635 € im Monat entspricht ca. 6.040 € je Sitzplatz und Jahr. Zum Vergleich: Der Median in Österreich liegt für Betriebe mit weniger als 100 Plätzen bei ca. 12.000 € (Fitness-Check Gastronomie 2026). Die Annahme liegt damit deutlich unter dem Branchen-Median. Die Pacht beträgt 10,0 % vom Umsatz (üblich 6 bis 12 %), mindestens aber 10 €/m².</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9 % des Rohertrags aus.</w:t>
      </w:r>
    </w:p>
    <w:p>
      <w:pPr>
        <w:pStyle w:val="ListBullet"/>
        <w:spacing w:after="60"/>
      </w:pPr>
      <w:r>
        <w:t>Sie decken 8 % des Kapitaldienstes. Zusammen mit den Wohnungen decken die langfristigen Mieten 47 %,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mit dem Hauptfokus auf dem Abend. Morgens gibt es Frühstück (am Wochenende Brunch), mittags einen Mittagstisch für Beschäftigte aus Rathaus und Umgebung. Ab dem späten Nachmittag wird das Haus zum Abendrestaurant mit regionaler, moderner Küche, ab 21 Uhr zur Bar mit Cocktails, Wein, Bier und leiser Musik (Fr und Sa bis 01 Uhr). Dazu kommen Feiern, Live-Abende und Themenabende im Séparée (abgetrennter Raum mit 30 Plätzen).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95.635 € pro Monat (netto), davon 75 % am Abend, ca. 6.000 € je Sitzplatz und Jahr</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9.564 € pro Monat (ca. 10,0 %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p>
      <w:pPr>
        <w:spacing w:after="80"/>
      </w:pPr>
      <w:r>
        <w:rPr>
          <w:b w:val="0"/>
          <w:i w:val="0"/>
        </w:rPr>
        <w:t>Der Umsatz setzt sich aus Tagesteilen zusammen. Der Abend (Restaurant, Bar, Feiern) bringt 75 % des Umsatzes, Frühstück und Mittag füllen das Haus am Tag. Öffnungstage, Gäste und Bon sind Annahmen, es liegen keine Marktdaten für Werlte vor.</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2381"/>
        <w:gridCol w:w="680"/>
        <w:gridCol w:w="964"/>
        <w:gridCol w:w="794"/>
        <w:gridCol w:w="1247"/>
        <w:gridCol w:w="737"/>
      </w:tblGrid>
      <w:tr>
        <w:trPr>
          <w:cantSplit/>
        </w:trPr>
        <w:tc>
          <w:tcPr>
            <w:tcW w:type="dxa" w:w="2608"/>
            <w:shd w:val="clear" w:color="auto" w:fill="2F4A3E"/>
          </w:tcPr>
          <w:p>
            <w:pPr>
              <w:keepNext/>
              <w:spacing w:after="20" w:before="20"/>
            </w:pPr>
            <w:r/>
            <w:r>
              <w:rPr>
                <w:b/>
                <w:color w:val="FFFFFF"/>
                <w:sz w:val="17"/>
              </w:rPr>
              <w:t>Tagesteil</w:t>
            </w:r>
          </w:p>
        </w:tc>
        <w:tc>
          <w:tcPr>
            <w:tcW w:type="dxa" w:w="2381"/>
            <w:shd w:val="clear" w:color="auto" w:fill="2F4A3E"/>
          </w:tcPr>
          <w:p>
            <w:pPr>
              <w:keepNext/>
              <w:spacing w:after="20" w:before="20"/>
            </w:pPr>
            <w:r/>
            <w:r>
              <w:rPr>
                <w:b/>
                <w:color w:val="FFFFFF"/>
                <w:sz w:val="17"/>
              </w:rPr>
              <w:t>Zeit</w:t>
            </w:r>
          </w:p>
        </w:tc>
        <w:tc>
          <w:tcPr>
            <w:tcW w:type="dxa" w:w="680"/>
            <w:shd w:val="clear" w:color="auto" w:fill="2F4A3E"/>
          </w:tcPr>
          <w:p>
            <w:pPr>
              <w:keepNext/>
              <w:spacing w:after="20" w:before="20"/>
              <w:jc w:val="right"/>
            </w:pPr>
            <w:r/>
            <w:r>
              <w:rPr>
                <w:b/>
                <w:color w:val="FFFFFF"/>
                <w:sz w:val="17"/>
              </w:rPr>
              <w:t>Tage</w:t>
            </w:r>
          </w:p>
        </w:tc>
        <w:tc>
          <w:tcPr>
            <w:tcW w:type="dxa" w:w="964"/>
            <w:shd w:val="clear" w:color="auto" w:fill="2F4A3E"/>
          </w:tcPr>
          <w:p>
            <w:pPr>
              <w:keepNext/>
              <w:spacing w:after="20" w:before="20"/>
              <w:jc w:val="right"/>
            </w:pPr>
            <w:r/>
            <w:r>
              <w:rPr>
                <w:b/>
                <w:color w:val="FFFFFF"/>
                <w:sz w:val="17"/>
              </w:rPr>
              <w:t>Gäste/Tag</w:t>
            </w:r>
          </w:p>
        </w:tc>
        <w:tc>
          <w:tcPr>
            <w:tcW w:type="dxa" w:w="794"/>
            <w:shd w:val="clear" w:color="auto" w:fill="2F4A3E"/>
          </w:tcPr>
          <w:p>
            <w:pPr>
              <w:keepNext/>
              <w:spacing w:after="20" w:before="20"/>
              <w:jc w:val="right"/>
            </w:pPr>
            <w:r/>
            <w:r>
              <w:rPr>
                <w:b/>
                <w:color w:val="FFFFFF"/>
                <w:sz w:val="17"/>
              </w:rPr>
              <w:t>Ø Bon</w:t>
            </w:r>
          </w:p>
        </w:tc>
        <w:tc>
          <w:tcPr>
            <w:tcW w:type="dxa" w:w="1247"/>
            <w:shd w:val="clear" w:color="auto" w:fill="2F4A3E"/>
          </w:tcPr>
          <w:p>
            <w:pPr>
              <w:keepNext/>
              <w:spacing w:after="20" w:before="20"/>
              <w:jc w:val="right"/>
            </w:pPr>
            <w:r/>
            <w:r>
              <w:rPr>
                <w:b/>
                <w:color w:val="FFFFFF"/>
                <w:sz w:val="17"/>
              </w:rPr>
              <w:t>Umsatz/Monat</w:t>
            </w:r>
          </w:p>
        </w:tc>
        <w:tc>
          <w:tcPr>
            <w:tcW w:type="dxa" w:w="737"/>
            <w:shd w:val="clear" w:color="auto" w:fill="2F4A3E"/>
          </w:tcPr>
          <w:p>
            <w:pPr>
              <w:keepNext/>
              <w:spacing w:after="20" w:before="20"/>
              <w:jc w:val="right"/>
            </w:pPr>
            <w:r/>
            <w:r>
              <w:rPr>
                <w:b/>
                <w:color w:val="FFFFFF"/>
                <w:sz w:val="17"/>
              </w:rPr>
              <w:t>Anteil</w:t>
            </w:r>
          </w:p>
        </w:tc>
      </w:tr>
      <w:tr>
        <w:trPr>
          <w:cantSplit/>
        </w:trPr>
        <w:tc>
          <w:tcPr>
            <w:tcW w:type="dxa" w:w="2608"/>
          </w:tcPr>
          <w:p>
            <w:pPr>
              <w:keepNext/>
              <w:spacing w:after="20" w:before="20"/>
            </w:pPr>
            <w:r/>
            <w:r>
              <w:rPr>
                <w:sz w:val="17"/>
              </w:rPr>
              <w:t>Frühstück werktags</w:t>
            </w:r>
          </w:p>
        </w:tc>
        <w:tc>
          <w:tcPr>
            <w:tcW w:type="dxa" w:w="2381"/>
          </w:tcPr>
          <w:p>
            <w:pPr>
              <w:keepNext/>
              <w:spacing w:after="20" w:before="20"/>
            </w:pPr>
            <w:r/>
            <w:r>
              <w:rPr>
                <w:sz w:val="17"/>
              </w:rPr>
              <w:t>Di–Fr 08:00–11:00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25</w:t>
            </w:r>
          </w:p>
        </w:tc>
        <w:tc>
          <w:tcPr>
            <w:tcW w:type="dxa" w:w="794"/>
          </w:tcPr>
          <w:p>
            <w:pPr>
              <w:keepNext/>
              <w:spacing w:after="20" w:before="20"/>
              <w:jc w:val="right"/>
            </w:pPr>
            <w:r/>
            <w:r>
              <w:rPr>
                <w:sz w:val="17"/>
              </w:rPr>
              <w:t>11 €</w:t>
            </w:r>
          </w:p>
        </w:tc>
        <w:tc>
          <w:tcPr>
            <w:tcW w:type="dxa" w:w="1247"/>
          </w:tcPr>
          <w:p>
            <w:pPr>
              <w:keepNext/>
              <w:spacing w:after="20" w:before="20"/>
              <w:jc w:val="right"/>
            </w:pPr>
            <w:r/>
            <w:r>
              <w:rPr>
                <w:sz w:val="17"/>
              </w:rPr>
              <w:t>4.675 €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Brunch am Wochenende</w:t>
            </w:r>
          </w:p>
        </w:tc>
        <w:tc>
          <w:tcPr>
            <w:tcW w:type="dxa" w:w="2381"/>
          </w:tcPr>
          <w:p>
            <w:pPr>
              <w:keepNext/>
              <w:spacing w:after="20" w:before="20"/>
            </w:pPr>
            <w:r/>
            <w:r>
              <w:rPr>
                <w:sz w:val="17"/>
              </w:rPr>
              <w:t>Sa, So 09:00–14:00</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60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7.560 €</w:t>
            </w:r>
          </w:p>
        </w:tc>
        <w:tc>
          <w:tcPr>
            <w:tcW w:type="dxa" w:w="737"/>
          </w:tcPr>
          <w:p>
            <w:pPr>
              <w:keepNext/>
              <w:spacing w:after="20" w:before="20"/>
              <w:jc w:val="right"/>
            </w:pPr>
            <w:r/>
            <w:r>
              <w:rPr>
                <w:sz w:val="17"/>
              </w:rPr>
              <w:t>8 %</w:t>
            </w:r>
          </w:p>
        </w:tc>
      </w:tr>
      <w:tr>
        <w:trPr>
          <w:cantSplit/>
        </w:trPr>
        <w:tc>
          <w:tcPr>
            <w:tcW w:type="dxa" w:w="2608"/>
          </w:tcPr>
          <w:p>
            <w:pPr>
              <w:keepNext/>
              <w:spacing w:after="20" w:before="20"/>
            </w:pPr>
            <w:r/>
            <w:r>
              <w:rPr>
                <w:sz w:val="17"/>
              </w:rPr>
              <w:t>Mittagstisch</w:t>
            </w:r>
          </w:p>
        </w:tc>
        <w:tc>
          <w:tcPr>
            <w:tcW w:type="dxa" w:w="2381"/>
          </w:tcPr>
          <w:p>
            <w:pPr>
              <w:keepNext/>
              <w:spacing w:after="20" w:before="20"/>
            </w:pPr>
            <w:r/>
            <w:r>
              <w:rPr>
                <w:sz w:val="17"/>
              </w:rPr>
              <w:t>Di–Fr 11:30–14:30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50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11.900 €</w:t>
            </w:r>
          </w:p>
        </w:tc>
        <w:tc>
          <w:tcPr>
            <w:tcW w:type="dxa" w:w="737"/>
          </w:tcPr>
          <w:p>
            <w:pPr>
              <w:keepNext/>
              <w:spacing w:after="20" w:before="20"/>
              <w:jc w:val="right"/>
            </w:pPr>
            <w:r/>
            <w:r>
              <w:rPr>
                <w:sz w:val="17"/>
              </w:rPr>
              <w:t>12 %</w:t>
            </w:r>
          </w:p>
        </w:tc>
      </w:tr>
      <w:tr>
        <w:trPr>
          <w:cantSplit/>
        </w:trPr>
        <w:tc>
          <w:tcPr>
            <w:tcW w:type="dxa" w:w="2608"/>
          </w:tcPr>
          <w:p>
            <w:pPr>
              <w:keepNext/>
              <w:spacing w:after="20" w:before="20"/>
            </w:pPr>
            <w:r/>
            <w:r>
              <w:rPr>
                <w:sz w:val="17"/>
              </w:rPr>
              <w:t>Abendessen Restaurant</w:t>
            </w:r>
          </w:p>
        </w:tc>
        <w:tc>
          <w:tcPr>
            <w:tcW w:type="dxa" w:w="2381"/>
          </w:tcPr>
          <w:p>
            <w:pPr>
              <w:keepNext/>
              <w:spacing w:after="20" w:before="20"/>
            </w:pPr>
            <w:r/>
            <w:r>
              <w:rPr>
                <w:sz w:val="17"/>
              </w:rPr>
              <w:t>Di–So 17:30–22:00</w:t>
            </w:r>
          </w:p>
        </w:tc>
        <w:tc>
          <w:tcPr>
            <w:tcW w:type="dxa" w:w="680"/>
          </w:tcPr>
          <w:p>
            <w:pPr>
              <w:keepNext/>
              <w:spacing w:after="20" w:before="20"/>
              <w:jc w:val="right"/>
            </w:pPr>
            <w:r/>
            <w:r>
              <w:rPr>
                <w:sz w:val="17"/>
              </w:rPr>
              <w:t>26</w:t>
            </w:r>
          </w:p>
        </w:tc>
        <w:tc>
          <w:tcPr>
            <w:tcW w:type="dxa" w:w="964"/>
          </w:tcPr>
          <w:p>
            <w:pPr>
              <w:keepNext/>
              <w:spacing w:after="20" w:before="20"/>
              <w:jc w:val="right"/>
            </w:pPr>
            <w:r/>
            <w:r>
              <w:rPr>
                <w:sz w:val="17"/>
              </w:rPr>
              <w:t>55</w:t>
            </w:r>
          </w:p>
        </w:tc>
        <w:tc>
          <w:tcPr>
            <w:tcW w:type="dxa" w:w="794"/>
          </w:tcPr>
          <w:p>
            <w:pPr>
              <w:keepNext/>
              <w:spacing w:after="20" w:before="20"/>
              <w:jc w:val="right"/>
            </w:pPr>
            <w:r/>
            <w:r>
              <w:rPr>
                <w:sz w:val="17"/>
              </w:rPr>
              <w:t>32 €</w:t>
            </w:r>
          </w:p>
        </w:tc>
        <w:tc>
          <w:tcPr>
            <w:tcW w:type="dxa" w:w="1247"/>
          </w:tcPr>
          <w:p>
            <w:pPr>
              <w:keepNext/>
              <w:spacing w:after="20" w:before="20"/>
              <w:jc w:val="right"/>
            </w:pPr>
            <w:r/>
            <w:r>
              <w:rPr>
                <w:sz w:val="17"/>
              </w:rPr>
              <w:t>45.760 €</w:t>
            </w:r>
          </w:p>
        </w:tc>
        <w:tc>
          <w:tcPr>
            <w:tcW w:type="dxa" w:w="737"/>
          </w:tcPr>
          <w:p>
            <w:pPr>
              <w:keepNext/>
              <w:spacing w:after="20" w:before="20"/>
              <w:jc w:val="right"/>
            </w:pPr>
            <w:r/>
            <w:r>
              <w:rPr>
                <w:sz w:val="17"/>
              </w:rPr>
              <w:t>48 %</w:t>
            </w:r>
          </w:p>
        </w:tc>
      </w:tr>
      <w:tr>
        <w:trPr>
          <w:cantSplit/>
        </w:trPr>
        <w:tc>
          <w:tcPr>
            <w:tcW w:type="dxa" w:w="2608"/>
          </w:tcPr>
          <w:p>
            <w:pPr>
              <w:keepNext/>
              <w:spacing w:after="20" w:before="20"/>
            </w:pPr>
            <w:r/>
            <w:r>
              <w:rPr>
                <w:sz w:val="17"/>
              </w:rPr>
              <w:t>Bar Di–Do</w:t>
            </w:r>
          </w:p>
        </w:tc>
        <w:tc>
          <w:tcPr>
            <w:tcW w:type="dxa" w:w="2381"/>
          </w:tcPr>
          <w:p>
            <w:pPr>
              <w:keepNext/>
              <w:spacing w:after="20" w:before="20"/>
            </w:pPr>
            <w:r/>
            <w:r>
              <w:rPr>
                <w:sz w:val="17"/>
              </w:rPr>
              <w:t>ab 21:00</w:t>
            </w:r>
          </w:p>
        </w:tc>
        <w:tc>
          <w:tcPr>
            <w:tcW w:type="dxa" w:w="680"/>
          </w:tcPr>
          <w:p>
            <w:pPr>
              <w:keepNext/>
              <w:spacing w:after="20" w:before="20"/>
              <w:jc w:val="right"/>
            </w:pPr>
            <w:r/>
            <w:r>
              <w:rPr>
                <w:sz w:val="17"/>
              </w:rPr>
              <w:t>13</w:t>
            </w:r>
          </w:p>
        </w:tc>
        <w:tc>
          <w:tcPr>
            <w:tcW w:type="dxa" w:w="964"/>
          </w:tcPr>
          <w:p>
            <w:pPr>
              <w:keepNext/>
              <w:spacing w:after="20" w:before="20"/>
              <w:jc w:val="right"/>
            </w:pPr>
            <w:r/>
            <w:r>
              <w:rPr>
                <w:sz w:val="17"/>
              </w:rPr>
              <w:t>20</w:t>
            </w:r>
          </w:p>
        </w:tc>
        <w:tc>
          <w:tcPr>
            <w:tcW w:type="dxa" w:w="794"/>
          </w:tcPr>
          <w:p>
            <w:pPr>
              <w:keepNext/>
              <w:spacing w:after="20" w:before="20"/>
              <w:jc w:val="right"/>
            </w:pPr>
            <w:r/>
            <w:r>
              <w:rPr>
                <w:sz w:val="17"/>
              </w:rPr>
              <w:t>18 €</w:t>
            </w:r>
          </w:p>
        </w:tc>
        <w:tc>
          <w:tcPr>
            <w:tcW w:type="dxa" w:w="1247"/>
          </w:tcPr>
          <w:p>
            <w:pPr>
              <w:keepNext/>
              <w:spacing w:after="20" w:before="20"/>
              <w:jc w:val="right"/>
            </w:pPr>
            <w:r/>
            <w:r>
              <w:rPr>
                <w:sz w:val="17"/>
              </w:rPr>
              <w:t>4.680 €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Bar Fr, Sa (bis 01:00)</w:t>
            </w:r>
          </w:p>
        </w:tc>
        <w:tc>
          <w:tcPr>
            <w:tcW w:type="dxa" w:w="2381"/>
          </w:tcPr>
          <w:p>
            <w:pPr>
              <w:keepNext/>
              <w:spacing w:after="20" w:before="20"/>
            </w:pPr>
            <w:r/>
            <w:r>
              <w:rPr>
                <w:sz w:val="17"/>
              </w:rPr>
              <w:t>Cocktails, Wein, Bier, Musik</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70</w:t>
            </w:r>
          </w:p>
        </w:tc>
        <w:tc>
          <w:tcPr>
            <w:tcW w:type="dxa" w:w="794"/>
          </w:tcPr>
          <w:p>
            <w:pPr>
              <w:keepNext/>
              <w:spacing w:after="20" w:before="20"/>
              <w:jc w:val="right"/>
            </w:pPr>
            <w:r/>
            <w:r>
              <w:rPr>
                <w:sz w:val="17"/>
              </w:rPr>
              <w:t>22 €</w:t>
            </w:r>
          </w:p>
        </w:tc>
        <w:tc>
          <w:tcPr>
            <w:tcW w:type="dxa" w:w="1247"/>
          </w:tcPr>
          <w:p>
            <w:pPr>
              <w:keepNext/>
              <w:spacing w:after="20" w:before="20"/>
              <w:jc w:val="right"/>
            </w:pPr>
            <w:r/>
            <w:r>
              <w:rPr>
                <w:sz w:val="17"/>
              </w:rPr>
              <w:t>13.860 €</w:t>
            </w:r>
          </w:p>
        </w:tc>
        <w:tc>
          <w:tcPr>
            <w:tcW w:type="dxa" w:w="737"/>
          </w:tcPr>
          <w:p>
            <w:pPr>
              <w:keepNext/>
              <w:spacing w:after="20" w:before="20"/>
              <w:jc w:val="right"/>
            </w:pPr>
            <w:r/>
            <w:r>
              <w:rPr>
                <w:sz w:val="17"/>
              </w:rPr>
              <w:t>14 %</w:t>
            </w:r>
          </w:p>
        </w:tc>
      </w:tr>
      <w:tr>
        <w:trPr>
          <w:cantSplit/>
        </w:trPr>
        <w:tc>
          <w:tcPr>
            <w:tcW w:type="dxa" w:w="2608"/>
          </w:tcPr>
          <w:p>
            <w:pPr>
              <w:keepNext/>
              <w:spacing w:after="20" w:before="20"/>
            </w:pPr>
            <w:r/>
            <w:r>
              <w:rPr>
                <w:sz w:val="17"/>
              </w:rPr>
              <w:t>Feiern, Live-Abende, Séparée</w:t>
            </w:r>
          </w:p>
        </w:tc>
        <w:tc>
          <w:tcPr>
            <w:tcW w:type="dxa" w:w="2381"/>
          </w:tcPr>
          <w:p>
            <w:pPr>
              <w:keepNext/>
              <w:spacing w:after="20" w:before="20"/>
            </w:pPr>
            <w:r/>
            <w:r>
              <w:rPr>
                <w:sz w:val="17"/>
              </w:rPr>
              <w:t>nach Absprache, 4 pro Monat</w:t>
            </w:r>
          </w:p>
        </w:tc>
        <w:tc>
          <w:tcPr>
            <w:tcW w:type="dxa" w:w="680"/>
          </w:tcPr>
          <w:p>
            <w:pPr>
              <w:keepNext/>
              <w:spacing w:after="20" w:before="20"/>
              <w:jc w:val="right"/>
            </w:pPr>
            <w:r/>
            <w:r>
              <w:rPr>
                <w:sz w:val="17"/>
              </w:rPr>
              <w:t>4</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45 €</w:t>
            </w:r>
          </w:p>
        </w:tc>
        <w:tc>
          <w:tcPr>
            <w:tcW w:type="dxa" w:w="1247"/>
          </w:tcPr>
          <w:p>
            <w:pPr>
              <w:keepNext/>
              <w:spacing w:after="20" w:before="20"/>
              <w:jc w:val="right"/>
            </w:pPr>
            <w:r/>
            <w:r>
              <w:rPr>
                <w:sz w:val="17"/>
              </w:rPr>
              <w:t>7.200 €</w:t>
            </w:r>
          </w:p>
        </w:tc>
        <w:tc>
          <w:tcPr>
            <w:tcW w:type="dxa" w:w="737"/>
          </w:tcPr>
          <w:p>
            <w:pPr>
              <w:keepNext/>
              <w:spacing w:after="20" w:before="20"/>
              <w:jc w:val="right"/>
            </w:pPr>
            <w:r/>
            <w:r>
              <w:rPr>
                <w:sz w:val="17"/>
              </w:rPr>
              <w:t>8 %</w:t>
            </w:r>
          </w:p>
        </w:tc>
      </w:tr>
      <w:tr>
        <w:trPr>
          <w:cantSplit/>
        </w:trPr>
        <w:tc>
          <w:tcPr>
            <w:tcW w:type="dxa" w:w="2608"/>
            <w:shd w:val="clear" w:color="auto" w:fill="E3E8E5"/>
          </w:tcPr>
          <w:p>
            <w:pPr>
              <w:spacing w:after="20" w:before="20"/>
            </w:pPr>
            <w:r/>
            <w:r>
              <w:rPr>
                <w:b/>
                <w:sz w:val="17"/>
              </w:rPr>
              <w:t>Summe</w:t>
            </w:r>
          </w:p>
        </w:tc>
        <w:tc>
          <w:tcPr>
            <w:tcW w:type="dxa" w:w="2381"/>
            <w:shd w:val="clear" w:color="auto" w:fill="E3E8E5"/>
          </w:tcPr>
          <w:p>
            <w:pPr>
              <w:spacing w:after="20" w:before="20"/>
            </w:pPr>
            <w:r/>
            <w:r>
              <w:rPr>
                <w:b/>
                <w:sz w:val="17"/>
              </w:rPr>
            </w:r>
          </w:p>
        </w:tc>
        <w:tc>
          <w:tcPr>
            <w:tcW w:type="dxa" w:w="680"/>
            <w:shd w:val="clear" w:color="auto" w:fill="E3E8E5"/>
          </w:tcPr>
          <w:p>
            <w:pPr>
              <w:spacing w:after="20" w:before="20"/>
              <w:jc w:val="right"/>
            </w:pPr>
            <w:r/>
            <w:r>
              <w:rPr>
                <w:b/>
                <w:sz w:val="17"/>
              </w:rPr>
            </w:r>
          </w:p>
        </w:tc>
        <w:tc>
          <w:tcPr>
            <w:tcW w:type="dxa" w:w="964"/>
            <w:shd w:val="clear" w:color="auto" w:fill="E3E8E5"/>
          </w:tcPr>
          <w:p>
            <w:pPr>
              <w:spacing w:after="20" w:before="20"/>
              <w:jc w:val="right"/>
            </w:pPr>
            <w:r/>
            <w:r>
              <w:rPr>
                <w:b/>
                <w:sz w:val="17"/>
              </w:rPr>
            </w:r>
          </w:p>
        </w:tc>
        <w:tc>
          <w:tcPr>
            <w:tcW w:type="dxa" w:w="794"/>
            <w:shd w:val="clear" w:color="auto" w:fill="E3E8E5"/>
          </w:tcPr>
          <w:p>
            <w:pPr>
              <w:spacing w:after="20" w:before="20"/>
              <w:jc w:val="right"/>
            </w:pPr>
            <w:r/>
            <w:r>
              <w:rPr>
                <w:b/>
                <w:sz w:val="17"/>
              </w:rPr>
            </w:r>
          </w:p>
        </w:tc>
        <w:tc>
          <w:tcPr>
            <w:tcW w:type="dxa" w:w="1247"/>
            <w:shd w:val="clear" w:color="auto" w:fill="E3E8E5"/>
          </w:tcPr>
          <w:p>
            <w:pPr>
              <w:spacing w:after="20" w:before="20"/>
              <w:jc w:val="right"/>
            </w:pPr>
            <w:r/>
            <w:r>
              <w:rPr>
                <w:b/>
                <w:sz w:val="17"/>
              </w:rPr>
              <w:t>95.635 €</w:t>
            </w:r>
          </w:p>
        </w:tc>
        <w:tc>
          <w:tcPr>
            <w:tcW w:type="dxa" w:w="737"/>
            <w:shd w:val="clear" w:color="auto" w:fill="E3E8E5"/>
          </w:tcPr>
          <w:p>
            <w:pPr>
              <w:spacing w:after="20" w:before="20"/>
              <w:jc w:val="right"/>
            </w:pPr>
            <w:r/>
            <w:r>
              <w:rPr>
                <w:b/>
                <w:sz w:val="17"/>
              </w:rPr>
              <w:t>100 %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 (Betreiber)</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tcPr>
          <w:p>
            <w:pPr>
              <w:keepNext/>
              <w:spacing w:after="20" w:before="20"/>
            </w:pPr>
            <w:r/>
            <w:r>
              <w:rPr>
                <w:sz w:val="18"/>
              </w:rPr>
              <w:t>65.000 €</w:t>
            </w:r>
          </w:p>
        </w:tc>
        <w:tc>
          <w:tcPr>
            <w:tcW w:type="dxa" w:w="3288"/>
          </w:tcPr>
          <w:p>
            <w:pPr>
              <w:keepNext/>
              <w:spacing w:after="20" w:before="20"/>
              <w:jc w:val="right"/>
            </w:pPr>
            <w:r/>
            <w:r>
              <w:rPr>
                <w:sz w:val="18"/>
              </w:rPr>
              <w:t>19.825 €</w:t>
            </w:r>
          </w:p>
        </w:tc>
        <w:tc>
          <w:tcPr>
            <w:tcW w:type="dxa" w:w="3288"/>
          </w:tcPr>
          <w:p>
            <w:pPr>
              <w:keepNext/>
              <w:spacing w:after="20" w:before="20"/>
              <w:jc w:val="right"/>
            </w:pPr>
            <w:r/>
            <w:r>
              <w:rPr>
                <w:sz w:val="18"/>
              </w:rPr>
              <w:t>+13.325 €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+16.400 €</w:t>
            </w:r>
          </w:p>
        </w:tc>
      </w:tr>
      <w:tr>
        <w:trPr>
          <w:cantSplit/>
        </w:trPr>
        <w:tc>
          <w:tcPr>
            <w:tcW w:type="dxa" w:w="2835"/>
            <w:shd w:val="clear" w:color="auto" w:fill="E3E8E5"/>
          </w:tcPr>
          <w:p>
            <w:pPr>
              <w:keepNext/>
              <w:spacing w:after="20" w:before="20"/>
            </w:pPr>
            <w:r/>
            <w:r>
              <w:rPr>
                <w:b/>
                <w:sz w:val="18"/>
              </w:rPr>
              <w:t>95.635 €</w:t>
            </w:r>
          </w:p>
        </w:tc>
        <w:tc>
          <w:tcPr>
            <w:tcW w:type="dxa" w:w="3288"/>
            <w:shd w:val="clear" w:color="auto" w:fill="E3E8E5"/>
          </w:tcPr>
          <w:p>
            <w:pPr>
              <w:keepNext/>
              <w:spacing w:after="20" w:before="20"/>
              <w:jc w:val="right"/>
            </w:pPr>
            <w:r/>
            <w:r>
              <w:rPr>
                <w:b/>
                <w:sz w:val="18"/>
              </w:rPr>
              <w:t>29.169 €</w:t>
            </w:r>
          </w:p>
        </w:tc>
        <w:tc>
          <w:tcPr>
            <w:tcW w:type="dxa" w:w="3288"/>
            <w:shd w:val="clear" w:color="auto" w:fill="E3E8E5"/>
          </w:tcPr>
          <w:p>
            <w:pPr>
              <w:keepNext/>
              <w:spacing w:after="20" w:before="20"/>
              <w:jc w:val="right"/>
            </w:pPr>
            <w:r/>
            <w:r>
              <w:rPr>
                <w:b/>
                <w:sz w:val="18"/>
              </w:rPr>
              <w:t>+19.605 €</w:t>
            </w:r>
          </w:p>
        </w:tc>
      </w:tr>
      <w:tr>
        <w:trPr>
          <w:cantSplit/>
        </w:trPr>
        <w:tc>
          <w:tcPr>
            <w:tcW w:type="dxa" w:w="2835"/>
          </w:tcPr>
          <w:p>
            <w:pPr>
              <w:spacing w:after="20" w:before="20"/>
            </w:pPr>
            <w:r/>
            <w:r>
              <w:rPr>
                <w:sz w:val="18"/>
              </w:rPr>
              <w:t>110.000 €</w:t>
            </w:r>
          </w:p>
        </w:tc>
        <w:tc>
          <w:tcPr>
            <w:tcW w:type="dxa" w:w="3288"/>
          </w:tcPr>
          <w:p>
            <w:pPr>
              <w:spacing w:after="20" w:before="20"/>
              <w:jc w:val="right"/>
            </w:pPr>
            <w:r/>
            <w:r>
              <w:rPr>
                <w:sz w:val="18"/>
              </w:rPr>
              <w:t>33.550 €</w:t>
            </w:r>
          </w:p>
        </w:tc>
        <w:tc>
          <w:tcPr>
            <w:tcW w:type="dxa" w:w="3288"/>
          </w:tcPr>
          <w:p>
            <w:pPr>
              <w:spacing w:after="20" w:before="20"/>
              <w:jc w:val="right"/>
            </w:pPr>
            <w:r/>
            <w:r>
              <w:rPr>
                <w:sz w:val="18"/>
              </w:rPr>
              <w:t>+22.550 €</w:t>
            </w:r>
          </w:p>
        </w:tc>
      </w:tr>
    </w:tbl>
    <w:p>
      <w:pPr>
        <w:spacing w:after="40"/>
      </w:pPr>
    </w:p>
    <w:p>
      <w:pPr>
        <w:spacing w:after="80"/>
      </w:pPr>
      <w:r>
        <w:rPr>
          <w:b w:val="0"/>
          <w:i w:val="0"/>
        </w:rPr>
        <w:t>Die Betreiberfirma deckt die Mindestpacht ab ca. 16.700 € Umsatz im Monat. Die Pacht (Maximum aus 10 €/m² und 10 % vom Umsatz) geht an die GbR, das Betriebsergebnis nach Pacht gehört der Betreiberfirma. Der Lohn des Bauherrn ist nicht gerechnet. Ausführliche Gestaltung, Grundriss, Speisekarte und Personalplan stehen im Gastro-Konzept.</w:t>
      </w:r>
    </w:p>
    <w:p>
      <w:pPr>
        <w:pStyle w:val="Heading1"/>
      </w:pPr>
      <w:r>
        <w:t>6  Struktur: Vermietungs-GbR und Betreiberfirma</w:t>
      </w:r>
    </w:p>
    <w:p>
      <w:r>
        <w:rPr>
          <w:b w:val="0"/>
          <w:i w:val="0"/>
        </w:rPr>
        <w:t>Das Gebäude gehört einer Vermietungs-GbR (Gesellschaft bürgerlichen Rechts), deren Gesellschafter die Investoren sind. Sie nimmt die Darlehen auf, vermietet die 12 Wohnungen und die 2 Büros und verpachtet die Gastro. Die Gastro führt eine eigene Betreiberfirma des Bauherrn, sie zahlt Pacht an die GbR (10 % vom Umsatz, mindestens 10 €/m²) und behält das Betriebsergebnis. So bleibt die GbR eine reine Vermietungsgesellschaft, und die Gastro-Risiken liegen beim Betreiber.</w:t>
      </w:r>
    </w:p>
    <w:p>
      <w:pPr>
        <w:pStyle w:val="ListBullet"/>
        <w:spacing w:after="60"/>
      </w:pPr>
      <w:r>
        <w:t>GbR: Nettoertrag 16.636 € im Monat, Kapitaldienst 17.189 €, Ergebnis −553 € im Monat ohne Eigenkapital.</w:t>
      </w:r>
    </w:p>
    <w:p>
      <w:pPr>
        <w:pStyle w:val="ListBullet"/>
        <w:spacing w:after="60"/>
      </w:pPr>
      <w:r>
        <w:t>Betreiberfirma: Betriebsergebnis nach Pacht +19.605 € im Monat bei 95.635 € Umsatz, ohne Lohn des Bauherrn.</w:t>
      </w:r>
    </w:p>
    <w:p>
      <w:pPr>
        <w:pStyle w:val="ListBullet"/>
        <w:spacing w:after="60"/>
      </w:pPr>
      <w:r>
        <w:t>Eine GbR haftet mit dem Privatvermögen aller Gesellschafter. Betreibt die GbR selbst die Gastro, wird sie insgesamt gewerblich (Gewerbesteuer), deshalb die Trennung. Rechtsform, Haftung und Steuer mit Anwalt und Steuerberater klären.</w:t>
      </w:r>
    </w:p>
    <w:p>
      <w:pPr>
        <w:pStyle w:val="Heading1"/>
      </w:pPr>
      <w:r>
        <w:t>7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4,8 %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74,2 %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10,6 %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2,4 %</w:t>
            </w:r>
          </w:p>
        </w:tc>
      </w:tr>
      <w:tr>
        <w:trPr>
          <w:cantSplit/>
        </w:trPr>
        <w:tc>
          <w:tcPr>
            <w:tcW w:type="dxa" w:w="3402"/>
          </w:tcPr>
          <w:p>
            <w:pPr>
              <w:keepNext/>
              <w:spacing w:after="20" w:before="20"/>
            </w:pPr>
            <w:r/>
            <w:r>
              <w:rPr>
                <w:sz w:val="18"/>
              </w:rPr>
              <w:t>Ausbau Gastro, Büros und 4 zusätzliche Wohnungen</w:t>
            </w:r>
          </w:p>
        </w:tc>
        <w:tc>
          <w:tcPr>
            <w:tcW w:type="dxa" w:w="2948"/>
          </w:tcPr>
          <w:p>
            <w:pPr>
              <w:keepNext/>
              <w:spacing w:after="20" w:before="20"/>
            </w:pPr>
            <w:r/>
            <w:r>
              <w:rPr>
                <w:sz w:val="18"/>
              </w:rPr>
              <w:t>Gastro 190.000 €, Büros 150 €/m², je Wohnung über 8: 15.000 €</w:t>
            </w:r>
          </w:p>
        </w:tc>
        <w:tc>
          <w:tcPr>
            <w:tcW w:type="dxa" w:w="1701"/>
          </w:tcPr>
          <w:p>
            <w:pPr>
              <w:keepNext/>
              <w:spacing w:after="20" w:before="20"/>
              <w:jc w:val="right"/>
            </w:pPr>
            <w:r/>
            <w:r>
              <w:rPr>
                <w:sz w:val="18"/>
              </w:rPr>
              <w:t>274.750 €</w:t>
            </w:r>
          </w:p>
        </w:tc>
        <w:tc>
          <w:tcPr>
            <w:tcW w:type="dxa" w:w="1361"/>
          </w:tcPr>
          <w:p>
            <w:pPr>
              <w:keepNext/>
              <w:spacing w:after="20" w:before="20"/>
              <w:jc w:val="right"/>
            </w:pPr>
            <w:r/>
            <w:r>
              <w:rPr>
                <w:sz w:val="18"/>
              </w:rPr>
              <w:t>5,6 %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279.048 €</w:t>
            </w:r>
          </w:p>
        </w:tc>
        <w:tc>
          <w:tcPr>
            <w:tcW w:type="dxa" w:w="1361"/>
          </w:tcPr>
          <w:p>
            <w:pPr>
              <w:keepNext/>
              <w:spacing w:after="20" w:before="20"/>
              <w:jc w:val="right"/>
            </w:pPr>
            <w:r/>
            <w:r>
              <w:rPr>
                <w:sz w:val="18"/>
              </w:rPr>
              <w:t>5,7 %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4.894.879 €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2.967 € je m² BGF. Baukosten von 2.200 €/m² (Bekanntenpreis des Bauherrn) und die Baunebenkosten sind durch Angebote von Bauunternehmen und Zimmerei zu belegen. QNG steht für das Qualitätssiegel Nachhaltiges Gebäude.</w:t>
      </w:r>
    </w:p>
    <w:p>
      <w:pPr>
        <w:pStyle w:val="Heading1"/>
      </w:pPr>
      <w:r>
        <w:t>8  Finanzierung mit KfW-Krediten</w:t>
      </w:r>
    </w:p>
    <w:p>
      <w:r>
        <w:rPr>
          <w:b w:val="0"/>
          <w:i w:val="0"/>
        </w:rPr>
        <w:t>Die Basisrechnung geht von 100 % Fremdfinanzierung aus, die Gesellschafter bringen kein Eigenkapital ein (im Blatt Annahmen einstellbar, siehe Szenarien). Die Kosten werden mit den zinsverbilligten KfW-Krediten „Klimafreundlicher Neubau“ und einem Darlehen der Hausbank gedeckt. Die KfW zahlt im Neubau keinen Zuschuss, die Förderung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1.800.000 €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1.947.379 €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4.894.879 €</w:t>
            </w:r>
          </w:p>
        </w:tc>
        <w:tc>
          <w:tcPr>
            <w:tcW w:type="dxa" w:w="1474"/>
            <w:shd w:val="clear" w:color="auto" w:fill="E3E8E5"/>
          </w:tcPr>
          <w:p>
            <w:pPr>
              <w:spacing w:after="20" w:before="20"/>
              <w:jc w:val="right"/>
            </w:pPr>
            <w:r/>
            <w:r>
              <w:rPr>
                <w:b/>
                <w:sz w:val="18"/>
              </w:rPr>
              <w:t>3,21 %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12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279.048 €. Zu Beginn der Rückzahlung stehen 4.894.879 € Darlehen.</w:t>
      </w:r>
    </w:p>
    <w:p>
      <w:pPr>
        <w:pStyle w:val="Heading1"/>
      </w:pPr>
      <w:r>
        <w:t>9  Förderungen im Überblick</w:t>
      </w:r>
    </w:p>
    <w:p>
      <w:r>
        <w:rPr>
          <w:b w:val="0"/>
          <w:i w:val="0"/>
        </w:rPr>
        <w:t>In die Rechnung eingebaut sind die KfW-Kredite. Weitere Förderungen sind als Option beschrieben, ihre Fristen und Voraussetzungen müssen Steuerberater und NBank prüfen.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3969"/>
        <w:gridCol w:w="2835"/>
      </w:tblGrid>
      <w:tr>
        <w:trPr>
          <w:cantSplit/>
        </w:trPr>
        <w:tc>
          <w:tcPr>
            <w:tcW w:type="dxa" w:w="2608"/>
            <w:shd w:val="clear" w:color="auto" w:fill="2F4A3E"/>
          </w:tcPr>
          <w:p>
            <w:pPr>
              <w:keepNext/>
              <w:spacing w:after="20" w:before="20"/>
            </w:pPr>
            <w:r/>
            <w:r>
              <w:rPr>
                <w:b/>
                <w:color w:val="FFFFFF"/>
                <w:sz w:val="17"/>
              </w:rPr>
              <w:t>Förderung</w:t>
            </w:r>
          </w:p>
        </w:tc>
        <w:tc>
          <w:tcPr>
            <w:tcW w:type="dxa" w:w="3969"/>
            <w:shd w:val="clear" w:color="auto" w:fill="2F4A3E"/>
          </w:tcPr>
          <w:p>
            <w:pPr>
              <w:keepNext/>
              <w:spacing w:after="20" w:before="20"/>
            </w:pPr>
            <w:r/>
            <w:r>
              <w:rPr>
                <w:b/>
                <w:color w:val="FFFFFF"/>
                <w:sz w:val="17"/>
              </w:rPr>
              <w:t>Inhalt</w:t>
            </w:r>
          </w:p>
        </w:tc>
        <w:tc>
          <w:tcPr>
            <w:tcW w:type="dxa" w:w="2835"/>
            <w:shd w:val="clear" w:color="auto" w:fill="2F4A3E"/>
          </w:tcPr>
          <w:p>
            <w:pPr>
              <w:keepNext/>
              <w:spacing w:after="20" w:before="20"/>
            </w:pPr>
            <w:r/>
            <w:r>
              <w:rPr>
                <w:b/>
                <w:color w:val="FFFFFF"/>
                <w:sz w:val="17"/>
              </w:rPr>
              <w:t>Wirkung im Projekt</w:t>
            </w:r>
          </w:p>
        </w:tc>
      </w:tr>
      <w:tr>
        <w:trPr>
          <w:cantSplit/>
        </w:trPr>
        <w:tc>
          <w:tcPr>
            <w:tcW w:type="dxa" w:w="2608"/>
          </w:tcPr>
          <w:p>
            <w:pPr>
              <w:keepNext/>
              <w:spacing w:after="20" w:before="20"/>
            </w:pPr>
            <w:r/>
            <w:r>
              <w:rPr>
                <w:sz w:val="17"/>
              </w:rPr>
              <w:t>KfW 298 (vermietete Wohnungen)</w:t>
            </w:r>
          </w:p>
        </w:tc>
        <w:tc>
          <w:tcPr>
            <w:tcW w:type="dxa" w:w="3969"/>
          </w:tcPr>
          <w:p>
            <w:pPr>
              <w:keepNext/>
              <w:spacing w:after="20" w:before="20"/>
            </w:pPr>
            <w:r/>
            <w:r>
              <w:rPr>
                <w:sz w:val="17"/>
              </w:rPr>
              <w:t>bis 150.000 € je Wohnung, Zins 2,5 % statt 4 %</w:t>
            </w:r>
          </w:p>
        </w:tc>
        <w:tc>
          <w:tcPr>
            <w:tcW w:type="dxa" w:w="2835"/>
          </w:tcPr>
          <w:p>
            <w:pPr>
              <w:keepNext/>
              <w:spacing w:after="20" w:before="20"/>
            </w:pPr>
            <w:r/>
            <w:r>
              <w:rPr>
                <w:sz w:val="17"/>
              </w:rPr>
              <w:t>1.800.000 €, spart 27.000 € im Jahr</w:t>
            </w:r>
          </w:p>
        </w:tc>
      </w:tr>
      <w:tr>
        <w:trPr>
          <w:cantSplit/>
        </w:trPr>
        <w:tc>
          <w:tcPr>
            <w:tcW w:type="dxa" w:w="2608"/>
          </w:tcPr>
          <w:p>
            <w:pPr>
              <w:keepNext/>
              <w:spacing w:after="20" w:before="20"/>
            </w:pPr>
            <w:r/>
            <w:r>
              <w:rPr>
                <w:sz w:val="17"/>
              </w:rPr>
              <w:t>KfW 299 (Gastro und Büros)</w:t>
            </w:r>
          </w:p>
        </w:tc>
        <w:tc>
          <w:tcPr>
            <w:tcW w:type="dxa" w:w="3969"/>
          </w:tcPr>
          <w:p>
            <w:pPr>
              <w:keepNext/>
              <w:spacing w:after="20" w:before="20"/>
            </w:pPr>
            <w:r/>
            <w:r>
              <w:rPr>
                <w:sz w:val="17"/>
              </w:rPr>
              <w:t>bis 2.000 € je m² Nettogrundfläche, Zins 3,0 %</w:t>
            </w:r>
          </w:p>
        </w:tc>
        <w:tc>
          <w:tcPr>
            <w:tcW w:type="dxa" w:w="2835"/>
          </w:tcPr>
          <w:p>
            <w:pPr>
              <w:keepNext/>
              <w:spacing w:after="20" w:before="20"/>
            </w:pPr>
            <w:r/>
            <w:r>
              <w:rPr>
                <w:sz w:val="17"/>
              </w:rPr>
              <w:t>1.147.500 €, spart 11.475 € im Jahr</w:t>
            </w:r>
          </w:p>
        </w:tc>
      </w:tr>
      <w:tr>
        <w:trPr>
          <w:cantSplit/>
        </w:trPr>
        <w:tc>
          <w:tcPr>
            <w:tcW w:type="dxa" w:w="2608"/>
          </w:tcPr>
          <w:p>
            <w:pPr>
              <w:keepNext/>
              <w:spacing w:after="20" w:before="20"/>
            </w:pPr>
            <w:r/>
            <w:r>
              <w:rPr>
                <w:sz w:val="17"/>
              </w:rPr>
              <w:t>Zinsvorteil KfW gesamt</w:t>
            </w:r>
          </w:p>
        </w:tc>
        <w:tc>
          <w:tcPr>
            <w:tcW w:type="dxa" w:w="3969"/>
          </w:tcPr>
          <w:p>
            <w:pPr>
              <w:keepNext/>
              <w:spacing w:after="20" w:before="20"/>
            </w:pPr>
            <w:r/>
            <w:r>
              <w:rPr>
                <w:sz w:val="17"/>
              </w:rPr>
              <w:t>gegenüber reiner Hausbank-Finanzierung zu 4,0 %</w:t>
            </w:r>
          </w:p>
        </w:tc>
        <w:tc>
          <w:tcPr>
            <w:tcW w:type="dxa" w:w="2835"/>
          </w:tcPr>
          <w:p>
            <w:pPr>
              <w:keepNext/>
              <w:spacing w:after="20" w:before="20"/>
            </w:pPr>
            <w:r/>
            <w:r>
              <w:rPr>
                <w:sz w:val="17"/>
              </w:rPr>
              <w:t>38.475 € im Jahr</w:t>
            </w:r>
          </w:p>
        </w:tc>
      </w:tr>
      <w:tr>
        <w:trPr>
          <w:cantSplit/>
        </w:trPr>
        <w:tc>
          <w:tcPr>
            <w:tcW w:type="dxa" w:w="2608"/>
          </w:tcPr>
          <w:p>
            <w:pPr>
              <w:keepNext/>
              <w:spacing w:after="20" w:before="20"/>
            </w:pPr>
            <w:r/>
            <w:r>
              <w:rPr>
                <w:sz w:val="17"/>
              </w:rPr>
              <w:t>Degressive Abschreibung (Option)</w:t>
            </w:r>
          </w:p>
        </w:tc>
        <w:tc>
          <w:tcPr>
            <w:tcW w:type="dxa" w:w="3969"/>
          </w:tcPr>
          <w:p>
            <w:pPr>
              <w:keepNext/>
              <w:spacing w:after="20" w:before="20"/>
            </w:pPr>
            <w:r/>
            <w:r>
              <w:rPr>
                <w:sz w:val="17"/>
              </w:rPr>
              <w:t>5 % vom Restwert im Wohnteil statt 3 % linear (§ 7 Abs. 5a EStG)</w:t>
            </w:r>
          </w:p>
        </w:tc>
        <w:tc>
          <w:tcPr>
            <w:tcW w:type="dxa" w:w="2835"/>
          </w:tcPr>
          <w:p>
            <w:pPr>
              <w:keepNext/>
              <w:spacing w:after="20" w:before="20"/>
            </w:pPr>
            <w:r/>
            <w:r>
              <w:rPr>
                <w:sz w:val="17"/>
              </w:rPr>
              <w:t>Abschreibung 282.367 € statt 131.387 € im ersten Jahr (mit Sonder-AfA)</w:t>
            </w:r>
          </w:p>
        </w:tc>
      </w:tr>
      <w:tr>
        <w:trPr>
          <w:cantSplit/>
        </w:trPr>
        <w:tc>
          <w:tcPr>
            <w:tcW w:type="dxa" w:w="2608"/>
          </w:tcPr>
          <w:p>
            <w:pPr>
              <w:keepNext/>
              <w:spacing w:after="20" w:before="20"/>
            </w:pPr>
            <w:r/>
            <w:r>
              <w:rPr>
                <w:sz w:val="17"/>
              </w:rPr>
              <w:t>Sonder-AfA Mietwohnungsneubau (Option)</w:t>
            </w:r>
          </w:p>
        </w:tc>
        <w:tc>
          <w:tcPr>
            <w:tcW w:type="dxa" w:w="3969"/>
          </w:tcPr>
          <w:p>
            <w:pPr>
              <w:keepNext/>
              <w:spacing w:after="20" w:before="20"/>
            </w:pPr>
            <w:r/>
            <w:r>
              <w:rPr>
                <w:sz w:val="17"/>
              </w:rPr>
              <w:t>zusätzlich 5 % in 4 Jahren, Baukostengrenze 5.200 €/m², 10 Jahre Vermietung (§ 7b EStG)</w:t>
            </w:r>
          </w:p>
        </w:tc>
        <w:tc>
          <w:tcPr>
            <w:tcW w:type="dxa" w:w="2835"/>
          </w:tcPr>
          <w:p>
            <w:pPr>
              <w:keepNext/>
              <w:spacing w:after="20" w:before="20"/>
            </w:pPr>
            <w:r/>
            <w:r>
              <w:rPr>
                <w:sz w:val="17"/>
              </w:rPr>
              <w:t>im Wohnteil, in der Zahl oben enthalten</w:t>
            </w:r>
          </w:p>
        </w:tc>
      </w:tr>
      <w:tr>
        <w:trPr>
          <w:cantSplit/>
        </w:trPr>
        <w:tc>
          <w:tcPr>
            <w:tcW w:type="dxa" w:w="2608"/>
          </w:tcPr>
          <w:p>
            <w:pPr>
              <w:spacing w:after="20" w:before="20"/>
            </w:pPr>
            <w:r/>
            <w:r>
              <w:rPr>
                <w:sz w:val="17"/>
              </w:rPr>
              <w:t>NBank Mietwohnraumförderung (Option)</w:t>
            </w:r>
          </w:p>
        </w:tc>
        <w:tc>
          <w:tcPr>
            <w:tcW w:type="dxa" w:w="3969"/>
          </w:tcPr>
          <w:p>
            <w:pPr>
              <w:spacing w:after="20" w:before="20"/>
            </w:pPr>
            <w:r/>
            <w:r>
              <w:rPr>
                <w:sz w:val="17"/>
              </w:rPr>
              <w:t>zinsloses Darlehen, Zuschuss 2 bis 3 € je m² Wohnfläche und Monat gegen Mietbindung, Mietobergrenze ca. 6,50 bis 6,80 €/m²</w:t>
            </w:r>
          </w:p>
        </w:tc>
        <w:tc>
          <w:tcPr>
            <w:tcW w:type="dxa" w:w="2835"/>
          </w:tcPr>
          <w:p>
            <w:pPr>
              <w:spacing w:after="20" w:before="20"/>
            </w:pPr>
            <w:r/>
            <w:r>
              <w:rPr>
                <w:sz w:val="17"/>
              </w:rPr>
              <w:t>nicht gerechnet, passt nicht zur angesetzten Miete von 11,18 €/m²</w:t>
            </w:r>
          </w:p>
        </w:tc>
      </w:tr>
    </w:tbl>
    <w:p>
      <w:pPr>
        <w:spacing w:after="40"/>
      </w:pPr>
    </w:p>
    <w:p>
      <w:r>
        <w:rPr>
          <w:b w:val="0"/>
          <w:i/>
          <w:color w:val="5B6770"/>
          <w:sz w:val="18"/>
        </w:rPr>
        <w:t>Hinweis: Die Fristen der steuerlichen Förderungen und die aktuellen NBank-Konditionen sind in den Quellen nicht eindeutig und müssen vor einer Entscheidung geprüft werden.</w:t>
      </w:r>
    </w:p>
    <w:p>
      <w:pPr>
        <w:pStyle w:val="Heading1"/>
      </w:pPr>
      <w:r>
        <w:t>10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1.800.000 €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5.250 €</w:t>
            </w:r>
          </w:p>
        </w:tc>
        <w:tc>
          <w:tcPr>
            <w:tcW w:type="dxa" w:w="1474"/>
          </w:tcPr>
          <w:p>
            <w:pPr>
              <w:keepNext/>
              <w:spacing w:after="20" w:before="20"/>
              <w:jc w:val="right"/>
            </w:pPr>
            <w:r/>
            <w:r>
              <w:rPr>
                <w:sz w:val="18"/>
              </w:rPr>
              <w:t>63.000 €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1.947.379 €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8.114 €</w:t>
            </w:r>
          </w:p>
        </w:tc>
        <w:tc>
          <w:tcPr>
            <w:tcW w:type="dxa" w:w="1474"/>
          </w:tcPr>
          <w:p>
            <w:pPr>
              <w:keepNext/>
              <w:spacing w:after="20" w:before="20"/>
              <w:jc w:val="right"/>
            </w:pPr>
            <w:r/>
            <w:r>
              <w:rPr>
                <w:sz w:val="18"/>
              </w:rPr>
              <w:t>97.369 €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4.894.879 €</w:t>
            </w:r>
          </w:p>
        </w:tc>
        <w:tc>
          <w:tcPr>
            <w:tcW w:type="dxa" w:w="1077"/>
            <w:shd w:val="clear" w:color="auto" w:fill="E3E8E5"/>
          </w:tcPr>
          <w:p>
            <w:pPr>
              <w:spacing w:after="20" w:before="20"/>
              <w:jc w:val="right"/>
            </w:pPr>
            <w:r/>
            <w:r>
              <w:rPr>
                <w:b/>
                <w:sz w:val="18"/>
              </w:rPr>
              <w:t>3,21 %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17.189 €</w:t>
            </w:r>
          </w:p>
        </w:tc>
        <w:tc>
          <w:tcPr>
            <w:tcW w:type="dxa" w:w="1474"/>
            <w:shd w:val="clear" w:color="auto" w:fill="E3E8E5"/>
          </w:tcPr>
          <w:p>
            <w:pPr>
              <w:spacing w:after="20" w:before="20"/>
              <w:jc w:val="right"/>
            </w:pPr>
            <w:r/>
            <w:r>
              <w:rPr>
                <w:b/>
                <w:sz w:val="18"/>
              </w:rPr>
              <w:t>206.269 €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156.592 €</w:t>
            </w:r>
          </w:p>
        </w:tc>
        <w:tc>
          <w:tcPr>
            <w:tcW w:type="dxa" w:w="1701"/>
          </w:tcPr>
          <w:p>
            <w:pPr>
              <w:keepNext/>
              <w:spacing w:after="20" w:before="20"/>
              <w:jc w:val="right"/>
            </w:pPr>
            <w:r/>
            <w:r>
              <w:rPr>
                <w:sz w:val="18"/>
              </w:rPr>
              <w:t>49.677 €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4.845.203 €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154.970 €</w:t>
            </w:r>
          </w:p>
        </w:tc>
        <w:tc>
          <w:tcPr>
            <w:tcW w:type="dxa" w:w="1701"/>
          </w:tcPr>
          <w:p>
            <w:pPr>
              <w:keepNext/>
              <w:spacing w:after="20" w:before="20"/>
              <w:jc w:val="right"/>
            </w:pPr>
            <w:r/>
            <w:r>
              <w:rPr>
                <w:sz w:val="18"/>
              </w:rPr>
              <w:t>51.299 €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4.793.904 €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153.292 €</w:t>
            </w:r>
          </w:p>
        </w:tc>
        <w:tc>
          <w:tcPr>
            <w:tcW w:type="dxa" w:w="1701"/>
          </w:tcPr>
          <w:p>
            <w:pPr>
              <w:keepNext/>
              <w:spacing w:after="20" w:before="20"/>
              <w:jc w:val="right"/>
            </w:pPr>
            <w:r/>
            <w:r>
              <w:rPr>
                <w:sz w:val="18"/>
              </w:rPr>
              <w:t>52.977 €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4.740.927 €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149.763 €</w:t>
            </w:r>
          </w:p>
        </w:tc>
        <w:tc>
          <w:tcPr>
            <w:tcW w:type="dxa" w:w="1701"/>
          </w:tcPr>
          <w:p>
            <w:pPr>
              <w:keepNext/>
              <w:spacing w:after="20" w:before="20"/>
              <w:jc w:val="right"/>
            </w:pPr>
            <w:r/>
            <w:r>
              <w:rPr>
                <w:sz w:val="18"/>
              </w:rPr>
              <w:t>56.506 €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4.629.709 €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139.824 €</w:t>
            </w:r>
          </w:p>
        </w:tc>
        <w:tc>
          <w:tcPr>
            <w:tcW w:type="dxa" w:w="1701"/>
            <w:shd w:val="clear" w:color="auto" w:fill="E3E8E5"/>
          </w:tcPr>
          <w:p>
            <w:pPr>
              <w:keepNext/>
              <w:spacing w:after="20" w:before="20"/>
              <w:jc w:val="right"/>
            </w:pPr>
            <w:r/>
            <w:r>
              <w:rPr>
                <w:b/>
                <w:sz w:val="18"/>
              </w:rPr>
              <w:t>66.444 €</w:t>
            </w:r>
          </w:p>
        </w:tc>
        <w:tc>
          <w:tcPr>
            <w:tcW w:type="dxa" w:w="1814"/>
            <w:shd w:val="clear" w:color="auto" w:fill="E3E8E5"/>
          </w:tcPr>
          <w:p>
            <w:pPr>
              <w:keepNext/>
              <w:spacing w:after="20" w:before="20"/>
              <w:jc w:val="right"/>
            </w:pPr>
            <w:r/>
            <w:r>
              <w:rPr>
                <w:b/>
                <w:sz w:val="18"/>
              </w:rPr>
              <w:t>206.269 €</w:t>
            </w:r>
          </w:p>
        </w:tc>
        <w:tc>
          <w:tcPr>
            <w:tcW w:type="dxa" w:w="1814"/>
            <w:shd w:val="clear" w:color="auto" w:fill="E3E8E5"/>
          </w:tcPr>
          <w:p>
            <w:pPr>
              <w:keepNext/>
              <w:spacing w:after="20" w:before="20"/>
              <w:jc w:val="right"/>
            </w:pPr>
            <w:r/>
            <w:r>
              <w:rPr>
                <w:b/>
                <w:sz w:val="18"/>
              </w:rPr>
              <w:t>4.318.034 €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128.051 €</w:t>
            </w:r>
          </w:p>
        </w:tc>
        <w:tc>
          <w:tcPr>
            <w:tcW w:type="dxa" w:w="1701"/>
          </w:tcPr>
          <w:p>
            <w:pPr>
              <w:keepNext/>
              <w:spacing w:after="20" w:before="20"/>
              <w:jc w:val="right"/>
            </w:pPr>
            <w:r/>
            <w:r>
              <w:rPr>
                <w:sz w:val="18"/>
              </w:rPr>
              <w:t>78.218 €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3.951.292 €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114.089 €</w:t>
            </w:r>
          </w:p>
        </w:tc>
        <w:tc>
          <w:tcPr>
            <w:tcW w:type="dxa" w:w="1701"/>
          </w:tcPr>
          <w:p>
            <w:pPr>
              <w:keepNext/>
              <w:spacing w:after="20" w:before="20"/>
              <w:jc w:val="right"/>
            </w:pPr>
            <w:r/>
            <w:r>
              <w:rPr>
                <w:sz w:val="18"/>
              </w:rPr>
              <w:t>92.180 €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3.519.271 €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97.513 €</w:t>
            </w:r>
          </w:p>
        </w:tc>
        <w:tc>
          <w:tcPr>
            <w:tcW w:type="dxa" w:w="1701"/>
          </w:tcPr>
          <w:p>
            <w:pPr>
              <w:keepNext/>
              <w:spacing w:after="20" w:before="20"/>
              <w:jc w:val="right"/>
            </w:pPr>
            <w:r/>
            <w:r>
              <w:rPr>
                <w:sz w:val="18"/>
              </w:rPr>
              <w:t>108.756 €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3.009.784 €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77.814 €</w:t>
            </w:r>
          </w:p>
        </w:tc>
        <w:tc>
          <w:tcPr>
            <w:tcW w:type="dxa" w:w="1701"/>
          </w:tcPr>
          <w:p>
            <w:pPr>
              <w:keepNext/>
              <w:spacing w:after="20" w:before="20"/>
              <w:jc w:val="right"/>
            </w:pPr>
            <w:r/>
            <w:r>
              <w:rPr>
                <w:sz w:val="18"/>
              </w:rPr>
              <w:t>128.455 €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2.408.271 €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54.379 €</w:t>
            </w:r>
          </w:p>
        </w:tc>
        <w:tc>
          <w:tcPr>
            <w:tcW w:type="dxa" w:w="1701"/>
          </w:tcPr>
          <w:p>
            <w:pPr>
              <w:spacing w:after="20" w:before="20"/>
              <w:jc w:val="right"/>
            </w:pPr>
            <w:r/>
            <w:r>
              <w:rPr>
                <w:sz w:val="18"/>
              </w:rPr>
              <w:t>151.890 €</w:t>
            </w:r>
          </w:p>
        </w:tc>
        <w:tc>
          <w:tcPr>
            <w:tcW w:type="dxa" w:w="1814"/>
          </w:tcPr>
          <w:p>
            <w:pPr>
              <w:spacing w:after="20" w:before="20"/>
              <w:jc w:val="right"/>
            </w:pPr>
            <w:r/>
            <w:r>
              <w:rPr>
                <w:sz w:val="18"/>
              </w:rPr>
              <w:t>206.269 €</w:t>
            </w:r>
          </w:p>
        </w:tc>
        <w:tc>
          <w:tcPr>
            <w:tcW w:type="dxa" w:w="1814"/>
          </w:tcPr>
          <w:p>
            <w:pPr>
              <w:spacing w:after="20" w:before="20"/>
              <w:jc w:val="right"/>
            </w:pPr>
            <w:r/>
            <w:r>
              <w:rPr>
                <w:sz w:val="18"/>
              </w:rPr>
              <w:t>1.697.323 €</w:t>
            </w:r>
          </w:p>
        </w:tc>
      </w:tr>
    </w:tbl>
    <w:p>
      <w:pPr>
        <w:spacing w:after="40"/>
      </w:pPr>
    </w:p>
    <w:p>
      <w:pPr>
        <w:spacing w:after="80"/>
      </w:pPr>
      <w:r>
        <w:rPr>
          <w:b w:val="0"/>
          <w:i w:val="0"/>
        </w:rPr>
        <w:t>Nach 10 Jahren beträgt die Restschuld 4.318.034 €. Die Anschlussfinanzierung ist eingeplant, ein Zinsanstieg um einen Prozentpunkt auf die Restschuld kostet ca. 3.598 € pro Monat mehr. Die Bank kann eine höhere Tilgung verlangen, im Modell ist sie einstellbar.</w:t>
      </w:r>
    </w:p>
    <w:p>
      <w:pPr>
        <w:pStyle w:val="Heading1"/>
      </w:pPr>
      <w:r>
        <w:t>11  Ertrag und Kapitaldienst</w:t>
      </w:r>
    </w:p>
    <w:p>
      <w:r>
        <w:rPr>
          <w:b w:val="0"/>
          <w:i/>
          <w:color w:val="5B6770"/>
          <w:sz w:val="18"/>
        </w:rPr>
        <w:t>Die Tabelle zeigt die Vermietungs-GbR. Das Betriebsergebnis der Gastro gehört der Betreiberfirma des Bauherrn und ist nur zur Information aufgeführt.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(12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(10 % vom Umsatz, mindestens 10 €/m²)</w:t>
            </w:r>
          </w:p>
        </w:tc>
        <w:tc>
          <w:tcPr>
            <w:tcW w:type="dxa" w:w="2154"/>
          </w:tcPr>
          <w:p>
            <w:pPr>
              <w:keepNext/>
              <w:spacing w:after="20" w:before="20"/>
              <w:jc w:val="right"/>
            </w:pPr>
            <w:r/>
            <w:r>
              <w:rPr>
                <w:sz w:val="18"/>
              </w:rPr>
              <w:t>+9.564 €</w:t>
            </w:r>
          </w:p>
        </w:tc>
        <w:tc>
          <w:tcPr>
            <w:tcW w:type="dxa" w:w="2154"/>
          </w:tcPr>
          <w:p>
            <w:pPr>
              <w:keepNext/>
              <w:spacing w:after="20" w:before="20"/>
              <w:jc w:val="right"/>
            </w:pPr>
            <w:r/>
            <w:r>
              <w:rPr>
                <w:sz w:val="18"/>
              </w:rPr>
              <w:t>+114.762 €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−1.848 €</w:t>
            </w:r>
          </w:p>
        </w:tc>
        <w:tc>
          <w:tcPr>
            <w:tcW w:type="dxa" w:w="2154"/>
          </w:tcPr>
          <w:p>
            <w:pPr>
              <w:keepNext/>
              <w:spacing w:after="20" w:before="20"/>
              <w:jc w:val="right"/>
            </w:pPr>
            <w:r/>
            <w:r>
              <w:rPr>
                <w:sz w:val="18"/>
              </w:rPr>
              <w:t>−22.181 €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+16.636 €</w:t>
            </w:r>
          </w:p>
        </w:tc>
        <w:tc>
          <w:tcPr>
            <w:tcW w:type="dxa" w:w="2154"/>
            <w:shd w:val="clear" w:color="auto" w:fill="E3E8E5"/>
          </w:tcPr>
          <w:p>
            <w:pPr>
              <w:keepNext/>
              <w:spacing w:after="20" w:before="20"/>
              <w:jc w:val="right"/>
            </w:pPr>
            <w:r/>
            <w:r>
              <w:rPr>
                <w:b/>
                <w:sz w:val="18"/>
              </w:rPr>
              <w:t>+199.628 €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−17.189 €</w:t>
            </w:r>
          </w:p>
        </w:tc>
        <w:tc>
          <w:tcPr>
            <w:tcW w:type="dxa" w:w="2154"/>
          </w:tcPr>
          <w:p>
            <w:pPr>
              <w:keepNext/>
              <w:spacing w:after="20" w:before="20"/>
              <w:jc w:val="right"/>
            </w:pPr>
            <w:r/>
            <w:r>
              <w:rPr>
                <w:sz w:val="18"/>
              </w:rPr>
              <w:t>−206.269 €</w:t>
            </w:r>
          </w:p>
        </w:tc>
      </w:tr>
      <w:tr>
        <w:trPr>
          <w:cantSplit/>
        </w:trPr>
        <w:tc>
          <w:tcPr>
            <w:tcW w:type="dxa" w:w="5102"/>
            <w:shd w:val="clear" w:color="auto" w:fill="E3E8E5"/>
          </w:tcPr>
          <w:p>
            <w:pPr>
              <w:keepNext/>
              <w:spacing w:after="20" w:before="20"/>
            </w:pPr>
            <w:r/>
            <w:r>
              <w:rPr>
                <w:b/>
                <w:sz w:val="18"/>
              </w:rPr>
              <w:t>Ergebnis der GbR nach Kapitaldienst</w:t>
            </w:r>
          </w:p>
        </w:tc>
        <w:tc>
          <w:tcPr>
            <w:tcW w:type="dxa" w:w="2154"/>
            <w:shd w:val="clear" w:color="auto" w:fill="E3E8E5"/>
          </w:tcPr>
          <w:p>
            <w:pPr>
              <w:keepNext/>
              <w:spacing w:after="20" w:before="20"/>
              <w:jc w:val="right"/>
            </w:pPr>
            <w:r/>
            <w:r>
              <w:rPr>
                <w:b/>
                <w:sz w:val="18"/>
              </w:rPr>
              <w:t>−553 €</w:t>
            </w:r>
          </w:p>
        </w:tc>
        <w:tc>
          <w:tcPr>
            <w:tcW w:type="dxa" w:w="2154"/>
            <w:shd w:val="clear" w:color="auto" w:fill="E3E8E5"/>
          </w:tcPr>
          <w:p>
            <w:pPr>
              <w:keepNext/>
              <w:spacing w:after="20" w:before="20"/>
              <w:jc w:val="right"/>
            </w:pPr>
            <w:r/>
            <w:r>
              <w:rPr>
                <w:b/>
                <w:sz w:val="18"/>
              </w:rPr>
              <w:t>−6.641 €</w:t>
            </w:r>
          </w:p>
        </w:tc>
      </w:tr>
      <w:tr>
        <w:trPr>
          <w:cantSplit/>
        </w:trPr>
        <w:tc>
          <w:tcPr>
            <w:tcW w:type="dxa" w:w="5102"/>
          </w:tcPr>
          <w:p>
            <w:pPr>
              <w:keepNext/>
              <w:spacing w:after="20" w:before="20"/>
            </w:pPr>
            <w:r/>
            <w:r>
              <w:rPr>
                <w:sz w:val="18"/>
              </w:rPr>
              <w:t>Betriebsergebnis Gastro nach Pacht (Betreiberfirma, 95.635 € Umsatz)</w:t>
            </w:r>
          </w:p>
        </w:tc>
        <w:tc>
          <w:tcPr>
            <w:tcW w:type="dxa" w:w="2154"/>
          </w:tcPr>
          <w:p>
            <w:pPr>
              <w:keepNext/>
              <w:spacing w:after="20" w:before="20"/>
              <w:jc w:val="right"/>
            </w:pPr>
            <w:r/>
            <w:r>
              <w:rPr>
                <w:sz w:val="18"/>
              </w:rPr>
              <w:t>+19.605 €</w:t>
            </w:r>
          </w:p>
        </w:tc>
        <w:tc>
          <w:tcPr>
            <w:tcW w:type="dxa" w:w="2154"/>
          </w:tcPr>
          <w:p>
            <w:pPr>
              <w:keepNext/>
              <w:spacing w:after="20" w:before="20"/>
              <w:jc w:val="right"/>
            </w:pPr>
            <w:r/>
            <w:r>
              <w:rPr>
                <w:sz w:val="18"/>
              </w:rPr>
              <w:t>+235.262 €</w:t>
            </w:r>
          </w:p>
        </w:tc>
      </w:tr>
      <w:tr>
        <w:trPr>
          <w:cantSplit/>
        </w:trPr>
        <w:tc>
          <w:tcPr>
            <w:tcW w:type="dxa" w:w="5102"/>
            <w:shd w:val="clear" w:color="auto" w:fill="E3E8E5"/>
          </w:tcPr>
          <w:p>
            <w:pPr>
              <w:spacing w:after="20" w:before="20"/>
            </w:pPr>
            <w:r/>
            <w:r>
              <w:rPr>
                <w:b/>
                <w:sz w:val="18"/>
              </w:rPr>
              <w:t>Gesamtergebnis Bauherr (zur Information)</w:t>
            </w:r>
          </w:p>
        </w:tc>
        <w:tc>
          <w:tcPr>
            <w:tcW w:type="dxa" w:w="2154"/>
            <w:shd w:val="clear" w:color="auto" w:fill="E3E8E5"/>
          </w:tcPr>
          <w:p>
            <w:pPr>
              <w:spacing w:after="20" w:before="20"/>
              <w:jc w:val="right"/>
            </w:pPr>
            <w:r/>
            <w:r>
              <w:rPr>
                <w:b/>
                <w:sz w:val="18"/>
              </w:rPr>
              <w:t>+19.052 €</w:t>
            </w:r>
          </w:p>
        </w:tc>
        <w:tc>
          <w:tcPr>
            <w:tcW w:type="dxa" w:w="2154"/>
            <w:shd w:val="clear" w:color="auto" w:fill="E3E8E5"/>
          </w:tcPr>
          <w:p>
            <w:pPr>
              <w:spacing w:after="20" w:before="20"/>
              <w:jc w:val="right"/>
            </w:pPr>
            <w:r/>
            <w:r>
              <w:rPr>
                <w:b/>
                <w:sz w:val="18"/>
              </w:rPr>
              <w:t>+228.621 €</w:t>
            </w:r>
          </w:p>
        </w:tc>
      </w:tr>
    </w:tbl>
    <w:p>
      <w:pPr>
        <w:spacing w:after="40"/>
      </w:pPr>
    </w:p>
    <w:p>
      <w:pPr>
        <w:pStyle w:val="ListBullet"/>
        <w:spacing w:after="60"/>
      </w:pPr>
      <w:r>
        <w:rPr>
          <w:b/>
        </w:rPr>
        <w:t xml:space="preserve">Kapitaldienstdeckung (DSCR) der GbR: </w:t>
      </w:r>
      <w:r>
        <w:t>0,97, nur aus Wohnen und Büro 0,47, mit dem Gastro-Gewinn des Bauherrn 2,11. Banken verlangen meist mindestens 1,2.</w:t>
      </w:r>
    </w:p>
    <w:p>
      <w:pPr>
        <w:pStyle w:val="ListBullet"/>
        <w:spacing w:after="60"/>
      </w:pPr>
      <w:r>
        <w:rPr>
          <w:b/>
        </w:rPr>
        <w:t xml:space="preserve">Zinsdeckung: </w:t>
      </w:r>
      <w:r>
        <w:t>1,27 (Ertrag der GbR im Verhältnis zu den Zinsen).</w:t>
      </w:r>
    </w:p>
    <w:p>
      <w:pPr>
        <w:pStyle w:val="ListBullet"/>
        <w:spacing w:after="60"/>
      </w:pPr>
      <w:r>
        <w:rPr>
          <w:b/>
        </w:rPr>
        <w:t xml:space="preserve">Anfangsrendite: </w:t>
      </w:r>
      <w:r>
        <w:t>4,08 % (Nettoertrag der Immobilie auf die Gesamtkosten).</w:t>
      </w:r>
    </w:p>
    <w:p>
      <w:pPr>
        <w:pStyle w:val="ListBullet"/>
        <w:spacing w:after="60"/>
      </w:pPr>
      <w:r>
        <w:rPr>
          <w:b/>
        </w:rPr>
        <w:t xml:space="preserve">Break-even: </w:t>
      </w:r>
      <w:r>
        <w:t>Die GbR deckt alle Raten ab ca. 101.800 € Gastro-Umsatz im Monat (Umsatzpacht).</w:t>
      </w:r>
    </w:p>
    <w:p>
      <w:r>
        <w:rPr>
          <w:b w:val="0"/>
          <w:i/>
          <w:color w:val="5B6770"/>
          <w:sz w:val="18"/>
        </w:rPr>
        <w:t>Die Pacht hängt am Umsatz der Gastro und ist für die Bank der unsichere Teil des Ertrags. Ein Pachtvertrag mit Mindestpacht und Bürgschaft des Betreibers und ein überzeugendes Gastro-Konzept sind deshalb entscheidend.</w:t>
      </w:r>
    </w:p>
    <w:p>
      <w:pPr>
        <w:pStyle w:val="Heading1"/>
      </w:pPr>
      <w:r>
        <w:t>12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221.809 €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−28.330 €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193.479 €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18,5)</w:t>
            </w:r>
          </w:p>
        </w:tc>
        <w:tc>
          <w:tcPr>
            <w:tcW w:type="dxa" w:w="3175"/>
          </w:tcPr>
          <w:p>
            <w:pPr>
              <w:keepNext/>
              <w:spacing w:after="20" w:before="20"/>
              <w:jc w:val="right"/>
            </w:pPr>
            <w:r/>
            <w:r>
              <w:rPr>
                <w:sz w:val="18"/>
              </w:rPr>
              <w:t>3.370.838 €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3.591.638 €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1.772.307 €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1.545.049 €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3.232.474 €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4.894.879 €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151 %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−1.303.241 €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2.308.900 €</w:t>
            </w:r>
          </w:p>
        </w:tc>
      </w:tr>
    </w:tbl>
    <w:p>
      <w:pPr>
        <w:spacing w:after="40"/>
      </w:pPr>
    </w:p>
    <w:p>
      <w:pPr>
        <w:spacing w:after="40"/>
      </w:pPr>
      <w:r>
        <w:rPr>
          <w:b/>
          <w:i w:val="0"/>
          <w:color w:val="2F4A3E"/>
        </w:rPr>
        <w:t>Bewertung</w:t>
      </w:r>
    </w:p>
    <w:p>
      <w:r>
        <w:rPr>
          <w:b w:val="0"/>
          <w:i w:val="0"/>
        </w:rPr>
        <w:t>Die Mieten, Büromieten und die Pacht tragen einen Ertragswert von 3,59 Mio. €, die Kosten liegen bei 4,89 Mio. €. Bei 100 % Fremdfinanzierung ergibt sich ein Beleihungsauslauf von 151 %, Banken beleihen üblicherweise nur bis ca. 80 %. Um das Darlehen darstellen zu können, bietet der Bauherr der Bank zusätzliche Sicherheiten an, etwa Grundschulden auf weitere Immobilien, eine Bürgschaft oder Eigenkapital. Rechnerisch geht es um ca. 2,31 Mio. €. Weitere Hebel sind höhere Mieten durch Vorvermietung, niedrigere Baukosten durch die Angebote der Bekannten-Unternehmen und eine Städtebauförderung (Zuschuss der Stadt, noch offen).</w:t>
      </w:r>
    </w:p>
    <w:p>
      <w:pPr>
        <w:pStyle w:val="Heading1"/>
      </w:pPr>
      <w:r>
        <w:t>13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Immobilie (GbR)</w:t>
            </w:r>
          </w:p>
        </w:tc>
        <w:tc>
          <w:tcPr>
            <w:tcW w:type="dxa" w:w="1304"/>
          </w:tcPr>
          <w:p>
            <w:pPr>
              <w:keepNext/>
              <w:spacing w:after="20" w:before="20"/>
              <w:jc w:val="right"/>
            </w:pPr>
            <w:r/>
            <w:r>
              <w:rPr>
                <w:sz w:val="17"/>
              </w:rPr>
              <w:t>199.628 €</w:t>
            </w:r>
          </w:p>
        </w:tc>
        <w:tc>
          <w:tcPr>
            <w:tcW w:type="dxa" w:w="1304"/>
          </w:tcPr>
          <w:p>
            <w:pPr>
              <w:keepNext/>
              <w:spacing w:after="20" w:before="20"/>
              <w:jc w:val="right"/>
            </w:pPr>
            <w:r/>
            <w:r>
              <w:rPr>
                <w:sz w:val="17"/>
              </w:rPr>
              <w:t>205.838 €</w:t>
            </w:r>
          </w:p>
        </w:tc>
        <w:tc>
          <w:tcPr>
            <w:tcW w:type="dxa" w:w="1304"/>
          </w:tcPr>
          <w:p>
            <w:pPr>
              <w:keepNext/>
              <w:spacing w:after="20" w:before="20"/>
              <w:jc w:val="right"/>
            </w:pPr>
            <w:r/>
            <w:r>
              <w:rPr>
                <w:sz w:val="17"/>
              </w:rPr>
              <w:t>212.242 €</w:t>
            </w:r>
          </w:p>
        </w:tc>
        <w:tc>
          <w:tcPr>
            <w:tcW w:type="dxa" w:w="1304"/>
          </w:tcPr>
          <w:p>
            <w:pPr>
              <w:keepNext/>
              <w:spacing w:after="20" w:before="20"/>
              <w:jc w:val="right"/>
            </w:pPr>
            <w:r/>
            <w:r>
              <w:rPr>
                <w:sz w:val="17"/>
              </w:rPr>
              <w:t>218.847 €</w:t>
            </w:r>
          </w:p>
        </w:tc>
        <w:tc>
          <w:tcPr>
            <w:tcW w:type="dxa" w:w="1304"/>
          </w:tcPr>
          <w:p>
            <w:pPr>
              <w:keepNext/>
              <w:spacing w:after="20" w:before="20"/>
              <w:jc w:val="right"/>
            </w:pPr>
            <w:r/>
            <w:r>
              <w:rPr>
                <w:sz w:val="17"/>
              </w:rPr>
              <w:t>229.146 €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r>
      <w:tr>
        <w:trPr>
          <w:cantSplit/>
        </w:trPr>
        <w:tc>
          <w:tcPr>
            <w:tcW w:type="dxa" w:w="2891"/>
            <w:shd w:val="clear" w:color="auto" w:fill="E3E8E5"/>
          </w:tcPr>
          <w:p>
            <w:pPr>
              <w:keepNext/>
              <w:spacing w:after="20" w:before="20"/>
            </w:pPr>
            <w:r/>
            <w:r>
              <w:rPr>
                <w:b/>
                <w:sz w:val="17"/>
              </w:rPr>
              <w:t>Ergebnis der GbR nach Kapitaldienst</w:t>
            </w:r>
          </w:p>
        </w:tc>
        <w:tc>
          <w:tcPr>
            <w:tcW w:type="dxa" w:w="1304"/>
            <w:shd w:val="clear" w:color="auto" w:fill="E3E8E5"/>
          </w:tcPr>
          <w:p>
            <w:pPr>
              <w:keepNext/>
              <w:spacing w:after="20" w:before="20"/>
              <w:jc w:val="right"/>
            </w:pPr>
            <w:r/>
            <w:r>
              <w:rPr>
                <w:b/>
                <w:sz w:val="17"/>
              </w:rPr>
              <w:t>−6.641 €</w:t>
            </w:r>
          </w:p>
        </w:tc>
        <w:tc>
          <w:tcPr>
            <w:tcW w:type="dxa" w:w="1304"/>
            <w:shd w:val="clear" w:color="auto" w:fill="E3E8E5"/>
          </w:tcPr>
          <w:p>
            <w:pPr>
              <w:keepNext/>
              <w:spacing w:after="20" w:before="20"/>
              <w:jc w:val="right"/>
            </w:pPr>
            <w:r/>
            <w:r>
              <w:rPr>
                <w:b/>
                <w:sz w:val="17"/>
              </w:rPr>
              <w:t>−431 €</w:t>
            </w:r>
          </w:p>
        </w:tc>
        <w:tc>
          <w:tcPr>
            <w:tcW w:type="dxa" w:w="1304"/>
            <w:shd w:val="clear" w:color="auto" w:fill="E3E8E5"/>
          </w:tcPr>
          <w:p>
            <w:pPr>
              <w:keepNext/>
              <w:spacing w:after="20" w:before="20"/>
              <w:jc w:val="right"/>
            </w:pPr>
            <w:r/>
            <w:r>
              <w:rPr>
                <w:b/>
                <w:sz w:val="17"/>
              </w:rPr>
              <w:t>5.973 €</w:t>
            </w:r>
          </w:p>
        </w:tc>
        <w:tc>
          <w:tcPr>
            <w:tcW w:type="dxa" w:w="1304"/>
            <w:shd w:val="clear" w:color="auto" w:fill="E3E8E5"/>
          </w:tcPr>
          <w:p>
            <w:pPr>
              <w:keepNext/>
              <w:spacing w:after="20" w:before="20"/>
              <w:jc w:val="right"/>
            </w:pPr>
            <w:r/>
            <w:r>
              <w:rPr>
                <w:b/>
                <w:sz w:val="17"/>
              </w:rPr>
              <w:t>12.578 €</w:t>
            </w:r>
          </w:p>
        </w:tc>
        <w:tc>
          <w:tcPr>
            <w:tcW w:type="dxa" w:w="1304"/>
            <w:shd w:val="clear" w:color="auto" w:fill="E3E8E5"/>
          </w:tcPr>
          <w:p>
            <w:pPr>
              <w:keepNext/>
              <w:spacing w:after="20" w:before="20"/>
              <w:jc w:val="right"/>
            </w:pPr>
            <w:r/>
            <w:r>
              <w:rPr>
                <w:b/>
                <w:sz w:val="17"/>
              </w:rPr>
              <w:t>22.877 €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0,97</w:t>
            </w:r>
          </w:p>
        </w:tc>
        <w:tc>
          <w:tcPr>
            <w:tcW w:type="dxa" w:w="1304"/>
          </w:tcPr>
          <w:p>
            <w:pPr>
              <w:keepNext/>
              <w:spacing w:after="20" w:before="20"/>
              <w:jc w:val="right"/>
            </w:pPr>
            <w:r/>
            <w:r>
              <w:rPr>
                <w:sz w:val="17"/>
              </w:rPr>
              <w:t>1,00</w:t>
            </w:r>
          </w:p>
        </w:tc>
        <w:tc>
          <w:tcPr>
            <w:tcW w:type="dxa" w:w="1304"/>
          </w:tcPr>
          <w:p>
            <w:pPr>
              <w:keepNext/>
              <w:spacing w:after="20" w:before="20"/>
              <w:jc w:val="right"/>
            </w:pPr>
            <w:r/>
            <w:r>
              <w:rPr>
                <w:sz w:val="17"/>
              </w:rPr>
              <w:t>1,03</w:t>
            </w:r>
          </w:p>
        </w:tc>
        <w:tc>
          <w:tcPr>
            <w:tcW w:type="dxa" w:w="1304"/>
          </w:tcPr>
          <w:p>
            <w:pPr>
              <w:keepNext/>
              <w:spacing w:after="20" w:before="20"/>
              <w:jc w:val="right"/>
            </w:pPr>
            <w:r/>
            <w:r>
              <w:rPr>
                <w:sz w:val="17"/>
              </w:rPr>
              <w:t>1,06</w:t>
            </w:r>
          </w:p>
        </w:tc>
        <w:tc>
          <w:tcPr>
            <w:tcW w:type="dxa" w:w="1304"/>
          </w:tcPr>
          <w:p>
            <w:pPr>
              <w:keepNext/>
              <w:spacing w:after="20" w:before="20"/>
              <w:jc w:val="right"/>
            </w:pPr>
            <w:r/>
            <w:r>
              <w:rPr>
                <w:sz w:val="17"/>
              </w:rPr>
              <w:t>1,11</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4.845.203 €</w:t>
            </w:r>
          </w:p>
        </w:tc>
        <w:tc>
          <w:tcPr>
            <w:tcW w:type="dxa" w:w="1304"/>
          </w:tcPr>
          <w:p>
            <w:pPr>
              <w:spacing w:after="20" w:before="20"/>
              <w:jc w:val="right"/>
            </w:pPr>
            <w:r/>
            <w:r>
              <w:rPr>
                <w:sz w:val="17"/>
              </w:rPr>
              <w:t>4.740.927 €</w:t>
            </w:r>
          </w:p>
        </w:tc>
        <w:tc>
          <w:tcPr>
            <w:tcW w:type="dxa" w:w="1304"/>
          </w:tcPr>
          <w:p>
            <w:pPr>
              <w:spacing w:after="20" w:before="20"/>
              <w:jc w:val="right"/>
            </w:pPr>
            <w:r/>
            <w:r>
              <w:rPr>
                <w:sz w:val="17"/>
              </w:rPr>
              <w:t>4.629.709 €</w:t>
            </w:r>
          </w:p>
        </w:tc>
        <w:tc>
          <w:tcPr>
            <w:tcW w:type="dxa" w:w="1304"/>
          </w:tcPr>
          <w:p>
            <w:pPr>
              <w:spacing w:after="20" w:before="20"/>
              <w:jc w:val="right"/>
            </w:pPr>
            <w:r/>
            <w:r>
              <w:rPr>
                <w:sz w:val="17"/>
              </w:rPr>
              <w:t>4.511.066 €</w:t>
            </w:r>
          </w:p>
        </w:tc>
        <w:tc>
          <w:tcPr>
            <w:tcW w:type="dxa" w:w="1304"/>
          </w:tcPr>
          <w:p>
            <w:pPr>
              <w:spacing w:after="20" w:before="20"/>
              <w:jc w:val="right"/>
            </w:pPr>
            <w:r/>
            <w:r>
              <w:rPr>
                <w:sz w:val="17"/>
              </w:rPr>
              <w:t>4.318.034 €</w:t>
            </w:r>
          </w:p>
        </w:tc>
      </w:tr>
    </w:tbl>
    <w:p>
      <w:pPr>
        <w:spacing w:after="40"/>
      </w:pPr>
    </w:p>
    <w:p>
      <w:r>
        <w:rPr>
          <w:b w:val="0"/>
          <w:i/>
          <w:color w:val="5B6770"/>
          <w:sz w:val="18"/>
        </w:rPr>
        <w:t>Annahme: Miete und Gastro-Umsatz (damit die Pacht) steigen um 1,5 % pro Jahr, Büromieten um 2 % (Indexmiete), der Kapitaldienst bleibt gleich. Die Kapitaldienstdeckung verbessert sich von 0,97 auf 1,11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−553 €</w:t>
            </w:r>
          </w:p>
        </w:tc>
        <w:tc>
          <w:tcPr>
            <w:tcW w:type="dxa" w:w="1134"/>
            <w:shd w:val="clear" w:color="auto" w:fill="E3E8E5"/>
          </w:tcPr>
          <w:p>
            <w:pPr>
              <w:keepNext/>
              <w:spacing w:after="20" w:before="20"/>
              <w:jc w:val="right"/>
            </w:pPr>
            <w:r/>
            <w:r>
              <w:rPr>
                <w:b/>
                <w:sz w:val="18"/>
              </w:rPr>
              <w:t>0,97</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−4.152 €</w:t>
            </w:r>
          </w:p>
        </w:tc>
        <w:tc>
          <w:tcPr>
            <w:tcW w:type="dxa" w:w="1134"/>
          </w:tcPr>
          <w:p>
            <w:pPr>
              <w:keepNext/>
              <w:spacing w:after="20" w:before="20"/>
              <w:jc w:val="right"/>
            </w:pPr>
            <w:r/>
            <w:r>
              <w:rPr>
                <w:sz w:val="18"/>
              </w:rPr>
              <w:t>0,80</w:t>
            </w:r>
          </w:p>
        </w:tc>
        <w:tc>
          <w:tcPr>
            <w:tcW w:type="dxa" w:w="1814"/>
          </w:tcPr>
          <w:p>
            <w:pPr>
              <w:keepNext/>
              <w:spacing w:after="20" w:before="20"/>
              <w:jc w:val="right"/>
            </w:pPr>
            <w:r/>
            <w:r>
              <w:rPr>
                <w:sz w:val="18"/>
              </w:rPr>
              <w:t>−3.598 €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−1.212 €</w:t>
            </w:r>
          </w:p>
        </w:tc>
        <w:tc>
          <w:tcPr>
            <w:tcW w:type="dxa" w:w="1134"/>
          </w:tcPr>
          <w:p>
            <w:pPr>
              <w:keepNext/>
              <w:spacing w:after="20" w:before="20"/>
              <w:jc w:val="right"/>
            </w:pPr>
            <w:r/>
            <w:r>
              <w:rPr>
                <w:sz w:val="18"/>
              </w:rPr>
              <w:t>0,93</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 (Umsatzpacht sinkt)</w:t>
            </w:r>
          </w:p>
        </w:tc>
        <w:tc>
          <w:tcPr>
            <w:tcW w:type="dxa" w:w="1587"/>
          </w:tcPr>
          <w:p>
            <w:pPr>
              <w:keepNext/>
              <w:spacing w:after="20" w:before="20"/>
              <w:jc w:val="right"/>
            </w:pPr>
            <w:r/>
            <w:r>
              <w:rPr>
                <w:sz w:val="18"/>
              </w:rPr>
              <w:t>−2.275 €</w:t>
            </w:r>
          </w:p>
        </w:tc>
        <w:tc>
          <w:tcPr>
            <w:tcW w:type="dxa" w:w="1134"/>
          </w:tcPr>
          <w:p>
            <w:pPr>
              <w:keepNext/>
              <w:spacing w:after="20" w:before="20"/>
              <w:jc w:val="right"/>
            </w:pPr>
            <w:r/>
            <w:r>
              <w:rPr>
                <w:sz w:val="18"/>
              </w:rPr>
              <w:t>0,87</w:t>
            </w:r>
          </w:p>
        </w:tc>
        <w:tc>
          <w:tcPr>
            <w:tcW w:type="dxa" w:w="1814"/>
          </w:tcPr>
          <w:p>
            <w:pPr>
              <w:keepNext/>
              <w:spacing w:after="20" w:before="20"/>
              <w:jc w:val="right"/>
            </w:pPr>
            <w:r/>
            <w:r>
              <w:rPr>
                <w:sz w:val="18"/>
              </w:rPr>
              <w:t>−1.721 €</w:t>
            </w:r>
          </w:p>
        </w:tc>
      </w:tr>
      <w:tr>
        <w:trPr>
          <w:cantSplit/>
        </w:trPr>
        <w:tc>
          <w:tcPr>
            <w:tcW w:type="dxa" w:w="4876"/>
          </w:tcPr>
          <w:p>
            <w:pPr>
              <w:keepNext/>
              <w:spacing w:after="20" w:before="20"/>
            </w:pPr>
            <w:r/>
            <w:r>
              <w:rPr>
                <w:sz w:val="18"/>
              </w:rPr>
              <w:t>Gastro-Umsatz −40 % (Umsatzpacht sinkt, Mindestpacht)</w:t>
            </w:r>
          </w:p>
        </w:tc>
        <w:tc>
          <w:tcPr>
            <w:tcW w:type="dxa" w:w="1587"/>
          </w:tcPr>
          <w:p>
            <w:pPr>
              <w:keepNext/>
              <w:spacing w:after="20" w:before="20"/>
              <w:jc w:val="right"/>
            </w:pPr>
            <w:r/>
            <w:r>
              <w:rPr>
                <w:sz w:val="18"/>
              </w:rPr>
              <w:t>−3.996 €</w:t>
            </w:r>
          </w:p>
        </w:tc>
        <w:tc>
          <w:tcPr>
            <w:tcW w:type="dxa" w:w="1134"/>
          </w:tcPr>
          <w:p>
            <w:pPr>
              <w:keepNext/>
              <w:spacing w:after="20" w:before="20"/>
              <w:jc w:val="right"/>
            </w:pPr>
            <w:r/>
            <w:r>
              <w:rPr>
                <w:sz w:val="18"/>
              </w:rPr>
              <w:t>0,77</w:t>
            </w:r>
          </w:p>
        </w:tc>
        <w:tc>
          <w:tcPr>
            <w:tcW w:type="dxa" w:w="1814"/>
          </w:tcPr>
          <w:p>
            <w:pPr>
              <w:keepNext/>
              <w:spacing w:after="20" w:before="20"/>
              <w:jc w:val="right"/>
            </w:pPr>
            <w:r/>
            <w:r>
              <w:rPr>
                <w:sz w:val="18"/>
              </w:rPr>
              <w:t>−3.443 €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−1.953 €</w:t>
            </w:r>
          </w:p>
        </w:tc>
        <w:tc>
          <w:tcPr>
            <w:tcW w:type="dxa" w:w="1134"/>
          </w:tcPr>
          <w:p>
            <w:pPr>
              <w:keepNext/>
              <w:spacing w:after="20" w:before="20"/>
              <w:jc w:val="right"/>
            </w:pPr>
            <w:r/>
            <w:r>
              <w:rPr>
                <w:sz w:val="18"/>
              </w:rPr>
              <w:t>0,89</w:t>
            </w:r>
          </w:p>
        </w:tc>
        <w:tc>
          <w:tcPr>
            <w:tcW w:type="dxa" w:w="1814"/>
          </w:tcPr>
          <w:p>
            <w:pPr>
              <w:keepNext/>
              <w:spacing w:after="20" w:before="20"/>
              <w:jc w:val="right"/>
            </w:pPr>
            <w:r/>
            <w:r>
              <w:rPr>
                <w:sz w:val="18"/>
              </w:rPr>
              <w:t>−1.399 €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−1.408 €</w:t>
            </w:r>
          </w:p>
        </w:tc>
        <w:tc>
          <w:tcPr>
            <w:tcW w:type="dxa" w:w="1134"/>
          </w:tcPr>
          <w:p>
            <w:pPr>
              <w:keepNext/>
              <w:spacing w:after="20" w:before="20"/>
              <w:jc w:val="right"/>
            </w:pPr>
            <w:r/>
            <w:r>
              <w:rPr>
                <w:sz w:val="18"/>
              </w:rPr>
              <w:t>0,92</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−1.993 €</w:t>
            </w:r>
          </w:p>
        </w:tc>
        <w:tc>
          <w:tcPr>
            <w:tcW w:type="dxa" w:w="1134"/>
          </w:tcPr>
          <w:p>
            <w:pPr>
              <w:keepNext/>
              <w:spacing w:after="20" w:before="20"/>
              <w:jc w:val="right"/>
            </w:pPr>
            <w:r/>
            <w:r>
              <w:rPr>
                <w:sz w:val="18"/>
              </w:rPr>
              <w:t>0,88</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w:t>
            </w:r>
          </w:p>
        </w:tc>
        <w:tc>
          <w:tcPr>
            <w:tcW w:type="dxa" w:w="1587"/>
          </w:tcPr>
          <w:p>
            <w:pPr>
              <w:spacing w:after="20" w:before="20"/>
              <w:jc w:val="right"/>
            </w:pPr>
            <w:r/>
            <w:r>
              <w:rPr>
                <w:sz w:val="18"/>
              </w:rPr>
              <w:t>−9.161 €</w:t>
            </w:r>
          </w:p>
        </w:tc>
        <w:tc>
          <w:tcPr>
            <w:tcW w:type="dxa" w:w="1134"/>
          </w:tcPr>
          <w:p>
            <w:pPr>
              <w:spacing w:after="20" w:before="20"/>
              <w:jc w:val="right"/>
            </w:pPr>
            <w:r/>
            <w:r>
              <w:rPr>
                <w:sz w:val="18"/>
              </w:rPr>
              <w:t>0,47</w:t>
            </w:r>
          </w:p>
        </w:tc>
        <w:tc>
          <w:tcPr>
            <w:tcW w:type="dxa" w:w="1814"/>
          </w:tcPr>
          <w:p>
            <w:pPr>
              <w:spacing w:after="20" w:before="20"/>
              <w:jc w:val="right"/>
            </w:pPr>
            <w:r/>
            <w:r>
              <w:rPr>
                <w:sz w:val="18"/>
              </w:rPr>
              <w:t>−8.607 €</w:t>
            </w:r>
          </w:p>
        </w:tc>
      </w:tr>
    </w:tbl>
    <w:p>
      <w:pPr>
        <w:spacing w:after="40"/>
      </w:pPr>
    </w:p>
    <w:p>
      <w:pPr>
        <w:spacing w:after="80"/>
      </w:pPr>
      <w:r>
        <w:rPr>
          <w:b w:val="0"/>
          <w:i w:val="0"/>
        </w:rPr>
        <w:t>Die Tests sind vereinfacht. Das Ergebnis der GbR reagiert am stärksten auf den Gastro-Umsatz (über die Umsatzpacht) und auf den Zins. Die GbR liegt im Plan schon knapp unter 1,0, jeder Rückgang vergrößert die Lücke: bei Umsatz −40 % sinkt die Deckung auf etwa 0,8, bei einem Ausfall der Gastro auf etwa 0,5. Ein Auszug eines Ankermieters kostet rund 855 € im Monat.</w:t>
      </w:r>
    </w:p>
    <w:p>
      <w:pPr>
        <w:pStyle w:val="Heading1"/>
      </w:pPr>
      <w:r>
        <w:t>14  Ergebnis pro Gesellschafter</w:t>
      </w:r>
    </w:p>
    <w:p>
      <w:r>
        <w:rPr>
          <w:b w:val="0"/>
          <w:i w:val="0"/>
        </w:rPr>
        <w:t>Gleiche Anteile an der GbR, Basis ohne Eigenkapital, erstes Jahr nach der Anlaufzeit. Die Steuerwirkung rechnet mit einem Grenzsteuersatz von 35 % (Annahme). Verluste der GbR (Zinsen und Abschreibung übersteigen die Einnahmen) können mit anderen Einkünften verrechnet werden, das Finanzamt prüft dabei die Gewinnerzielungsabsicht.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742"/>
        <w:gridCol w:w="1417"/>
        <w:gridCol w:w="1417"/>
        <w:gridCol w:w="1417"/>
        <w:gridCol w:w="1417"/>
      </w:tblGrid>
      <w:tr>
        <w:trPr>
          <w:cantSplit/>
        </w:trPr>
        <w:tc>
          <w:tcPr>
            <w:tcW w:type="dxa" w:w="3742"/>
            <w:shd w:val="clear" w:color="auto" w:fill="2F4A3E"/>
          </w:tcPr>
          <w:p>
            <w:pPr>
              <w:keepNext/>
              <w:spacing w:after="20" w:before="20"/>
            </w:pPr>
            <w:r/>
            <w:r>
              <w:rPr>
                <w:b/>
                <w:color w:val="FFFFFF"/>
                <w:sz w:val="18"/>
              </w:rPr>
              <w:t>Pro Person</w:t>
            </w:r>
          </w:p>
        </w:tc>
        <w:tc>
          <w:tcPr>
            <w:tcW w:type="dxa" w:w="1417"/>
            <w:shd w:val="clear" w:color="auto" w:fill="2F4A3E"/>
          </w:tcPr>
          <w:p>
            <w:pPr>
              <w:keepNext/>
              <w:spacing w:after="20" w:before="20"/>
              <w:jc w:val="right"/>
            </w:pPr>
            <w:r/>
            <w:r>
              <w:rPr>
                <w:b/>
                <w:color w:val="FFFFFF"/>
                <w:sz w:val="18"/>
              </w:rPr>
              <w:t>1 Person</w:t>
            </w:r>
          </w:p>
        </w:tc>
        <w:tc>
          <w:tcPr>
            <w:tcW w:type="dxa" w:w="1417"/>
            <w:shd w:val="clear" w:color="auto" w:fill="2F4A3E"/>
          </w:tcPr>
          <w:p>
            <w:pPr>
              <w:keepNext/>
              <w:spacing w:after="20" w:before="20"/>
              <w:jc w:val="right"/>
            </w:pPr>
            <w:r/>
            <w:r>
              <w:rPr>
                <w:b/>
                <w:color w:val="FFFFFF"/>
                <w:sz w:val="18"/>
              </w:rPr>
              <w:t>2 Personen</w:t>
            </w:r>
          </w:p>
        </w:tc>
        <w:tc>
          <w:tcPr>
            <w:tcW w:type="dxa" w:w="1417"/>
            <w:shd w:val="clear" w:color="auto" w:fill="2F4A3E"/>
          </w:tcPr>
          <w:p>
            <w:pPr>
              <w:keepNext/>
              <w:spacing w:after="20" w:before="20"/>
              <w:jc w:val="right"/>
            </w:pPr>
            <w:r/>
            <w:r>
              <w:rPr>
                <w:b/>
                <w:color w:val="FFFFFF"/>
                <w:sz w:val="18"/>
              </w:rPr>
              <w:t>4 Personen</w:t>
            </w:r>
          </w:p>
        </w:tc>
        <w:tc>
          <w:tcPr>
            <w:tcW w:type="dxa" w:w="1417"/>
            <w:shd w:val="clear" w:color="auto" w:fill="2F4A3E"/>
          </w:tcPr>
          <w:p>
            <w:pPr>
              <w:keepNext/>
              <w:spacing w:after="20" w:before="20"/>
              <w:jc w:val="right"/>
            </w:pPr>
            <w:r/>
            <w:r>
              <w:rPr>
                <w:b/>
                <w:color w:val="FFFFFF"/>
                <w:sz w:val="18"/>
              </w:rPr>
              <w:t>8 Personen</w:t>
            </w:r>
          </w:p>
        </w:tc>
      </w:tr>
      <w:tr>
        <w:trPr>
          <w:cantSplit/>
        </w:trPr>
        <w:tc>
          <w:tcPr>
            <w:tcW w:type="dxa" w:w="3742"/>
          </w:tcPr>
          <w:p>
            <w:pPr>
              <w:keepNext/>
              <w:spacing w:after="20" w:before="20"/>
            </w:pPr>
            <w:r/>
            <w:r>
              <w:rPr>
                <w:sz w:val="18"/>
              </w:rPr>
              <w:t>Cash pro Monat vor Steuern</w:t>
            </w:r>
          </w:p>
        </w:tc>
        <w:tc>
          <w:tcPr>
            <w:tcW w:type="dxa" w:w="1417"/>
          </w:tcPr>
          <w:p>
            <w:pPr>
              <w:keepNext/>
              <w:spacing w:after="20" w:before="20"/>
              <w:jc w:val="right"/>
            </w:pPr>
            <w:r/>
            <w:r>
              <w:rPr>
                <w:sz w:val="18"/>
              </w:rPr>
              <w:t>−553 €</w:t>
            </w:r>
          </w:p>
        </w:tc>
        <w:tc>
          <w:tcPr>
            <w:tcW w:type="dxa" w:w="1417"/>
          </w:tcPr>
          <w:p>
            <w:pPr>
              <w:keepNext/>
              <w:spacing w:after="20" w:before="20"/>
              <w:jc w:val="right"/>
            </w:pPr>
            <w:r/>
            <w:r>
              <w:rPr>
                <w:sz w:val="18"/>
              </w:rPr>
              <w:t>−277 €</w:t>
            </w:r>
          </w:p>
        </w:tc>
        <w:tc>
          <w:tcPr>
            <w:tcW w:type="dxa" w:w="1417"/>
          </w:tcPr>
          <w:p>
            <w:pPr>
              <w:keepNext/>
              <w:spacing w:after="20" w:before="20"/>
              <w:jc w:val="right"/>
            </w:pPr>
            <w:r/>
            <w:r>
              <w:rPr>
                <w:sz w:val="18"/>
              </w:rPr>
              <w:t>−138 €</w:t>
            </w:r>
          </w:p>
        </w:tc>
        <w:tc>
          <w:tcPr>
            <w:tcW w:type="dxa" w:w="1417"/>
          </w:tcPr>
          <w:p>
            <w:pPr>
              <w:keepNext/>
              <w:spacing w:after="20" w:before="20"/>
              <w:jc w:val="right"/>
            </w:pPr>
            <w:r/>
            <w:r>
              <w:rPr>
                <w:sz w:val="18"/>
              </w:rPr>
              <w:t>−69 €</w:t>
            </w:r>
          </w:p>
        </w:tc>
      </w:tr>
      <w:tr>
        <w:trPr>
          <w:cantSplit/>
        </w:trPr>
        <w:tc>
          <w:tcPr>
            <w:tcW w:type="dxa" w:w="3742"/>
          </w:tcPr>
          <w:p>
            <w:pPr>
              <w:keepNext/>
              <w:spacing w:after="20" w:before="20"/>
            </w:pPr>
            <w:r/>
            <w:r>
              <w:rPr>
                <w:sz w:val="18"/>
              </w:rPr>
              <w:t>Cash pro Jahr vor Steuern</w:t>
            </w:r>
          </w:p>
        </w:tc>
        <w:tc>
          <w:tcPr>
            <w:tcW w:type="dxa" w:w="1417"/>
          </w:tcPr>
          <w:p>
            <w:pPr>
              <w:keepNext/>
              <w:spacing w:after="20" w:before="20"/>
              <w:jc w:val="right"/>
            </w:pPr>
            <w:r/>
            <w:r>
              <w:rPr>
                <w:sz w:val="18"/>
              </w:rPr>
              <w:t>−6.641 €</w:t>
            </w:r>
          </w:p>
        </w:tc>
        <w:tc>
          <w:tcPr>
            <w:tcW w:type="dxa" w:w="1417"/>
          </w:tcPr>
          <w:p>
            <w:pPr>
              <w:keepNext/>
              <w:spacing w:after="20" w:before="20"/>
              <w:jc w:val="right"/>
            </w:pPr>
            <w:r/>
            <w:r>
              <w:rPr>
                <w:sz w:val="18"/>
              </w:rPr>
              <w:t>−3.320 €</w:t>
            </w:r>
          </w:p>
        </w:tc>
        <w:tc>
          <w:tcPr>
            <w:tcW w:type="dxa" w:w="1417"/>
          </w:tcPr>
          <w:p>
            <w:pPr>
              <w:keepNext/>
              <w:spacing w:after="20" w:before="20"/>
              <w:jc w:val="right"/>
            </w:pPr>
            <w:r/>
            <w:r>
              <w:rPr>
                <w:sz w:val="18"/>
              </w:rPr>
              <w:t>−1.660 €</w:t>
            </w:r>
          </w:p>
        </w:tc>
        <w:tc>
          <w:tcPr>
            <w:tcW w:type="dxa" w:w="1417"/>
          </w:tcPr>
          <w:p>
            <w:pPr>
              <w:keepNext/>
              <w:spacing w:after="20" w:before="20"/>
              <w:jc w:val="right"/>
            </w:pPr>
            <w:r/>
            <w:r>
              <w:rPr>
                <w:sz w:val="18"/>
              </w:rPr>
              <w:t>−830 €</w:t>
            </w:r>
          </w:p>
        </w:tc>
      </w:tr>
      <w:tr>
        <w:trPr>
          <w:cantSplit/>
        </w:trPr>
        <w:tc>
          <w:tcPr>
            <w:tcW w:type="dxa" w:w="3742"/>
          </w:tcPr>
          <w:p>
            <w:pPr>
              <w:keepNext/>
              <w:spacing w:after="20" w:before="20"/>
            </w:pPr>
            <w:r/>
            <w:r>
              <w:rPr>
                <w:sz w:val="18"/>
              </w:rPr>
              <w:t>Steuerliches Ergebnis pro Jahr (Verlust negativ)</w:t>
            </w:r>
          </w:p>
        </w:tc>
        <w:tc>
          <w:tcPr>
            <w:tcW w:type="dxa" w:w="1417"/>
          </w:tcPr>
          <w:p>
            <w:pPr>
              <w:keepNext/>
              <w:spacing w:after="20" w:before="20"/>
              <w:jc w:val="right"/>
            </w:pPr>
            <w:r/>
            <w:r>
              <w:rPr>
                <w:sz w:val="18"/>
              </w:rPr>
              <w:t>−88.351 €</w:t>
            </w:r>
          </w:p>
        </w:tc>
        <w:tc>
          <w:tcPr>
            <w:tcW w:type="dxa" w:w="1417"/>
          </w:tcPr>
          <w:p>
            <w:pPr>
              <w:keepNext/>
              <w:spacing w:after="20" w:before="20"/>
              <w:jc w:val="right"/>
            </w:pPr>
            <w:r/>
            <w:r>
              <w:rPr>
                <w:sz w:val="18"/>
              </w:rPr>
              <w:t>−44.176 €</w:t>
            </w:r>
          </w:p>
        </w:tc>
        <w:tc>
          <w:tcPr>
            <w:tcW w:type="dxa" w:w="1417"/>
          </w:tcPr>
          <w:p>
            <w:pPr>
              <w:keepNext/>
              <w:spacing w:after="20" w:before="20"/>
              <w:jc w:val="right"/>
            </w:pPr>
            <w:r/>
            <w:r>
              <w:rPr>
                <w:sz w:val="18"/>
              </w:rPr>
              <w:t>−22.088 €</w:t>
            </w:r>
          </w:p>
        </w:tc>
        <w:tc>
          <w:tcPr>
            <w:tcW w:type="dxa" w:w="1417"/>
          </w:tcPr>
          <w:p>
            <w:pPr>
              <w:keepNext/>
              <w:spacing w:after="20" w:before="20"/>
              <w:jc w:val="right"/>
            </w:pPr>
            <w:r/>
            <w:r>
              <w:rPr>
                <w:sz w:val="18"/>
              </w:rPr>
              <w:t>−11.044 €</w:t>
            </w:r>
          </w:p>
        </w:tc>
      </w:tr>
      <w:tr>
        <w:trPr>
          <w:cantSplit/>
        </w:trPr>
        <w:tc>
          <w:tcPr>
            <w:tcW w:type="dxa" w:w="3742"/>
          </w:tcPr>
          <w:p>
            <w:pPr>
              <w:keepNext/>
              <w:spacing w:after="20" w:before="20"/>
            </w:pPr>
            <w:r/>
            <w:r>
              <w:rPr>
                <w:sz w:val="18"/>
              </w:rPr>
              <w:t>Steuerwirkung pro Jahr</w:t>
            </w:r>
          </w:p>
        </w:tc>
        <w:tc>
          <w:tcPr>
            <w:tcW w:type="dxa" w:w="1417"/>
          </w:tcPr>
          <w:p>
            <w:pPr>
              <w:keepNext/>
              <w:spacing w:after="20" w:before="20"/>
              <w:jc w:val="right"/>
            </w:pPr>
            <w:r/>
            <w:r>
              <w:rPr>
                <w:sz w:val="18"/>
              </w:rPr>
              <w:t>+30.923 €</w:t>
            </w:r>
          </w:p>
        </w:tc>
        <w:tc>
          <w:tcPr>
            <w:tcW w:type="dxa" w:w="1417"/>
          </w:tcPr>
          <w:p>
            <w:pPr>
              <w:keepNext/>
              <w:spacing w:after="20" w:before="20"/>
              <w:jc w:val="right"/>
            </w:pPr>
            <w:r/>
            <w:r>
              <w:rPr>
                <w:sz w:val="18"/>
              </w:rPr>
              <w:t>+15.462 €</w:t>
            </w:r>
          </w:p>
        </w:tc>
        <w:tc>
          <w:tcPr>
            <w:tcW w:type="dxa" w:w="1417"/>
          </w:tcPr>
          <w:p>
            <w:pPr>
              <w:keepNext/>
              <w:spacing w:after="20" w:before="20"/>
              <w:jc w:val="right"/>
            </w:pPr>
            <w:r/>
            <w:r>
              <w:rPr>
                <w:sz w:val="18"/>
              </w:rPr>
              <w:t>+7.731 €</w:t>
            </w:r>
          </w:p>
        </w:tc>
        <w:tc>
          <w:tcPr>
            <w:tcW w:type="dxa" w:w="1417"/>
          </w:tcPr>
          <w:p>
            <w:pPr>
              <w:keepNext/>
              <w:spacing w:after="20" w:before="20"/>
              <w:jc w:val="right"/>
            </w:pPr>
            <w:r/>
            <w:r>
              <w:rPr>
                <w:sz w:val="18"/>
              </w:rPr>
              <w:t>+3.865 €</w:t>
            </w:r>
          </w:p>
        </w:tc>
      </w:tr>
      <w:tr>
        <w:trPr>
          <w:cantSplit/>
        </w:trPr>
        <w:tc>
          <w:tcPr>
            <w:tcW w:type="dxa" w:w="3742"/>
            <w:shd w:val="clear" w:color="auto" w:fill="E3E8E5"/>
          </w:tcPr>
          <w:p>
            <w:pPr>
              <w:keepNext/>
              <w:spacing w:after="20" w:before="20"/>
            </w:pPr>
            <w:r/>
            <w:r>
              <w:rPr>
                <w:b/>
                <w:sz w:val="18"/>
              </w:rPr>
              <w:t>Cash pro Monat nach Steuer</w:t>
            </w:r>
          </w:p>
        </w:tc>
        <w:tc>
          <w:tcPr>
            <w:tcW w:type="dxa" w:w="1417"/>
            <w:shd w:val="clear" w:color="auto" w:fill="E3E8E5"/>
          </w:tcPr>
          <w:p>
            <w:pPr>
              <w:keepNext/>
              <w:spacing w:after="20" w:before="20"/>
              <w:jc w:val="right"/>
            </w:pPr>
            <w:r/>
            <w:r>
              <w:rPr>
                <w:b/>
                <w:sz w:val="18"/>
              </w:rPr>
              <w:t>+2.024 €</w:t>
            </w:r>
          </w:p>
        </w:tc>
        <w:tc>
          <w:tcPr>
            <w:tcW w:type="dxa" w:w="1417"/>
            <w:shd w:val="clear" w:color="auto" w:fill="E3E8E5"/>
          </w:tcPr>
          <w:p>
            <w:pPr>
              <w:keepNext/>
              <w:spacing w:after="20" w:before="20"/>
              <w:jc w:val="right"/>
            </w:pPr>
            <w:r/>
            <w:r>
              <w:rPr>
                <w:b/>
                <w:sz w:val="18"/>
              </w:rPr>
              <w:t>+1.012 €</w:t>
            </w:r>
          </w:p>
        </w:tc>
        <w:tc>
          <w:tcPr>
            <w:tcW w:type="dxa" w:w="1417"/>
            <w:shd w:val="clear" w:color="auto" w:fill="E3E8E5"/>
          </w:tcPr>
          <w:p>
            <w:pPr>
              <w:keepNext/>
              <w:spacing w:after="20" w:before="20"/>
              <w:jc w:val="right"/>
            </w:pPr>
            <w:r/>
            <w:r>
              <w:rPr>
                <w:b/>
                <w:sz w:val="18"/>
              </w:rPr>
              <w:t>+506 €</w:t>
            </w:r>
          </w:p>
        </w:tc>
        <w:tc>
          <w:tcPr>
            <w:tcW w:type="dxa" w:w="1417"/>
            <w:shd w:val="clear" w:color="auto" w:fill="E3E8E5"/>
          </w:tcPr>
          <w:p>
            <w:pPr>
              <w:keepNext/>
              <w:spacing w:after="20" w:before="20"/>
              <w:jc w:val="right"/>
            </w:pPr>
            <w:r/>
            <w:r>
              <w:rPr>
                <w:b/>
                <w:sz w:val="18"/>
              </w:rPr>
              <w:t>+253 €</w:t>
            </w:r>
          </w:p>
        </w:tc>
      </w:tr>
      <w:tr>
        <w:trPr>
          <w:cantSplit/>
        </w:trPr>
        <w:tc>
          <w:tcPr>
            <w:tcW w:type="dxa" w:w="3742"/>
            <w:shd w:val="clear" w:color="auto" w:fill="E3E8E5"/>
          </w:tcPr>
          <w:p>
            <w:pPr>
              <w:keepNext/>
              <w:spacing w:after="20" w:before="20"/>
            </w:pPr>
            <w:r/>
            <w:r>
              <w:rPr>
                <w:b/>
                <w:sz w:val="18"/>
              </w:rPr>
              <w:t>Mit Förderoption (degressive AfA und Sonder-AfA): Cash pro Monat nach Steuer</w:t>
            </w:r>
          </w:p>
        </w:tc>
        <w:tc>
          <w:tcPr>
            <w:tcW w:type="dxa" w:w="1417"/>
            <w:shd w:val="clear" w:color="auto" w:fill="E3E8E5"/>
          </w:tcPr>
          <w:p>
            <w:pPr>
              <w:keepNext/>
              <w:spacing w:after="20" w:before="20"/>
              <w:jc w:val="right"/>
            </w:pPr>
            <w:r/>
            <w:r>
              <w:rPr>
                <w:b/>
                <w:sz w:val="18"/>
              </w:rPr>
              <w:t>+6.427 €</w:t>
            </w:r>
          </w:p>
        </w:tc>
        <w:tc>
          <w:tcPr>
            <w:tcW w:type="dxa" w:w="1417"/>
            <w:shd w:val="clear" w:color="auto" w:fill="E3E8E5"/>
          </w:tcPr>
          <w:p>
            <w:pPr>
              <w:keepNext/>
              <w:spacing w:after="20" w:before="20"/>
              <w:jc w:val="right"/>
            </w:pPr>
            <w:r/>
            <w:r>
              <w:rPr>
                <w:b/>
                <w:sz w:val="18"/>
              </w:rPr>
              <w:t>+3.214 €</w:t>
            </w:r>
          </w:p>
        </w:tc>
        <w:tc>
          <w:tcPr>
            <w:tcW w:type="dxa" w:w="1417"/>
            <w:shd w:val="clear" w:color="auto" w:fill="E3E8E5"/>
          </w:tcPr>
          <w:p>
            <w:pPr>
              <w:keepNext/>
              <w:spacing w:after="20" w:before="20"/>
              <w:jc w:val="right"/>
            </w:pPr>
            <w:r/>
            <w:r>
              <w:rPr>
                <w:b/>
                <w:sz w:val="18"/>
              </w:rPr>
              <w:t>+1.607 €</w:t>
            </w:r>
          </w:p>
        </w:tc>
        <w:tc>
          <w:tcPr>
            <w:tcW w:type="dxa" w:w="1417"/>
            <w:shd w:val="clear" w:color="auto" w:fill="E3E8E5"/>
          </w:tcPr>
          <w:p>
            <w:pPr>
              <w:keepNext/>
              <w:spacing w:after="20" w:before="20"/>
              <w:jc w:val="right"/>
            </w:pPr>
            <w:r/>
            <w:r>
              <w:rPr>
                <w:b/>
                <w:sz w:val="18"/>
              </w:rPr>
              <w:t>+803 €</w:t>
            </w:r>
          </w:p>
        </w:tc>
      </w:tr>
      <w:tr>
        <w:trPr>
          <w:cantSplit/>
        </w:trPr>
        <w:tc>
          <w:tcPr>
            <w:tcW w:type="dxa" w:w="3742"/>
          </w:tcPr>
          <w:p>
            <w:pPr>
              <w:spacing w:after="20" w:before="20"/>
            </w:pPr>
            <w:r/>
            <w:r>
              <w:rPr>
                <w:sz w:val="18"/>
              </w:rPr>
              <w:t>Tilgung pro Jahr (Vermögensaufbau)</w:t>
            </w:r>
          </w:p>
        </w:tc>
        <w:tc>
          <w:tcPr>
            <w:tcW w:type="dxa" w:w="1417"/>
          </w:tcPr>
          <w:p>
            <w:pPr>
              <w:spacing w:after="20" w:before="20"/>
              <w:jc w:val="right"/>
            </w:pPr>
            <w:r/>
            <w:r>
              <w:rPr>
                <w:sz w:val="18"/>
              </w:rPr>
              <w:t>+49.677 €</w:t>
            </w:r>
          </w:p>
        </w:tc>
        <w:tc>
          <w:tcPr>
            <w:tcW w:type="dxa" w:w="1417"/>
          </w:tcPr>
          <w:p>
            <w:pPr>
              <w:spacing w:after="20" w:before="20"/>
              <w:jc w:val="right"/>
            </w:pPr>
            <w:r/>
            <w:r>
              <w:rPr>
                <w:sz w:val="18"/>
              </w:rPr>
              <w:t>+24.838 €</w:t>
            </w:r>
          </w:p>
        </w:tc>
        <w:tc>
          <w:tcPr>
            <w:tcW w:type="dxa" w:w="1417"/>
          </w:tcPr>
          <w:p>
            <w:pPr>
              <w:spacing w:after="20" w:before="20"/>
              <w:jc w:val="right"/>
            </w:pPr>
            <w:r/>
            <w:r>
              <w:rPr>
                <w:sz w:val="18"/>
              </w:rPr>
              <w:t>+12.419 €</w:t>
            </w:r>
          </w:p>
        </w:tc>
        <w:tc>
          <w:tcPr>
            <w:tcW w:type="dxa" w:w="1417"/>
          </w:tcPr>
          <w:p>
            <w:pPr>
              <w:spacing w:after="20" w:before="20"/>
              <w:jc w:val="right"/>
            </w:pPr>
            <w:r/>
            <w:r>
              <w:rPr>
                <w:sz w:val="18"/>
              </w:rPr>
              <w:t>+6.210 €</w:t>
            </w:r>
          </w:p>
        </w:tc>
      </w:tr>
    </w:tbl>
    <w:p>
      <w:pPr>
        <w:spacing w:after="40"/>
      </w:pPr>
    </w:p>
    <w:p>
      <w:pPr>
        <w:spacing w:after="80"/>
      </w:pPr>
      <w:r>
        <w:rPr>
          <w:b w:val="0"/>
          <w:i w:val="0"/>
        </w:rPr>
        <w:t>Ohne Eigenkapital liegt der Cash knapp unter null, die Steuerwirkung des Verlusts macht das Ergebnis nach Steuer positiv. Die Tilgung von 49.677 € im Jahr baut zusätzlich Vermögen auf. Die Förderoption (Fristen prüfen) erhöht die Abschreibung im Wohnteil und damit die Steuerersparnis.</w:t>
      </w:r>
    </w:p>
    <w:p>
      <w:pPr>
        <w:pStyle w:val="Heading1"/>
      </w:pPr>
      <w:r>
        <w:t>15  Szenarien: 12 gegen 8 Wohnungen</w:t>
      </w:r>
    </w:p>
    <w:p>
      <w:r>
        <w:rPr>
          <w:b w:val="0"/>
          <w:i w:val="0"/>
        </w:rPr>
        <w:t>Zum Vergleich wurde das Vorhaben mit 8 Wohnungen gerechnet (3 im 1. OG, 5 im Staffelgeschoss), jeweils ohne und mit Eigenkapital. Das Eigenkapital ist so bemessen, dass die GbR die Raten mit dem Faktor 1,2 deckt. Die Werte stammen aus einem unabhängigen Nachbau des Modells, die Basis stimmt auf den Cent mit der Excel-Datei überein. Jede zusätzliche Wohnung erhöht den KfW-Rahmen um 150.000 € zu 2,5 % und wiegt die angesetzten Mehrkosten von 15.000 € je Wohnung über 8 auf.</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531"/>
        <w:gridCol w:w="1531"/>
        <w:gridCol w:w="1531"/>
        <w:gridCol w:w="1531"/>
      </w:tblGrid>
      <w:tr>
        <w:trPr>
          <w:cantSplit/>
        </w:trPr>
        <w:tc>
          <w:tcPr>
            <w:tcW w:type="dxa" w:w="3402"/>
            <w:shd w:val="clear" w:color="auto" w:fill="2F4A3E"/>
          </w:tcPr>
          <w:p>
            <w:pPr>
              <w:keepNext/>
              <w:spacing w:after="20" w:before="20"/>
            </w:pPr>
            <w:r/>
            <w:r>
              <w:rPr>
                <w:b/>
                <w:color w:val="FFFFFF"/>
                <w:sz w:val="17"/>
              </w:rPr>
              <w:t>Kennzahl</w:t>
            </w:r>
          </w:p>
        </w:tc>
        <w:tc>
          <w:tcPr>
            <w:tcW w:type="dxa" w:w="1531"/>
            <w:shd w:val="clear" w:color="auto" w:fill="2F4A3E"/>
          </w:tcPr>
          <w:p>
            <w:pPr>
              <w:keepNext/>
              <w:spacing w:after="20" w:before="20"/>
              <w:jc w:val="right"/>
            </w:pPr>
            <w:r/>
            <w:r>
              <w:rPr>
                <w:b/>
                <w:color w:val="FFFFFF"/>
                <w:sz w:val="17"/>
              </w:rPr>
              <w:t>12 WE ohne EK</w:t>
            </w:r>
          </w:p>
        </w:tc>
        <w:tc>
          <w:tcPr>
            <w:tcW w:type="dxa" w:w="1531"/>
            <w:shd w:val="clear" w:color="auto" w:fill="2F4A3E"/>
          </w:tcPr>
          <w:p>
            <w:pPr>
              <w:keepNext/>
              <w:spacing w:after="20" w:before="20"/>
              <w:jc w:val="right"/>
            </w:pPr>
            <w:r/>
            <w:r>
              <w:rPr>
                <w:b/>
                <w:color w:val="FFFFFF"/>
                <w:sz w:val="17"/>
              </w:rPr>
              <w:t>8 WE ohne EK</w:t>
            </w:r>
          </w:p>
        </w:tc>
        <w:tc>
          <w:tcPr>
            <w:tcW w:type="dxa" w:w="1531"/>
            <w:shd w:val="clear" w:color="auto" w:fill="2F4A3E"/>
          </w:tcPr>
          <w:p>
            <w:pPr>
              <w:keepNext/>
              <w:spacing w:after="20" w:before="20"/>
              <w:jc w:val="right"/>
            </w:pPr>
            <w:r/>
            <w:r>
              <w:rPr>
                <w:b/>
                <w:color w:val="FFFFFF"/>
                <w:sz w:val="17"/>
              </w:rPr>
              <w:t>12 WE mit EK</w:t>
            </w:r>
          </w:p>
        </w:tc>
        <w:tc>
          <w:tcPr>
            <w:tcW w:type="dxa" w:w="1531"/>
            <w:shd w:val="clear" w:color="auto" w:fill="2F4A3E"/>
          </w:tcPr>
          <w:p>
            <w:pPr>
              <w:keepNext/>
              <w:spacing w:after="20" w:before="20"/>
              <w:jc w:val="right"/>
            </w:pPr>
            <w:r/>
            <w:r>
              <w:rPr>
                <w:b/>
                <w:color w:val="FFFFFF"/>
                <w:sz w:val="17"/>
              </w:rPr>
              <w:t>8 WE mit EK</w:t>
            </w:r>
          </w:p>
        </w:tc>
      </w:tr>
      <w:tr>
        <w:trPr>
          <w:cantSplit/>
        </w:trPr>
        <w:tc>
          <w:tcPr>
            <w:tcW w:type="dxa" w:w="3402"/>
          </w:tcPr>
          <w:p>
            <w:pPr>
              <w:keepNext/>
              <w:spacing w:after="20" w:before="20"/>
            </w:pPr>
            <w:r/>
            <w:r>
              <w:rPr>
                <w:sz w:val="17"/>
              </w:rPr>
              <w:t>Gesamtkosten</w:t>
            </w:r>
          </w:p>
        </w:tc>
        <w:tc>
          <w:tcPr>
            <w:tcW w:type="dxa" w:w="1531"/>
          </w:tcPr>
          <w:p>
            <w:pPr>
              <w:keepNext/>
              <w:spacing w:after="20" w:before="20"/>
              <w:jc w:val="right"/>
            </w:pPr>
            <w:r/>
            <w:r>
              <w:rPr>
                <w:sz w:val="17"/>
              </w:rPr>
              <w:t>4.894.879 €</w:t>
            </w:r>
          </w:p>
        </w:tc>
        <w:tc>
          <w:tcPr>
            <w:tcW w:type="dxa" w:w="1531"/>
          </w:tcPr>
          <w:p>
            <w:pPr>
              <w:keepNext/>
              <w:spacing w:after="20" w:before="20"/>
              <w:jc w:val="right"/>
            </w:pPr>
            <w:r/>
            <w:r>
              <w:rPr>
                <w:sz w:val="17"/>
              </w:rPr>
              <w:t>4.845.506 €</w:t>
            </w:r>
          </w:p>
        </w:tc>
        <w:tc>
          <w:tcPr>
            <w:tcW w:type="dxa" w:w="1531"/>
          </w:tcPr>
          <w:p>
            <w:pPr>
              <w:keepNext/>
              <w:spacing w:after="20" w:before="20"/>
              <w:jc w:val="right"/>
            </w:pPr>
            <w:r/>
            <w:r>
              <w:rPr>
                <w:sz w:val="17"/>
              </w:rPr>
              <w:t>4.844.812 €</w:t>
            </w:r>
          </w:p>
        </w:tc>
        <w:tc>
          <w:tcPr>
            <w:tcW w:type="dxa" w:w="1531"/>
          </w:tcPr>
          <w:p>
            <w:pPr>
              <w:keepNext/>
              <w:spacing w:after="20" w:before="20"/>
              <w:jc w:val="right"/>
            </w:pPr>
            <w:r/>
            <w:r>
              <w:rPr>
                <w:sz w:val="17"/>
              </w:rPr>
              <w:t>4.787.267 €</w:t>
            </w:r>
          </w:p>
        </w:tc>
      </w:tr>
      <w:tr>
        <w:trPr>
          <w:cantSplit/>
        </w:trPr>
        <w:tc>
          <w:tcPr>
            <w:tcW w:type="dxa" w:w="3402"/>
          </w:tcPr>
          <w:p>
            <w:pPr>
              <w:keepNext/>
              <w:spacing w:after="20" w:before="20"/>
            </w:pPr>
            <w:r/>
            <w:r>
              <w:rPr>
                <w:sz w:val="17"/>
              </w:rPr>
              <w:t>KfW-Kredite 297/298/299</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r>
      <w:tr>
        <w:trPr>
          <w:cantSplit/>
        </w:trPr>
        <w:tc>
          <w:tcPr>
            <w:tcW w:type="dxa" w:w="3402"/>
          </w:tcPr>
          <w:p>
            <w:pPr>
              <w:keepNext/>
              <w:spacing w:after="20" w:before="20"/>
            </w:pPr>
            <w:r/>
            <w:r>
              <w:rPr>
                <w:sz w:val="17"/>
              </w:rPr>
              <w:t>Hausbank-Darlehen</w:t>
            </w:r>
          </w:p>
        </w:tc>
        <w:tc>
          <w:tcPr>
            <w:tcW w:type="dxa" w:w="1531"/>
          </w:tcPr>
          <w:p>
            <w:pPr>
              <w:keepNext/>
              <w:spacing w:after="20" w:before="20"/>
              <w:jc w:val="right"/>
            </w:pPr>
            <w:r/>
            <w:r>
              <w:rPr>
                <w:sz w:val="17"/>
              </w:rPr>
              <w:t>1.947.379 €</w:t>
            </w:r>
          </w:p>
        </w:tc>
        <w:tc>
          <w:tcPr>
            <w:tcW w:type="dxa" w:w="1531"/>
          </w:tcPr>
          <w:p>
            <w:pPr>
              <w:keepNext/>
              <w:spacing w:after="20" w:before="20"/>
              <w:jc w:val="right"/>
            </w:pPr>
            <w:r/>
            <w:r>
              <w:rPr>
                <w:sz w:val="17"/>
              </w:rPr>
              <w:t>2.498.006 €</w:t>
            </w:r>
          </w:p>
        </w:tc>
        <w:tc>
          <w:tcPr>
            <w:tcW w:type="dxa" w:w="1531"/>
          </w:tcPr>
          <w:p>
            <w:pPr>
              <w:keepNext/>
              <w:spacing w:after="20" w:before="20"/>
              <w:jc w:val="right"/>
            </w:pPr>
            <w:r/>
            <w:r>
              <w:rPr>
                <w:sz w:val="17"/>
              </w:rPr>
              <w:t>1.148.312 €</w:t>
            </w:r>
          </w:p>
        </w:tc>
        <w:tc>
          <w:tcPr>
            <w:tcW w:type="dxa" w:w="1531"/>
          </w:tcPr>
          <w:p>
            <w:pPr>
              <w:keepNext/>
              <w:spacing w:after="20" w:before="20"/>
              <w:jc w:val="right"/>
            </w:pPr>
            <w:r/>
            <w:r>
              <w:rPr>
                <w:sz w:val="17"/>
              </w:rPr>
              <w:t>1.568.767 €</w:t>
            </w:r>
          </w:p>
        </w:tc>
      </w:tr>
      <w:tr>
        <w:trPr>
          <w:cantSplit/>
        </w:trPr>
        <w:tc>
          <w:tcPr>
            <w:tcW w:type="dxa" w:w="3402"/>
          </w:tcPr>
          <w:p>
            <w:pPr>
              <w:keepNext/>
              <w:spacing w:after="20" w:before="20"/>
            </w:pPr>
            <w:r/>
            <w:r>
              <w:rPr>
                <w:sz w:val="17"/>
              </w:rPr>
              <w:t>Eigenkapital</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749.000 €</w:t>
            </w:r>
          </w:p>
        </w:tc>
        <w:tc>
          <w:tcPr>
            <w:tcW w:type="dxa" w:w="1531"/>
          </w:tcPr>
          <w:p>
            <w:pPr>
              <w:keepNext/>
              <w:spacing w:after="20" w:before="20"/>
              <w:jc w:val="right"/>
            </w:pPr>
            <w:r/>
            <w:r>
              <w:rPr>
                <w:sz w:val="17"/>
              </w:rPr>
              <w:t>871.000 €</w:t>
            </w:r>
          </w:p>
        </w:tc>
      </w:tr>
      <w:tr>
        <w:trPr>
          <w:cantSplit/>
        </w:trPr>
        <w:tc>
          <w:tcPr>
            <w:tcW w:type="dxa" w:w="3402"/>
          </w:tcPr>
          <w:p>
            <w:pPr>
              <w:keepNext/>
              <w:spacing w:after="20" w:before="20"/>
            </w:pPr>
            <w:r/>
            <w:r>
              <w:rPr>
                <w:sz w:val="17"/>
              </w:rPr>
              <w:t>Kapitaldienst pro Monat</w:t>
            </w:r>
          </w:p>
        </w:tc>
        <w:tc>
          <w:tcPr>
            <w:tcW w:type="dxa" w:w="1531"/>
          </w:tcPr>
          <w:p>
            <w:pPr>
              <w:keepNext/>
              <w:spacing w:after="20" w:before="20"/>
              <w:jc w:val="right"/>
            </w:pPr>
            <w:r/>
            <w:r>
              <w:rPr>
                <w:sz w:val="17"/>
              </w:rPr>
              <w:t>17.189 €</w:t>
            </w:r>
          </w:p>
        </w:tc>
        <w:tc>
          <w:tcPr>
            <w:tcW w:type="dxa" w:w="1531"/>
          </w:tcPr>
          <w:p>
            <w:pPr>
              <w:keepNext/>
              <w:spacing w:after="20" w:before="20"/>
              <w:jc w:val="right"/>
            </w:pPr>
            <w:r/>
            <w:r>
              <w:rPr>
                <w:sz w:val="17"/>
              </w:rPr>
              <w:t>17.733 €</w:t>
            </w:r>
          </w:p>
        </w:tc>
        <w:tc>
          <w:tcPr>
            <w:tcW w:type="dxa" w:w="1531"/>
          </w:tcPr>
          <w:p>
            <w:pPr>
              <w:keepNext/>
              <w:spacing w:after="20" w:before="20"/>
              <w:jc w:val="right"/>
            </w:pPr>
            <w:r/>
            <w:r>
              <w:rPr>
                <w:sz w:val="17"/>
              </w:rPr>
              <w:t>13.860 €</w:t>
            </w:r>
          </w:p>
        </w:tc>
        <w:tc>
          <w:tcPr>
            <w:tcW w:type="dxa" w:w="1531"/>
          </w:tcPr>
          <w:p>
            <w:pPr>
              <w:keepNext/>
              <w:spacing w:after="20" w:before="20"/>
              <w:jc w:val="right"/>
            </w:pPr>
            <w:r/>
            <w:r>
              <w:rPr>
                <w:sz w:val="17"/>
              </w:rPr>
              <w:t>13.862 €</w:t>
            </w:r>
          </w:p>
        </w:tc>
      </w:tr>
      <w:tr>
        <w:trPr>
          <w:cantSplit/>
        </w:trPr>
        <w:tc>
          <w:tcPr>
            <w:tcW w:type="dxa" w:w="3402"/>
            <w:shd w:val="clear" w:color="auto" w:fill="E3E8E5"/>
          </w:tcPr>
          <w:p>
            <w:pPr>
              <w:keepNext/>
              <w:spacing w:after="20" w:before="20"/>
            </w:pPr>
            <w:r/>
            <w:r>
              <w:rPr>
                <w:b/>
                <w:sz w:val="17"/>
              </w:rPr>
              <w:t>Ergebnis der GbR pro Monat</w:t>
            </w:r>
          </w:p>
        </w:tc>
        <w:tc>
          <w:tcPr>
            <w:tcW w:type="dxa" w:w="1531"/>
            <w:shd w:val="clear" w:color="auto" w:fill="E3E8E5"/>
          </w:tcPr>
          <w:p>
            <w:pPr>
              <w:keepNext/>
              <w:spacing w:after="20" w:before="20"/>
              <w:jc w:val="right"/>
            </w:pPr>
            <w:r/>
            <w:r>
              <w:rPr>
                <w:b/>
                <w:sz w:val="17"/>
              </w:rPr>
              <w:t>−553 €</w:t>
            </w:r>
          </w:p>
        </w:tc>
        <w:tc>
          <w:tcPr>
            <w:tcW w:type="dxa" w:w="1531"/>
            <w:shd w:val="clear" w:color="auto" w:fill="E3E8E5"/>
          </w:tcPr>
          <w:p>
            <w:pPr>
              <w:keepNext/>
              <w:spacing w:after="20" w:before="20"/>
              <w:jc w:val="right"/>
            </w:pPr>
            <w:r/>
            <w:r>
              <w:rPr>
                <w:b/>
                <w:sz w:val="17"/>
              </w:rPr>
              <w:t>−1.098 €</w:t>
            </w:r>
          </w:p>
        </w:tc>
        <w:tc>
          <w:tcPr>
            <w:tcW w:type="dxa" w:w="1531"/>
            <w:shd w:val="clear" w:color="auto" w:fill="E3E8E5"/>
          </w:tcPr>
          <w:p>
            <w:pPr>
              <w:keepNext/>
              <w:spacing w:after="20" w:before="20"/>
              <w:jc w:val="right"/>
            </w:pPr>
            <w:r/>
            <w:r>
              <w:rPr>
                <w:b/>
                <w:sz w:val="17"/>
              </w:rPr>
              <w:t>+2.776 €</w:t>
            </w:r>
          </w:p>
        </w:tc>
        <w:tc>
          <w:tcPr>
            <w:tcW w:type="dxa" w:w="1531"/>
            <w:shd w:val="clear" w:color="auto" w:fill="E3E8E5"/>
          </w:tcPr>
          <w:p>
            <w:pPr>
              <w:keepNext/>
              <w:spacing w:after="20" w:before="20"/>
              <w:jc w:val="right"/>
            </w:pPr>
            <w:r/>
            <w:r>
              <w:rPr>
                <w:b/>
                <w:sz w:val="17"/>
              </w:rPr>
              <w:t>+2.774 €</w:t>
            </w:r>
          </w:p>
        </w:tc>
      </w:tr>
      <w:tr>
        <w:trPr>
          <w:cantSplit/>
        </w:trPr>
        <w:tc>
          <w:tcPr>
            <w:tcW w:type="dxa" w:w="3402"/>
          </w:tcPr>
          <w:p>
            <w:pPr>
              <w:keepNext/>
              <w:spacing w:after="20" w:before="20"/>
            </w:pPr>
            <w:r/>
            <w:r>
              <w:rPr>
                <w:sz w:val="17"/>
              </w:rPr>
              <w:t>Kapitaldienstdeckung</w:t>
            </w:r>
          </w:p>
        </w:tc>
        <w:tc>
          <w:tcPr>
            <w:tcW w:type="dxa" w:w="1531"/>
          </w:tcPr>
          <w:p>
            <w:pPr>
              <w:keepNext/>
              <w:spacing w:after="20" w:before="20"/>
              <w:jc w:val="right"/>
            </w:pPr>
            <w:r/>
            <w:r>
              <w:rPr>
                <w:sz w:val="17"/>
              </w:rPr>
              <w:t>0,97</w:t>
            </w:r>
          </w:p>
        </w:tc>
        <w:tc>
          <w:tcPr>
            <w:tcW w:type="dxa" w:w="1531"/>
          </w:tcPr>
          <w:p>
            <w:pPr>
              <w:keepNext/>
              <w:spacing w:after="20" w:before="20"/>
              <w:jc w:val="right"/>
            </w:pPr>
            <w:r/>
            <w:r>
              <w:rPr>
                <w:sz w:val="17"/>
              </w:rPr>
              <w:t>0,94</w:t>
            </w:r>
          </w:p>
        </w:tc>
        <w:tc>
          <w:tcPr>
            <w:tcW w:type="dxa" w:w="1531"/>
          </w:tcPr>
          <w:p>
            <w:pPr>
              <w:keepNext/>
              <w:spacing w:after="20" w:before="20"/>
              <w:jc w:val="right"/>
            </w:pPr>
            <w:r/>
            <w:r>
              <w:rPr>
                <w:sz w:val="17"/>
              </w:rPr>
              <w:t>1,20</w:t>
            </w:r>
          </w:p>
        </w:tc>
        <w:tc>
          <w:tcPr>
            <w:tcW w:type="dxa" w:w="1531"/>
          </w:tcPr>
          <w:p>
            <w:pPr>
              <w:keepNext/>
              <w:spacing w:after="20" w:before="20"/>
              <w:jc w:val="right"/>
            </w:pPr>
            <w:r/>
            <w:r>
              <w:rPr>
                <w:sz w:val="17"/>
              </w:rPr>
              <w:t>1,20</w:t>
            </w:r>
          </w:p>
        </w:tc>
      </w:tr>
      <w:tr>
        <w:trPr>
          <w:cantSplit/>
        </w:trPr>
        <w:tc>
          <w:tcPr>
            <w:tcW w:type="dxa" w:w="3402"/>
          </w:tcPr>
          <w:p>
            <w:pPr>
              <w:keepNext/>
              <w:spacing w:after="20" w:before="20"/>
            </w:pPr>
            <w:r/>
            <w:r>
              <w:rPr>
                <w:sz w:val="17"/>
              </w:rPr>
              <w:t>Cash pro Person nach Steuer, 8 Personen, pro Monat</w:t>
            </w:r>
          </w:p>
        </w:tc>
        <w:tc>
          <w:tcPr>
            <w:tcW w:type="dxa" w:w="1531"/>
          </w:tcPr>
          <w:p>
            <w:pPr>
              <w:keepNext/>
              <w:spacing w:after="20" w:before="20"/>
              <w:jc w:val="right"/>
            </w:pPr>
            <w:r/>
            <w:r>
              <w:rPr>
                <w:sz w:val="17"/>
              </w:rPr>
              <w:t>+253 €</w:t>
            </w:r>
          </w:p>
        </w:tc>
        <w:tc>
          <w:tcPr>
            <w:tcW w:type="dxa" w:w="1531"/>
          </w:tcPr>
          <w:p>
            <w:pPr>
              <w:keepNext/>
              <w:spacing w:after="20" w:before="20"/>
              <w:jc w:val="right"/>
            </w:pPr>
            <w:r/>
            <w:r>
              <w:rPr>
                <w:sz w:val="17"/>
              </w:rPr>
              <w:t>+204 €</w:t>
            </w:r>
          </w:p>
        </w:tc>
        <w:tc>
          <w:tcPr>
            <w:tcW w:type="dxa" w:w="1531"/>
          </w:tcPr>
          <w:p>
            <w:pPr>
              <w:keepNext/>
              <w:spacing w:after="20" w:before="20"/>
              <w:jc w:val="right"/>
            </w:pPr>
            <w:r/>
            <w:r>
              <w:rPr>
                <w:sz w:val="17"/>
              </w:rPr>
              <w:t>+553 €</w:t>
            </w:r>
          </w:p>
        </w:tc>
        <w:tc>
          <w:tcPr>
            <w:tcW w:type="dxa" w:w="1531"/>
          </w:tcPr>
          <w:p>
            <w:pPr>
              <w:keepNext/>
              <w:spacing w:after="20" w:before="20"/>
              <w:jc w:val="right"/>
            </w:pPr>
            <w:r/>
            <w:r>
              <w:rPr>
                <w:sz w:val="17"/>
              </w:rPr>
              <w:t>+553 €</w:t>
            </w:r>
          </w:p>
        </w:tc>
      </w:tr>
      <w:tr>
        <w:trPr>
          <w:cantSplit/>
        </w:trPr>
        <w:tc>
          <w:tcPr>
            <w:tcW w:type="dxa" w:w="3402"/>
          </w:tcPr>
          <w:p>
            <w:pPr>
              <w:keepNext/>
              <w:spacing w:after="20" w:before="20"/>
            </w:pPr>
            <w:r/>
            <w:r>
              <w:rPr>
                <w:sz w:val="17"/>
              </w:rPr>
              <w:t>Eigenkapital pro Person bei 8 Personen</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93.625 €</w:t>
            </w:r>
          </w:p>
        </w:tc>
        <w:tc>
          <w:tcPr>
            <w:tcW w:type="dxa" w:w="1531"/>
          </w:tcPr>
          <w:p>
            <w:pPr>
              <w:keepNext/>
              <w:spacing w:after="20" w:before="20"/>
              <w:jc w:val="right"/>
            </w:pPr>
            <w:r/>
            <w:r>
              <w:rPr>
                <w:sz w:val="17"/>
              </w:rPr>
              <w:t>108.875 €</w:t>
            </w:r>
          </w:p>
        </w:tc>
      </w:tr>
      <w:tr>
        <w:trPr>
          <w:cantSplit/>
        </w:trPr>
        <w:tc>
          <w:tcPr>
            <w:tcW w:type="dxa" w:w="3402"/>
          </w:tcPr>
          <w:p>
            <w:pPr>
              <w:spacing w:after="20" w:before="20"/>
            </w:pPr>
            <w:r/>
            <w:r>
              <w:rPr>
                <w:sz w:val="17"/>
              </w:rPr>
              <w:t>Betriebsergebnis Gastro (Betreiberfirma)</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r>
    </w:tbl>
    <w:p>
      <w:pPr>
        <w:spacing w:after="40"/>
      </w:pPr>
    </w:p>
    <w:p>
      <w:r>
        <w:rPr>
          <w:b/>
          <w:i w:val="0"/>
          <w:color w:val="2F4A3E"/>
        </w:rPr>
        <w:t>Mit 12 Wohnungen brauchen die Gesellschafter 749.000 € Eigenkapital für die Deckung 1,2, mit 8 Wohnungen 871.000 €.</w:t>
      </w:r>
    </w:p>
    <w:p>
      <w:pPr>
        <w:pStyle w:val="Heading1"/>
      </w:pPr>
      <w:r>
        <w:t>16  Prüfung: ein 60-m²-Apartment als Airbnb</w:t>
      </w:r>
    </w:p>
    <w:p>
      <w:r>
        <w:rPr>
          <w:b w:val="0"/>
          <w:i w:val="0"/>
        </w:rPr>
        <w:t>Marktlage Werlte (49757), Stand Q4 2026: Die Beherbergungsbetriebe der Samtgemeinde Werlte (ab 10 Betten) hatten zuletzt eine Auslastung von 17,4 % bei 2,7 Tagen Aufenthalt, der Emsland-Schnitt liegt bei 36,2 % (Emsland Tourismus, Quelle Landesamt für Statistik). Ferienunterkünfte kosten in Werlte im Schnitt ca. 87 € pro Nacht, 89 % liegen unter 100 €. Belegungsdaten von Airbnb oder AirDNA für Werlte lagen nicht vor, deshalb sind die Szenarien Näherungen. Angesetzt sind 90 € pro Nacht, Möblierung von 600 €/m² (36.000 €) im Kredit, Kosten von 56 % des Umsatzes (Plattform, Reinigung, Nebenkosten, Rücklage) gegenüber einer langfristigen Miete von 11,18 €/m² abzüglich 10 % Rücklagen.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Apartment 60 m²</w:t>
            </w:r>
          </w:p>
        </w:tc>
        <w:tc>
          <w:tcPr>
            <w:tcW w:type="dxa" w:w="1701"/>
            <w:shd w:val="clear" w:color="auto" w:fill="2F4A3E"/>
          </w:tcPr>
          <w:p>
            <w:pPr>
              <w:keepNext/>
              <w:spacing w:after="20" w:before="20"/>
              <w:jc w:val="right"/>
            </w:pPr>
            <w:r/>
            <w:r>
              <w:rPr>
                <w:b/>
                <w:color w:val="FFFFFF"/>
                <w:sz w:val="18"/>
              </w:rPr>
              <w:t>Werlte amtlich</w:t>
            </w:r>
          </w:p>
        </w:tc>
        <w:tc>
          <w:tcPr>
            <w:tcW w:type="dxa" w:w="1701"/>
            <w:shd w:val="clear" w:color="auto" w:fill="2F4A3E"/>
          </w:tcPr>
          <w:p>
            <w:pPr>
              <w:keepNext/>
              <w:spacing w:after="20" w:before="20"/>
              <w:jc w:val="right"/>
            </w:pPr>
            <w:r/>
            <w:r>
              <w:rPr>
                <w:b/>
                <w:color w:val="FFFFFF"/>
                <w:sz w:val="18"/>
              </w:rPr>
              <w:t>Emsland-Schnitt</w:t>
            </w:r>
          </w:p>
        </w:tc>
        <w:tc>
          <w:tcPr>
            <w:tcW w:type="dxa" w:w="1701"/>
            <w:shd w:val="clear" w:color="auto" w:fill="2F4A3E"/>
          </w:tcPr>
          <w:p>
            <w:pPr>
              <w:keepNext/>
              <w:spacing w:after="20" w:before="20"/>
              <w:jc w:val="right"/>
            </w:pPr>
            <w:r/>
            <w:r>
              <w:rPr>
                <w:b/>
                <w:color w:val="FFFFFF"/>
                <w:sz w:val="18"/>
              </w:rPr>
              <w:t>Optimistisch</w:t>
            </w:r>
          </w:p>
        </w:tc>
      </w:tr>
      <w:tr>
        <w:trPr>
          <w:cantSplit/>
        </w:trPr>
        <w:tc>
          <w:tcPr>
            <w:tcW w:type="dxa" w:w="4309"/>
          </w:tcPr>
          <w:p>
            <w:pPr>
              <w:keepNext/>
              <w:spacing w:after="20" w:before="20"/>
            </w:pPr>
            <w:r/>
            <w:r>
              <w:rPr>
                <w:sz w:val="18"/>
              </w:rPr>
              <w:t>Auslastung</w:t>
            </w:r>
          </w:p>
        </w:tc>
        <w:tc>
          <w:tcPr>
            <w:tcW w:type="dxa" w:w="1701"/>
          </w:tcPr>
          <w:p>
            <w:pPr>
              <w:keepNext/>
              <w:spacing w:after="20" w:before="20"/>
              <w:jc w:val="right"/>
            </w:pPr>
            <w:r/>
            <w:r>
              <w:rPr>
                <w:sz w:val="18"/>
              </w:rPr>
              <w:t>17,4 %</w:t>
            </w:r>
          </w:p>
        </w:tc>
        <w:tc>
          <w:tcPr>
            <w:tcW w:type="dxa" w:w="1701"/>
          </w:tcPr>
          <w:p>
            <w:pPr>
              <w:keepNext/>
              <w:spacing w:after="20" w:before="20"/>
              <w:jc w:val="right"/>
            </w:pPr>
            <w:r/>
            <w:r>
              <w:rPr>
                <w:sz w:val="18"/>
              </w:rPr>
              <w:t>36,2 %</w:t>
            </w:r>
          </w:p>
        </w:tc>
        <w:tc>
          <w:tcPr>
            <w:tcW w:type="dxa" w:w="1701"/>
          </w:tcPr>
          <w:p>
            <w:pPr>
              <w:keepNext/>
              <w:spacing w:after="20" w:before="20"/>
              <w:jc w:val="right"/>
            </w:pPr>
            <w:r/>
            <w:r>
              <w:rPr>
                <w:sz w:val="18"/>
              </w:rPr>
              <w:t>60,0 %</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r>
      <w:tr>
        <w:trPr>
          <w:cantSplit/>
        </w:trPr>
        <w:tc>
          <w:tcPr>
            <w:tcW w:type="dxa" w:w="4309"/>
          </w:tcPr>
          <w:p>
            <w:pPr>
              <w:keepNext/>
              <w:spacing w:after="20" w:before="20"/>
            </w:pPr>
            <w:r/>
            <w:r>
              <w:rPr>
                <w:sz w:val="18"/>
              </w:rPr>
              <w:t>Netto Airbnb pro Monat</w:t>
            </w:r>
          </w:p>
        </w:tc>
        <w:tc>
          <w:tcPr>
            <w:tcW w:type="dxa" w:w="1701"/>
          </w:tcPr>
          <w:p>
            <w:pPr>
              <w:keepNext/>
              <w:spacing w:after="20" w:before="20"/>
              <w:jc w:val="right"/>
            </w:pPr>
            <w:r/>
            <w:r>
              <w:rPr>
                <w:sz w:val="18"/>
              </w:rPr>
              <w:t>210 €</w:t>
            </w:r>
          </w:p>
        </w:tc>
        <w:tc>
          <w:tcPr>
            <w:tcW w:type="dxa" w:w="1701"/>
          </w:tcPr>
          <w:p>
            <w:pPr>
              <w:keepNext/>
              <w:spacing w:after="20" w:before="20"/>
              <w:jc w:val="right"/>
            </w:pPr>
            <w:r/>
            <w:r>
              <w:rPr>
                <w:sz w:val="18"/>
              </w:rPr>
              <w:t>436 €</w:t>
            </w:r>
          </w:p>
        </w:tc>
        <w:tc>
          <w:tcPr>
            <w:tcW w:type="dxa" w:w="1701"/>
          </w:tcPr>
          <w:p>
            <w:pPr>
              <w:keepNext/>
              <w:spacing w:after="20" w:before="20"/>
              <w:jc w:val="right"/>
            </w:pPr>
            <w:r/>
            <w:r>
              <w:rPr>
                <w:sz w:val="18"/>
              </w:rPr>
              <w:t>723 €</w:t>
            </w:r>
          </w:p>
        </w:tc>
      </w:tr>
      <w:tr>
        <w:trPr>
          <w:cantSplit/>
        </w:trPr>
        <w:tc>
          <w:tcPr>
            <w:tcW w:type="dxa" w:w="4309"/>
          </w:tcPr>
          <w:p>
            <w:pPr>
              <w:keepNext/>
              <w:spacing w:after="20" w:before="20"/>
            </w:pPr>
            <w:r/>
            <w:r>
              <w:rPr>
                <w:sz w:val="18"/>
              </w:rPr>
              <w:t>Netto langfristige Miete pro Monat</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r>
      <w:tr>
        <w:trPr>
          <w:cantSplit/>
        </w:trPr>
        <w:tc>
          <w:tcPr>
            <w:tcW w:type="dxa" w:w="4309"/>
          </w:tcPr>
          <w:p>
            <w:pPr>
              <w:keepNext/>
              <w:spacing w:after="20" w:before="20"/>
            </w:pPr>
            <w:r/>
            <w:r>
              <w:rPr>
                <w:sz w:val="18"/>
              </w:rPr>
              <w:t>Kapitaldienst Möblierung pro Monat</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r>
      <w:tr>
        <w:trPr>
          <w:cantSplit/>
        </w:trPr>
        <w:tc>
          <w:tcPr>
            <w:tcW w:type="dxa" w:w="4309"/>
            <w:shd w:val="clear" w:color="auto" w:fill="E3E8E5"/>
          </w:tcPr>
          <w:p>
            <w:pPr>
              <w:spacing w:after="20" w:before="20"/>
            </w:pPr>
            <w:r/>
            <w:r>
              <w:rPr>
                <w:b/>
                <w:sz w:val="18"/>
              </w:rPr>
              <w:t>Mehrertrag gegenüber langfristiger Miete pro Monat</w:t>
            </w:r>
          </w:p>
        </w:tc>
        <w:tc>
          <w:tcPr>
            <w:tcW w:type="dxa" w:w="1701"/>
            <w:shd w:val="clear" w:color="auto" w:fill="E3E8E5"/>
          </w:tcPr>
          <w:p>
            <w:pPr>
              <w:spacing w:after="20" w:before="20"/>
              <w:jc w:val="right"/>
            </w:pPr>
            <w:r/>
            <w:r>
              <w:rPr>
                <w:b/>
                <w:sz w:val="18"/>
              </w:rPr>
              <w:t>−544 €</w:t>
            </w:r>
          </w:p>
        </w:tc>
        <w:tc>
          <w:tcPr>
            <w:tcW w:type="dxa" w:w="1701"/>
            <w:shd w:val="clear" w:color="auto" w:fill="E3E8E5"/>
          </w:tcPr>
          <w:p>
            <w:pPr>
              <w:spacing w:after="20" w:before="20"/>
              <w:jc w:val="right"/>
            </w:pPr>
            <w:r/>
            <w:r>
              <w:rPr>
                <w:b/>
                <w:sz w:val="18"/>
              </w:rPr>
              <w:t>−318 €</w:t>
            </w:r>
          </w:p>
        </w:tc>
        <w:tc>
          <w:tcPr>
            <w:tcW w:type="dxa" w:w="1701"/>
            <w:shd w:val="clear" w:color="auto" w:fill="E3E8E5"/>
          </w:tcPr>
          <w:p>
            <w:pPr>
              <w:spacing w:after="20" w:before="20"/>
              <w:jc w:val="right"/>
            </w:pPr>
            <w:r/>
            <w:r>
              <w:rPr>
                <w:b/>
                <w:sz w:val="18"/>
              </w:rPr>
              <w:t>−31 €</w:t>
            </w:r>
          </w:p>
        </w:tc>
      </w:tr>
    </w:tbl>
    <w:p>
      <w:pPr>
        <w:spacing w:after="40"/>
      </w:pPr>
    </w:p>
    <w:p>
      <w:r>
        <w:rPr>
          <w:b/>
          <w:i w:val="0"/>
          <w:color w:val="2F4A3E"/>
        </w:rPr>
        <w:t>Ergebnis: Airbnb lohnt sich in Werlte nicht. Erst ab ca. 63 % Auslastung wäre es so gut wie die langfristige Miete, in Werlte liegt sie amtlich bei 17 %. Dazu kommen Aufwand für Gäste und Reinigung. Die Wohnung bleibt deshalb langfristig vermietet.</w:t>
      </w:r>
    </w:p>
    <w:p>
      <w:pPr>
        <w:pStyle w:val="Heading1"/>
      </w:pPr>
      <w:r>
        <w:t>17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151 % und Kapitaldienstdeckung 0,97 bei 100 % Fremdfinanzierung</w:t>
            </w:r>
          </w:p>
        </w:tc>
        <w:tc>
          <w:tcPr>
            <w:tcW w:type="dxa" w:w="3855"/>
          </w:tcPr>
          <w:p>
            <w:pPr>
              <w:keepNext/>
              <w:spacing w:after="20" w:before="20"/>
            </w:pPr>
            <w:r/>
            <w:r>
              <w:rPr>
                <w:sz w:val="17"/>
              </w:rPr>
              <w:t>Eigenkapital der Gesellschafter, zusätzliche Grundschulden, Bürgschaft; Pachtvertrag mit Bonitätsnachweis</w:t>
            </w:r>
          </w:p>
        </w:tc>
      </w:tr>
      <w:tr>
        <w:trPr>
          <w:cantSplit/>
        </w:trPr>
        <w:tc>
          <w:tcPr>
            <w:tcW w:type="dxa" w:w="1701"/>
          </w:tcPr>
          <w:p>
            <w:pPr>
              <w:keepNext/>
              <w:spacing w:after="20" w:before="20"/>
            </w:pPr>
            <w:r/>
            <w:r>
              <w:rPr>
                <w:sz w:val="17"/>
              </w:rPr>
              <w:t>Gastro-Umsatz und Pacht</w:t>
            </w:r>
          </w:p>
        </w:tc>
        <w:tc>
          <w:tcPr>
            <w:tcW w:type="dxa" w:w="3855"/>
          </w:tcPr>
          <w:p>
            <w:pPr>
              <w:keepNext/>
              <w:spacing w:after="20" w:before="20"/>
            </w:pPr>
            <w:r/>
            <w:r>
              <w:rPr>
                <w:sz w:val="17"/>
              </w:rPr>
              <w:t>GbR deckt die Raten erst ab ca. 102.000 € Umsatz (Umsatzpacht); bei Ausfall der Gastro fehlen ca. 8.607 € pro Monat zusätzlich</w:t>
            </w:r>
          </w:p>
        </w:tc>
        <w:tc>
          <w:tcPr>
            <w:tcW w:type="dxa" w:w="3855"/>
          </w:tcPr>
          <w:p>
            <w:pPr>
              <w:keepNext/>
              <w:spacing w:after="20" w:before="20"/>
            </w:pPr>
            <w:r/>
            <w:r>
              <w:rPr>
                <w:sz w:val="17"/>
              </w:rPr>
              <w:t>Mindestpacht, Bürgschaft des Betreibers, erfahrener Betreiber, Probebetrieb</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Haftung und Steuer</w:t>
            </w:r>
          </w:p>
        </w:tc>
        <w:tc>
          <w:tcPr>
            <w:tcW w:type="dxa" w:w="3855"/>
          </w:tcPr>
          <w:p>
            <w:pPr>
              <w:keepNext/>
              <w:spacing w:after="20" w:before="20"/>
            </w:pPr>
            <w:r/>
            <w:r>
              <w:rPr>
                <w:sz w:val="17"/>
              </w:rPr>
              <w:t>GbR haftet persönlich, steuerliche Förderungen hängen an Fristen</w:t>
            </w:r>
          </w:p>
        </w:tc>
        <w:tc>
          <w:tcPr>
            <w:tcW w:type="dxa" w:w="3855"/>
          </w:tcPr>
          <w:p>
            <w:pPr>
              <w:keepNext/>
              <w:spacing w:after="20" w:before="20"/>
            </w:pPr>
            <w:r/>
            <w:r>
              <w:rPr>
                <w:sz w:val="17"/>
              </w:rPr>
              <w:t>Rechtsform mit Anwalt klären, Steuerberater prüft Abschreibungen und Verlustverrechnung</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18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19  Anlagen und Unterlagen für die Bank</w:t>
      </w:r>
    </w:p>
    <w:p>
      <w:r>
        <w:rPr>
          <w:b w:val="0"/>
          <w:i w:val="0"/>
        </w:rPr>
        <w:t>Das Rechenmodell Bankunterlagen_Baufeld3.xlsx enthält Übersicht, Annahmen, Flächen und Mieten, Kosten und Finanzierungsplan mit Förderwirkung, Bauphase, Abzahlungsplan (monatlich und jährlich), Ertrag und Kapitaldienst, Gesellschafter pro Kopf, Szenarien 12 gegen 8 Wohnungen, Gastro-Betrieb, Gastro-Tagesteile,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(Neue-Mitte-Werlte_Baufeld3_12-Wohnungen_Restaurant-Bar.pptx),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