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/>
          <w:b/>
          <w:color w:val="2F4A3E"/>
          <w:sz w:val="30"/>
        </w:rPr>
        <w:t>Neue Mitte Werlte, Baufeld 3 – Kurzzusammenfassung für das Finanzierungsgespräch</w:t>
      </w:r>
    </w:p>
    <w:p>
      <w:r>
        <w:rPr>
          <w:b w:val="0"/>
          <w:i/>
          <w:sz w:val="17"/>
        </w:rPr>
        <w:t>Hümmlinger Volksbank, Werlte · Stand 22.10.2026 · vorläufig · alle Zahlen Annahmen · keine Förderzusage</w:t>
      </w:r>
    </w:p>
    <w:p>
      <w:pPr>
        <w:pStyle w:val="Heading2"/>
      </w:pPr>
      <w:r>
        <w:t>Vorhaben</w:t>
      </w:r>
    </w:p>
    <w:p>
      <w:r>
        <w:rPr>
          <w:b w:val="0"/>
          <w:i w:val="0"/>
        </w:rPr>
        <w:t>Mischgenutztes Gebäude auf 960 m² (230 €/m²): Erdgeschoss mit großzügiger Gastronomie (440 m², ca. 120 Innenplätze) und zwei kompakten Büros (56 m² netto), 16 Wohnungen (846 m² Wohnfläche) im 1. Obergeschoss und im zurückgesetzten Staffelgeschoss, Dachterrassen und überdachte Stellplätze. Gastronomie wird vermietet, nicht selbst betrieben. Baufenster, GRZ, Abstände und Stellplatznachweis sind noch nicht geklärt.</w:t>
      </w:r>
    </w:p>
    <w:p>
      <w:pPr>
        <w:pStyle w:val="Heading2"/>
      </w:pPr>
      <w:r>
        <w:t>Zahlen (Eigenkapital 20 %)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195"/>
        <w:gridCol w:w="1814"/>
        <w:gridCol w:w="1814"/>
        <w:gridCol w:w="1814"/>
      </w:tblGrid>
      <w:tr>
        <w:tc>
          <w:tcPr>
            <w:tcW w:type="dxa" w:w="4195"/>
            <w:shd w:val="clear" w:color="auto" w:fill="E3E8E5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814"/>
            <w:shd w:val="clear" w:color="auto" w:fill="E3E8E5"/>
          </w:tcPr>
          <w:p>
            <w:r/>
            <w:r>
              <w:rPr>
                <w:b/>
                <w:sz w:val="17"/>
              </w:rPr>
              <w:t>vorsichtig</w:t>
            </w:r>
          </w:p>
        </w:tc>
        <w:tc>
          <w:tcPr>
            <w:tcW w:type="dxa" w:w="1814"/>
            <w:shd w:val="clear" w:color="auto" w:fill="E3E8E5"/>
          </w:tcPr>
          <w:p>
            <w:r/>
            <w:r>
              <w:rPr>
                <w:b/>
                <w:sz w:val="17"/>
              </w:rPr>
              <w:t>realistisch</w:t>
            </w:r>
          </w:p>
        </w:tc>
        <w:tc>
          <w:tcPr>
            <w:tcW w:type="dxa" w:w="1814"/>
            <w:shd w:val="clear" w:color="auto" w:fill="E3E8E5"/>
          </w:tcPr>
          <w:p>
            <w:r/>
            <w:r>
              <w:rPr>
                <w:b/>
                <w:sz w:val="17"/>
              </w:rPr>
              <w:t>günstig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7"/>
              </w:rPr>
              <w:t>Gesamtkosten (inkl. Grundstück, Nebenkosten, Finanzierung)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8.411.875 €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6.641.739 €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5.524.199 €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7"/>
              </w:rPr>
              <w:t>Fremdkapital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6.729.500 €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5.313.391 €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4.419.359 €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7"/>
              </w:rPr>
              <w:t>Zinsen monatlich / Rate monatlich (2 % Tilgung)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27.479 € / 38.695 €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19.925 € / 28.781 €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15.099 € / 22.465 €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7"/>
              </w:rPr>
              <w:t>Netto-Mietertrag jährlich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107.333 €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136.846 €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163.588 €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7"/>
              </w:rPr>
              <w:t>Kapitaldienst jährlich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464.336 €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345.370 €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269.581 €</w:t>
            </w:r>
          </w:p>
        </w:tc>
      </w:tr>
      <w:tr>
        <w:tc>
          <w:tcPr>
            <w:tcW w:type="dxa" w:w="4195"/>
          </w:tcPr>
          <w:p>
            <w:r/>
            <w:r>
              <w:rPr>
                <w:sz w:val="17"/>
              </w:rPr>
              <w:t>Cashflow nach Kapitaldienst jährlich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-357.002 €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-208.524 €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sz w:val="17"/>
              </w:rPr>
              <w:t>-105.993 €</w:t>
            </w:r>
          </w:p>
        </w:tc>
      </w:tr>
      <w:tr>
        <w:tc>
          <w:tcPr>
            <w:tcW w:type="dxa" w:w="4195"/>
          </w:tcPr>
          <w:p>
            <w:r/>
            <w:r>
              <w:rPr>
                <w:b/>
                <w:sz w:val="17"/>
              </w:rPr>
              <w:t>Kapitaldienstdeckungsgrad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/>
                <w:sz w:val="17"/>
              </w:rPr>
              <w:t>0,23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/>
                <w:sz w:val="17"/>
              </w:rPr>
              <w:t>0,40</w:t>
            </w:r>
          </w:p>
        </w:tc>
        <w:tc>
          <w:tcPr>
            <w:tcW w:type="dxa" w:w="1814"/>
          </w:tcPr>
          <w:p>
            <w:pPr>
              <w:jc w:val="right"/>
            </w:pPr>
            <w:r/>
            <w:r>
              <w:rPr>
                <w:b/>
                <w:sz w:val="17"/>
              </w:rPr>
              <w:t>0,61</w:t>
            </w:r>
          </w:p>
        </w:tc>
      </w:tr>
    </w:tbl>
    <w:p/>
    <w:p>
      <w:pPr>
        <w:pStyle w:val="Heading2"/>
      </w:pPr>
      <w:r>
        <w:t>Einordnung</w:t>
      </w:r>
    </w:p>
    <w:p>
      <w:pPr>
        <w:pStyle w:val="ListBullet"/>
      </w:pPr>
      <w:r>
        <w:t>Die Finanzierung ist nach diesen Annahmen nicht tragfähig: Deckungsgrad 0,23 / 0,40 / 0,61, Cashflow negativ in allen Szenarien.</w:t>
      </w:r>
    </w:p>
    <w:p>
      <w:pPr>
        <w:pStyle w:val="ListBullet"/>
      </w:pPr>
      <w:r>
        <w:t>Break-even: Wohnmiete 31,6 €/m² (realistisch) bzw. alle Mieten × 2,32; ein tragbarer Deckungsgrad von 1,2 bräuchte ca. 4.671.541 € Eigenkapital.</w:t>
      </w:r>
    </w:p>
    <w:p>
      <w:pPr>
        <w:pStyle w:val="ListBullet"/>
      </w:pPr>
      <w:r>
        <w:t>Mit theoretisch höchster KfW-Förderung (297 + 299) steigt der Deckungsgrad nur auf 0,45; mit NBank-Zuschuss und gebundener Miete 0,48. Keine Förderung ist zugesagt, Förderzinsen sind noch zu bestätigen.</w:t>
      </w:r>
    </w:p>
    <w:p>
      <w:pPr>
        <w:pStyle w:val="ListBullet"/>
      </w:pPr>
      <w:r>
        <w:t>Mieten: Neubauangebote in Werlte und Umgebung 9,5–12,5 €/m² (Durchschnitt 7,8–8,4); Büros 9–12 €/m²; Gastronomie nur als Pachtquote (8–12 % vom Umsatz) plausibilisiert.</w:t>
      </w:r>
    </w:p>
    <w:p>
      <w:pPr>
        <w:pStyle w:val="ListBullet"/>
      </w:pPr>
      <w:r>
        <w:t>Baukosten: Orientierung 2.200–3.000 €/m² BGF (günstig bis vorsichtig), noch nicht durch Kostenplanung belegt.</w:t>
      </w:r>
    </w:p>
    <w:p>
      <w:pPr>
        <w:pStyle w:val="Heading2"/>
      </w:pPr>
      <w:r>
        <w:t>Fragen und Bitten an die Bank</w:t>
      </w:r>
    </w:p>
    <w:p>
      <w:pPr>
        <w:pStyle w:val="ListBullet"/>
      </w:pPr>
      <w:r>
        <w:t>Welcher Deckungsgrad und welche Eigenkapitalquote werden für gemischt genutzte Objekte dieser Größe gefordert?</w:t>
      </w:r>
    </w:p>
    <w:p>
      <w:pPr>
        <w:pStyle w:val="ListBullet"/>
      </w:pPr>
      <w:r>
        <w:t>Welche Beleihungsauslauf- und Mietansätze legt die Bank an (Wohnen, Büro, Gastronomie)?</w:t>
      </w:r>
    </w:p>
    <w:p>
      <w:pPr>
        <w:pStyle w:val="ListBullet"/>
      </w:pPr>
      <w:r>
        <w:t>Wie wird Gastronomie als Vermietung bewertet (Betreiberbonität, Sicherheiten)?</w:t>
      </w:r>
    </w:p>
    <w:p>
      <w:pPr>
        <w:pStyle w:val="ListBullet"/>
      </w:pPr>
      <w:r>
        <w:t>Konditionen KfW 297/298/299 über die Hausbank: aktuelle Zinsen, Eignung bei Mischnutzung, Antragszeitpunkt vor Baubeginn.</w:t>
      </w:r>
    </w:p>
    <w:p>
      <w:pPr>
        <w:pStyle w:val="ListBullet"/>
      </w:pPr>
      <w:r>
        <w:t>Gewünschte Unterlagen für den nächsten Schritt (Kostenermittlung, Bauvoranfrage, Mietbestätigungen).</w:t>
      </w:r>
    </w:p>
    <w:p>
      <w:pPr>
        <w:pStyle w:val="Heading2"/>
      </w:pPr>
      <w:r>
        <w:t>Offene Punkte (ehrlich)</w:t>
      </w:r>
    </w:p>
    <w:p>
      <w:pPr>
        <w:pStyle w:val="ListBullet"/>
      </w:pPr>
      <w:r>
        <w:t>Baurecht nicht nachgewiesen (Baufenster, GRZ, Auskragung, Höhen, Staffel als Vollgeschoss, Stellplätze).</w:t>
      </w:r>
    </w:p>
    <w:p>
      <w:pPr>
        <w:pStyle w:val="ListBullet"/>
      </w:pPr>
      <w:r>
        <w:t>Kosten und Mieten sind Annahmen; Bodengutachten, Lageplan, Kostenplanung und Mietinteressenten fehlen.</w:t>
      </w:r>
    </w:p>
    <w:p>
      <w:pPr>
        <w:pStyle w:val="ListBullet"/>
      </w:pPr>
      <w:r>
        <w:t>Grundrichtung (Anpassung des Konzepts an die Wirtschaftlichkeit) ist noch zu entscheiden.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2F4A3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2F4A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color w:val="2F4A3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