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2F4A3E"/>
          <w:sz w:val="40"/>
        </w:rPr>
        <w:t>Neue Mitte Werlte, Baufeld 3</w:t>
      </w:r>
    </w:p>
    <w:p>
      <w:r>
        <w:rPr>
          <w:b/>
          <w:i w:val="0"/>
          <w:sz w:val="24"/>
        </w:rPr>
        <w:t>Wirtschaftlichkeit und Finanzierung des Gesamtkonzepts (Arbeitsgrundlage B3)</w:t>
      </w:r>
    </w:p>
    <w:p>
      <w:r>
        <w:rPr>
          <w:b w:val="0"/>
          <w:i/>
          <w:sz w:val="17"/>
        </w:rPr>
        <w:t>Stand 22.10.2026 · vorläufig · alle Zahlen sind begründete Annahmen · keine Förderzusage · Architektur, Wirtschaftlichkeit und baurechtliche Machbarkeit werden getrennt bewertet</w:t>
      </w:r>
    </w:p>
    <w:p>
      <w:pPr>
        <w:pStyle w:val="Heading1"/>
      </w:pPr>
      <w:r>
        <w:t>1. Ergebnis in Kürze</w:t>
      </w:r>
    </w:p>
    <w:p>
      <w:r>
        <w:rPr>
          <w:b w:val="0"/>
          <w:i w:val="0"/>
        </w:rPr>
        <w:t>Nach den hier begründeten Annahmen trägt sich das Gesamtkonzept in keinem der drei Szenarien aus den Mieten. Bei 20 % Eigenkapital liegt der Kapitaldienstdeckungsgrad bei 0,23 (vorsichtig), 0,40 (realistisch) und 0,61 (günstig); üblich wäre mindestens 1,2. Die Finanzierung ist damit nicht tragfähig. Auch die theoretisch höchstmögliche Förderung ändert daran nichts (Deckungsgrad realistisch mit KfW 0,45, mit NBank-Zuschuss 0,48).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871"/>
        <w:gridCol w:w="1871"/>
        <w:gridCol w:w="1871"/>
      </w:tblGrid>
      <w:tr>
        <w:tc>
          <w:tcPr>
            <w:tcW w:type="dxa" w:w="3969"/>
            <w:shd w:val="clear" w:color="auto" w:fill="E3E8E5"/>
          </w:tcPr>
          <w:p>
            <w:r/>
            <w:r>
              <w:rPr>
                <w:b/>
                <w:sz w:val="17"/>
              </w:rPr>
              <w:t>Eigenkapital 20 %</w:t>
            </w:r>
          </w:p>
        </w:tc>
        <w:tc>
          <w:tcPr>
            <w:tcW w:type="dxa" w:w="1871"/>
            <w:shd w:val="clear" w:color="auto" w:fill="E3E8E5"/>
          </w:tcPr>
          <w:p>
            <w:r/>
            <w:r>
              <w:rPr>
                <w:b/>
                <w:sz w:val="17"/>
              </w:rPr>
              <w:t>vorsichtig</w:t>
            </w:r>
          </w:p>
        </w:tc>
        <w:tc>
          <w:tcPr>
            <w:tcW w:type="dxa" w:w="1871"/>
            <w:shd w:val="clear" w:color="auto" w:fill="E3E8E5"/>
          </w:tcPr>
          <w:p>
            <w:r/>
            <w:r>
              <w:rPr>
                <w:b/>
                <w:sz w:val="17"/>
              </w:rPr>
              <w:t>realistisch</w:t>
            </w:r>
          </w:p>
        </w:tc>
        <w:tc>
          <w:tcPr>
            <w:tcW w:type="dxa" w:w="1871"/>
            <w:shd w:val="clear" w:color="auto" w:fill="E3E8E5"/>
          </w:tcPr>
          <w:p>
            <w:r/>
            <w:r>
              <w:rPr>
                <w:b/>
                <w:sz w:val="17"/>
              </w:rPr>
              <w:t>günstig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Gesamtkosten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8.411.875 €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6.641.739 €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5.524.199 €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Eigenkapital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1.682.375 €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1.328.348 €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1.104.840 €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Fremdkapital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6.729.500 €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5.313.391 €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4.419.359 €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Zinsen monatlich (Jahr 1)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27.479 €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19.925 €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15.099 €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Kreditrate monatlich (Zins + 2 % Tilgung)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38.695 €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28.781 €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22.465 €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Kapitaldienst jährlich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464.336 €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345.370 €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269.581 €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Netto-Mietertrag jährlich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107.333 €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136.846 €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163.588 €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Cashflow nach Kapitaldienst jährlich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-357.002 €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-208.524 €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-105.993 €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7"/>
              </w:rPr>
              <w:t>Kapitaldienstdeckungsgrad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sz w:val="17"/>
              </w:rPr>
              <w:t>0,23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sz w:val="17"/>
              </w:rPr>
              <w:t>0,40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sz w:val="17"/>
              </w:rPr>
              <w:t>0,61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Nettoanfangsrendite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1,3 %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2,1 %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  <w:t>3,0 %</w:t>
            </w:r>
          </w:p>
        </w:tc>
      </w:tr>
    </w:tbl>
    <w:p/>
    <w:p>
      <w:r>
        <w:rPr>
          <w:b w:val="0"/>
          <w:i w:val="0"/>
        </w:rPr>
        <w:t>Was sich ändern müsste: Alle Mieten müssten im realistischen Szenario um den Faktor 2,32 steigen, damit der Deckungsgrad 1,0 erreicht (Wohnmiete 31,6 €/m² bei unveränderten Gewerbemieten); für einen Deckungsgrad von 1,2 mit 20 % Fremdkapital-Anteil wären ca. 4.671.541 € Eigenkapital nötig (73 % der Gesamtkosten). Die Spanne der Kostenannahmen ist groß; entscheidend ist die Prüfung durch einen Kostenplaner.</w:t>
      </w:r>
    </w:p>
    <w:p>
      <w:pPr>
        <w:pStyle w:val="Heading1"/>
      </w:pPr>
      <w:r>
        <w:t>2. Gesamtkonzept und Flächen</w:t>
      </w:r>
    </w:p>
    <w:p>
      <w:r>
        <w:rPr>
          <w:b w:val="0"/>
          <w:i w:val="0"/>
        </w:rPr>
        <w:t>Gebäude 32 × 18 m im Erdgeschoss, drei Geschosse (EG, 1. OG, zurückgesetztes Staffelgeschoss). Erdgeschoss: großzügige Gastronomie vorn und in der Mitte (440 m² brutto, Gastraum und Bar 280 m², ca. 120 Innenplätze möbliert, ca. 44 Terrassenplätze), kompakte Büros hinten (2 × 28 m² netto), Wohnkern im Westen. 1. OG und Staffel nur Wohnungen: 16 Wohnungen mit 846 m² Wohnfläche netto; fünf Balkone zur Platzseite, Staffel 0,80 m zurückgesetzt, hinten 3 m Auskragung des 1. OG über überdachten Stellplätzen und drei Dachterrassen (20,7 m²) vor den hinteren Staffelwohnungen. Pläne: Ordner varianten_v3 und gesamtkonzept (Blätter 21–27, 31, 32).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268"/>
      </w:tblGrid>
      <w:tr>
        <w:tc>
          <w:tcPr>
            <w:tcW w:type="dxa" w:w="4535"/>
            <w:shd w:val="clear" w:color="auto" w:fill="E3E8E5"/>
          </w:tcPr>
          <w:p>
            <w:r/>
            <w:r>
              <w:rPr>
                <w:b/>
                <w:sz w:val="17"/>
              </w:rPr>
              <w:t>Fläche</w:t>
            </w:r>
          </w:p>
        </w:tc>
        <w:tc>
          <w:tcPr>
            <w:tcW w:type="dxa" w:w="2268"/>
            <w:shd w:val="clear" w:color="auto" w:fill="E3E8E5"/>
          </w:tcPr>
          <w:p>
            <w:r/>
            <w:r>
              <w:rPr>
                <w:b/>
                <w:sz w:val="17"/>
              </w:rPr>
              <w:t>Brutto m²</w:t>
            </w:r>
          </w:p>
        </w:tc>
        <w:tc>
          <w:tcPr>
            <w:tcW w:type="dxa" w:w="2268"/>
            <w:shd w:val="clear" w:color="auto" w:fill="E3E8E5"/>
          </w:tcPr>
          <w:p>
            <w:r/>
            <w:r>
              <w:rPr>
                <w:b/>
                <w:sz w:val="17"/>
              </w:rPr>
              <w:t>Netto / Miet m²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Gastronomie (Mietfläche)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440,0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440,0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Büros 1 und 2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64,0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56,3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Wohnungen 1. OG (9)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660,0 (Geschoss)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468,0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Wohnungen Staffelgeschoss (7)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539,1 (Geschoss)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377,9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Bruttogrundfläche gesamt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1.775,1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Wohnfläche gesamt (16 Wohnungen)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7"/>
              </w:rPr>
              <w:t>845,9</w:t>
            </w:r>
          </w:p>
        </w:tc>
      </w:tr>
    </w:tbl>
    <w:p/>
    <w:p>
      <w:r>
        <w:rPr>
          <w:b w:val="0"/>
          <w:i/>
          <w:sz w:val="17"/>
        </w:rPr>
        <w:t>Netto = Brutto × 0,88 (Annahme). Balkone und Dachterrassen sind nicht in der Wohnfläche angesetzt. Alle Geschossflächen mit Auskragung sind hypothetisch (Baufenster, GRZ und Abstände offen).</w:t>
      </w:r>
    </w:p>
    <w:p>
      <w:pPr>
        <w:pStyle w:val="Heading1"/>
      </w:pPr>
      <w:r>
        <w:t>3. Einnahmen (getrennt nach Bereichen)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082"/>
        <w:gridCol w:w="1531"/>
        <w:gridCol w:w="1531"/>
      </w:tblGrid>
      <w:tr>
        <w:tc>
          <w:tcPr>
            <w:tcW w:type="dxa" w:w="2551"/>
            <w:shd w:val="clear" w:color="auto" w:fill="E3E8E5"/>
          </w:tcPr>
          <w:p>
            <w:r/>
            <w:r>
              <w:rPr>
                <w:b/>
                <w:sz w:val="17"/>
              </w:rPr>
              <w:t>Bereich</w:t>
            </w:r>
          </w:p>
        </w:tc>
        <w:tc>
          <w:tcPr>
            <w:tcW w:type="dxa" w:w="4082"/>
            <w:shd w:val="clear" w:color="auto" w:fill="E3E8E5"/>
          </w:tcPr>
          <w:p>
            <w:r/>
            <w:r>
              <w:rPr>
                <w:b/>
                <w:sz w:val="17"/>
              </w:rPr>
              <w:t>Annahme (vorsichtig / realistisch / günstig)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7"/>
              </w:rPr>
              <w:t>Jahresmiete realistisch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7"/>
              </w:rPr>
              <w:t>nach Leerstand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A. Gastronomie, Vermietung an einen Betreiber</w:t>
            </w:r>
          </w:p>
        </w:tc>
        <w:tc>
          <w:tcPr>
            <w:tcW w:type="dxa" w:w="4082"/>
          </w:tcPr>
          <w:p>
            <w:pPr>
              <w:jc w:val="right"/>
            </w:pPr>
            <w:r/>
            <w:r>
              <w:rPr>
                <w:sz w:val="17"/>
              </w:rPr>
              <w:t>440 m² × 8 / 10 / 12 €/m² Monat, Ausfall 8 / 5 / 3 %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52.800 €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50.160 €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B. 16 Wohnungen</w:t>
            </w:r>
          </w:p>
        </w:tc>
        <w:tc>
          <w:tcPr>
            <w:tcW w:type="dxa" w:w="4082"/>
          </w:tcPr>
          <w:p>
            <w:pPr>
              <w:jc w:val="right"/>
            </w:pPr>
            <w:r/>
            <w:r>
              <w:rPr>
                <w:sz w:val="17"/>
              </w:rPr>
              <w:t>846 m² × 9,5 / 10,5 / 11,5 €/m² Monat, Leerstand 4,0 / 2,5 / 1,5 %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106.587 €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103.923 €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C. Büros (2)</w:t>
            </w:r>
          </w:p>
        </w:tc>
        <w:tc>
          <w:tcPr>
            <w:tcW w:type="dxa" w:w="4082"/>
          </w:tcPr>
          <w:p>
            <w:pPr>
              <w:jc w:val="right"/>
            </w:pPr>
            <w:r/>
            <w:r>
              <w:rPr>
                <w:sz w:val="17"/>
              </w:rPr>
              <w:t>56,3 m² netto × 8,5 / 9,5 / 10,5 €/m² Monat, Leerstand 20 / 12 / 8 %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6.420 €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5.650 €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7"/>
              </w:rPr>
              <w:t>Gesamt Sollmiete / nach Leerstand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7"/>
              </w:rPr>
              <w:t>165.808 €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7"/>
              </w:rPr>
              <w:t>159.733 €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laufende nicht umlagefähige Kosten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Instandhaltung, Verwaltung, sonstige (Wohnen 10 €/m², 300 €/Wohnung, 4 €/m²; Gewerbe 6 + 3 €/m², 3 % Miete)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7"/>
              </w:rPr>
              <w:t>-22.887 €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7"/>
              </w:rPr>
              <w:t>Netto-Mietertrag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7"/>
              </w:rPr>
              <w:t>monatlich 11.404 €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7"/>
              </w:rPr>
              <w:t>136.846 €</w:t>
            </w:r>
          </w:p>
        </w:tc>
      </w:tr>
    </w:tbl>
    <w:p/>
    <w:p>
      <w:pPr>
        <w:pStyle w:val="ListBullet"/>
      </w:pPr>
      <w:r>
        <w:t>Wohnungen: Angebote in Werlte und Umgebung 2026 liegen bei 9,5–12,5 €/m² (Neubau), der Durchschnitt in Werlte bei 7,8–8,4 €/m² (ImmoScout24, miet-check, miete-aktuell). Die Stichprobe ist klein, es sind Angebotsmieten. Die vorsichtigen, realistischen und günstigen Annahmen 9,5 / 10,5 / 11,5 €/m² liegen im oberen Bereich dieser Spanne, weil Neubau.</w:t>
      </w:r>
    </w:p>
    <w:p>
      <w:pPr>
        <w:pStyle w:val="ListBullet"/>
      </w:pPr>
      <w:r>
        <w:t>Büros: Angebote Werlte 9,6–12 €/m² (kleine Einheiten), Meppen 9–9,5, Sögel 6,3–7,8 €/m². Vermietbar sind nur die beiden Büros (56,3 m²); Foyer und WC (15,6 m²) sind keine Mietfläche. Vermietbarkeit kleiner Büros in Werlte ist nicht belegt.</w:t>
      </w:r>
    </w:p>
    <w:p>
      <w:pPr>
        <w:pStyle w:val="ListBullet"/>
      </w:pPr>
      <w:r>
        <w:t>Gastronomie: Keine regionale Flächenmiete gefunden; die Annahme 8/10/12 €/m² wird über die Pachtquote geprüft (Richtwert 8–12 % des Nettoumsatzes, Ratgeber): bei 164 Plätzen und 5.500 € Umsatz je Platz entspräche die realistische Miete etwa 7 % des Umsatzes. Der Umsatz je Platz ist nicht belegt. Es wird keine Eigenbewirtschaftung unterstellt.</w:t>
      </w:r>
    </w:p>
    <w:p>
      <w:pPr>
        <w:pStyle w:val="Heading1"/>
      </w:pPr>
      <w:r>
        <w:t>4. Gesamtinvestition (Kostenschätzung nach DIN 276)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c>
          <w:tcPr>
            <w:tcW w:type="dxa" w:w="4535"/>
            <w:shd w:val="clear" w:color="auto" w:fill="E3E8E5"/>
          </w:tcPr>
          <w:p>
            <w:r/>
            <w:r>
              <w:rPr>
                <w:b/>
                <w:sz w:val="17"/>
              </w:rPr>
              <w:t>Kostengruppe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7"/>
              </w:rPr>
              <w:t>vorsichtig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7"/>
              </w:rPr>
              <w:t>realistisch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7"/>
              </w:rPr>
              <w:t>günstig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KG 100 Grundstück (960 m² × 230 €)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220.800 €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220.800 €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220.800 €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Erwerbsnebenkosten (5 % + 2 %)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15.456 €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15.456 €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15.456 €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KG 200 Herrichten, Erschließen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60.000 €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40.000 €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25.000 €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KG 300+400 Bauwerk inkl. EH-40-Aufschlag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5.538.187 €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4.570.780 €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3.983.235 €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Gewerbe-Ausbau durch Vermieter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151.200 €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126.000 €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100.800 €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KG 500 Außenanlagen, Stellplätze, Terrasse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126.800 €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101.440 €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79.920 €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KG 700 Baunebenkosten (Planung, Fachplaner, Genehmigung, Sonstiges)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1.308.642 €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954.846 €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728.692 €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Reserve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470.095 €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290.293 €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167.558 €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7"/>
              </w:rPr>
              <w:t>Zwischensumme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7.891.180 €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6.319.614 €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5.321.461 €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Finanzierungskosten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520.695 €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322.124 €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202.738 €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7"/>
              </w:rPr>
              <w:t>GESAMTKOSTEN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8.411.875 €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6.641.739 €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5.524.199 €</w:t>
            </w:r>
          </w:p>
        </w:tc>
      </w:tr>
    </w:tbl>
    <w:p/>
    <w:p>
      <w:r>
        <w:rPr>
          <w:b w:val="0"/>
          <w:i w:val="0"/>
          <w:sz w:val="17"/>
        </w:rPr>
        <w:t>Bauwerk: 3.000 / 2.500 / 2.200 €/m² Bruttogrundfläche (1.775 m²); Baunebenkosten 22,5 / 20 / 17,5 % von KG 300–500; Reserve 8 / 6 / 4 %. Alle Preise brutto inklusive 19 % Mehrwertsteuer, ein Vorsteuerabzug ist nicht angesetzt (Wohnungsvermietung ist umsatzsteuerfrei; Option beim Gewerbeteil steuerlich zu prüfen). Die Baukosten sind Orientierungswerte aus Ratgeberseiten (2.500–3.500 €/m² Wohnfläche), nicht aus BKI; Bodengutachten, Lageplan und Planungsstand fehlen. Der günstige Fall entspricht der bisherigen Projektannahme von 2.200 €/m². Die Außenanlagen beruhen auf der unbestätigten Annahme 32 × 30 m Grundstück.</w:t>
      </w:r>
    </w:p>
    <w:p>
      <w:pPr>
        <w:pStyle w:val="Heading1"/>
      </w:pPr>
      <w:r>
        <w:t>5. Finanzierung bei unterschiedlichen Eigenkapitalquoten (ohne Förderung)</w:t>
      </w:r>
    </w:p>
    <w:p>
      <w:pPr>
        <w:pStyle w:val="Heading3"/>
      </w:pPr>
      <w:r>
        <w:t>Realistisches Szenario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531"/>
        <w:gridCol w:w="1531"/>
        <w:gridCol w:w="1531"/>
        <w:gridCol w:w="1531"/>
      </w:tblGrid>
      <w:tr>
        <w:tc>
          <w:tcPr>
            <w:tcW w:type="dxa" w:w="3402"/>
            <w:shd w:val="clear" w:color="auto" w:fill="E3E8E5"/>
          </w:tcPr>
          <w:p>
            <w:r/>
            <w:r>
              <w:rPr>
                <w:b/>
                <w:sz w:val="16"/>
              </w:rPr>
              <w:t>Eigenkapitalquote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10 %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20 %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30 %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Eigenkapital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668.433 €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1.328.348 €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1.979.907 €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Fremdkapital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6.727.467 €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6.015.895 €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5.313.391 €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4.619.782 €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Zinsen monatlich (Jahr 1)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25.228 €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22.560 €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19.925 €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17.324 €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Kreditrate monatlich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36.440 €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32.586 €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28.781 €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25.024 €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437.285 €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391.033 €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300.286 €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Netto-Mietertrag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Cashflow nach 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-300.439 €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-254.187 €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-208.524 €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-163.440 €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6"/>
              </w:rPr>
              <w:t>Kapitaldienstdeckungsgrad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0,31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0,35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0,40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0,46</w:t>
            </w:r>
          </w:p>
        </w:tc>
      </w:tr>
    </w:tbl>
    <w:p/>
    <w:p>
      <w:pPr>
        <w:pStyle w:val="Heading3"/>
      </w:pPr>
      <w:r>
        <w:t>Vorsichtiges Szenario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531"/>
        <w:gridCol w:w="1531"/>
        <w:gridCol w:w="1531"/>
        <w:gridCol w:w="1531"/>
      </w:tblGrid>
      <w:tr>
        <w:tc>
          <w:tcPr>
            <w:tcW w:type="dxa" w:w="3402"/>
            <w:shd w:val="clear" w:color="auto" w:fill="E3E8E5"/>
          </w:tcPr>
          <w:p>
            <w:r/>
            <w:r>
              <w:rPr>
                <w:b/>
                <w:sz w:val="16"/>
              </w:rPr>
              <w:t>Eigenkapitalquote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10 %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20 %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30 %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Eigenkapital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848.183 €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1.682.375 €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2.502.918 €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Fremdkapital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8.552.966 €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7.633.651 €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6.729.500 €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5.840.143 €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Zinsen monatlich (Jahr 1)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34.925 €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31.171 €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27.479 €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23.847 €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Kreditrate monatlich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49.180 €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43.893 €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38.695 €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33.581 €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590.155 €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526.722 €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464.336 €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402.970 €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Netto-Mietertrag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107.333 €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107.333 €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107.333 €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107.333 €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Cashflow nach 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-482.822 €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-419.389 €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-357.002 €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-295.637 €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6"/>
              </w:rPr>
              <w:t>Kapitaldienstdeckungsgrad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0,18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0,20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0,23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0,27</w:t>
            </w:r>
          </w:p>
        </w:tc>
      </w:tr>
    </w:tbl>
    <w:p/>
    <w:p>
      <w:pPr>
        <w:pStyle w:val="Heading3"/>
      </w:pPr>
      <w:r>
        <w:t>Günstiges Szenario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531"/>
        <w:gridCol w:w="1531"/>
        <w:gridCol w:w="1531"/>
        <w:gridCol w:w="1531"/>
      </w:tblGrid>
      <w:tr>
        <w:tc>
          <w:tcPr>
            <w:tcW w:type="dxa" w:w="3402"/>
            <w:shd w:val="clear" w:color="auto" w:fill="E3E8E5"/>
          </w:tcPr>
          <w:p>
            <w:r/>
            <w:r>
              <w:rPr>
                <w:b/>
                <w:sz w:val="16"/>
              </w:rPr>
              <w:t>Eigenkapitalquote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10 %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20 %</w:t>
            </w:r>
          </w:p>
        </w:tc>
        <w:tc>
          <w:tcPr>
            <w:tcW w:type="dxa" w:w="1531"/>
            <w:shd w:val="clear" w:color="auto" w:fill="E3E8E5"/>
          </w:tcPr>
          <w:p>
            <w:r/>
            <w:r>
              <w:rPr>
                <w:b/>
                <w:sz w:val="16"/>
              </w:rPr>
              <w:t>30 %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Eigenkapital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555.063 €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1.104.840 €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1.649.405 €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Fremdkapital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5.577.320 €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4.995.569 €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4.419.359 €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3.848.611 €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Zinsen monatlich (Jahr 1)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19.056 €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17.068 €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15.099 €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13.149 €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Kreditrate monatlich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28.351 €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25.394 €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22.465 €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19.564 €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340.217 €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304.730 €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269.581 €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234.765 €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Netto-Mietertrag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163.588 €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163.588 €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163.588 €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163.588 €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Cashflow nach Kapitaldienst jährlich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-176.628 €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-141.141 €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-105.993 €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sz w:val="16"/>
              </w:rPr>
              <w:t>-71.177 €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6"/>
              </w:rPr>
              <w:t>Kapitaldienstdeckungsgrad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0,48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0,54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0,61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6"/>
              </w:rPr>
              <w:t>0,70</w:t>
            </w:r>
          </w:p>
        </w:tc>
      </w:tr>
    </w:tbl>
    <w:p/>
    <w:p>
      <w:r>
        <w:rPr>
          <w:b w:val="0"/>
          <w:i w:val="0"/>
          <w:sz w:val="17"/>
        </w:rPr>
        <w:t>Zinssatz Hausbank: 4,9 / 4,5 / 4,1 % (10 Jahre fest; Bauzinsen 10/2026 ca. 4,0–4,5 %, Dr. Klein 22.10.2026: 4,13 % effektiv; Aufschlag gewerblich), anfängliche Tilgung 2 % (bei 1 % Tilgung sinkt der Kapitaldienst im realistischen Fall auf 292.237 €, der Deckungsgrad steigt auf 0,47). Finanzierungskosten: Bauzeitzinsen (15 Monate, 50 % mittlere Inanspruchnahme), Anlaufzinsen (9 / 6 / 3 Monate), Bearbeitung 1 %.</w:t>
      </w:r>
    </w:p>
    <w:p>
      <w:pPr>
        <w:pStyle w:val="Heading1"/>
      </w:pPr>
      <w:r>
        <w:t>6. Break-even und Sensitivität (realistisch, 20 % Eigenkapital)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1701"/>
        <w:gridCol w:w="1701"/>
        <w:gridCol w:w="1701"/>
        <w:gridCol w:w="907"/>
      </w:tblGrid>
      <w:tr>
        <w:tc>
          <w:tcPr>
            <w:tcW w:type="dxa" w:w="2381"/>
            <w:shd w:val="clear" w:color="auto" w:fill="E3E8E5"/>
          </w:tcPr>
          <w:p>
            <w:r/>
            <w:r>
              <w:rPr>
                <w:b/>
                <w:sz w:val="16"/>
              </w:rPr>
              <w:t>Fall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6"/>
              </w:rPr>
              <w:t>Gesamtkosten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6"/>
              </w:rPr>
              <w:t>Kapitaldienst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6"/>
              </w:rPr>
              <w:t>Netto-Mietertrag</w:t>
            </w:r>
          </w:p>
        </w:tc>
        <w:tc>
          <w:tcPr>
            <w:tcW w:type="dxa" w:w="1701"/>
            <w:shd w:val="clear" w:color="auto" w:fill="E3E8E5"/>
          </w:tcPr>
          <w:p>
            <w:r/>
            <w:r>
              <w:rPr>
                <w:b/>
                <w:sz w:val="16"/>
              </w:rPr>
              <w:t>Cashflow</w:t>
            </w:r>
          </w:p>
        </w:tc>
        <w:tc>
          <w:tcPr>
            <w:tcW w:type="dxa" w:w="907"/>
            <w:shd w:val="clear" w:color="auto" w:fill="E3E8E5"/>
          </w:tcPr>
          <w:p>
            <w:r/>
            <w:r>
              <w:rPr>
                <w:b/>
                <w:sz w:val="16"/>
              </w:rPr>
              <w:t>DSCR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Basis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6.641.739 €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-208.524 €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0,40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Baukosten +10 %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7.246.532 €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376.820 €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-239.974 €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Baukosten +20 %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7.851.326 €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408.269 €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-271.423 €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Zins +1 pp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6.705.161 €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402.310 €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-265.464 €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Zins +2 pp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6.769.806 €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460.347 €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-323.501 €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Leerstand +5 pp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6.641.739 €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128.556 €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-216.815 €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Leerstand +10 pp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6.641.739 €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120.265 €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-225.105 €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Miete −10 %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6.641.739 €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121.050 €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-224.320 €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0,35</w:t>
            </w:r>
          </w:p>
        </w:tc>
      </w:tr>
    </w:tbl>
    <w:p/>
    <w:p>
      <w:pPr>
        <w:pStyle w:val="ListBullet"/>
      </w:pPr>
      <w:r>
        <w:t>Break-even-Wohnmiete für Deckungsgrad 1,0: 31,6 €/m² (vorsichtig 46,1, günstig 22,1); für 1,2: 38,5 €/m².</w:t>
      </w:r>
    </w:p>
    <w:p>
      <w:pPr>
        <w:pStyle w:val="ListBullet"/>
      </w:pPr>
      <w:r>
        <w:t>Break-even-Faktor aller Mieten für 1,0: 2,32 (günstig 1,58).</w:t>
      </w:r>
    </w:p>
    <w:p>
      <w:pPr>
        <w:pStyle w:val="ListBullet"/>
      </w:pPr>
      <w:r>
        <w:t>Der Deckungsgrad liegt in allen Sensitivitätsfällen unter 1,0; die Aussage hängt nicht an einer einzelnen Annahme.</w:t>
      </w:r>
    </w:p>
    <w:p>
      <w:pPr>
        <w:pStyle w:val="Heading1"/>
      </w:pPr>
      <w:r>
        <w:t>7. Fördermöglichkeiten (Abruf 22.10.2026)</w:t>
      </w:r>
    </w:p>
    <w:p>
      <w:r>
        <w:rPr>
          <w:b w:val="0"/>
          <w:i/>
          <w:sz w:val="17"/>
        </w:rPr>
        <w:t>Offizielle Seiten von KfW und NBank waren aus der Arbeitsumgebung nicht direkt abrufbar; die Angaben stammen aus Suchtreffern (KfW-Merkblattlinks, Beratungs- und Ratgeberseiten, NBank-Pressemeldung) und sind vor einer Antragstellung gegen die Originalmerkblätter und die Konditionsübersicht zu prüfen. Förderzinsen sind zeitabhängig und widersprüchlich angegeben; sie sind noch zu bestätigen.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2721"/>
        <w:gridCol w:w="907"/>
      </w:tblGrid>
      <w:tr>
        <w:tc>
          <w:tcPr>
            <w:tcW w:type="dxa" w:w="1984"/>
            <w:shd w:val="clear" w:color="auto" w:fill="E3E8E5"/>
          </w:tcPr>
          <w:p>
            <w:r/>
            <w:r>
              <w:rPr>
                <w:b/>
                <w:sz w:val="16"/>
              </w:rPr>
              <w:t>Programm</w:t>
            </w:r>
          </w:p>
        </w:tc>
        <w:tc>
          <w:tcPr>
            <w:tcW w:type="dxa" w:w="3685"/>
            <w:shd w:val="clear" w:color="auto" w:fill="E3E8E5"/>
          </w:tcPr>
          <w:p>
            <w:r/>
            <w:r>
              <w:rPr>
                <w:b/>
                <w:sz w:val="16"/>
              </w:rPr>
              <w:t>theoretisch möglich (Höhe)</w:t>
            </w:r>
          </w:p>
        </w:tc>
        <w:tc>
          <w:tcPr>
            <w:tcW w:type="dxa" w:w="2721"/>
            <w:shd w:val="clear" w:color="auto" w:fill="E3E8E5"/>
          </w:tcPr>
          <w:p>
            <w:r/>
            <w:r>
              <w:rPr>
                <w:b/>
                <w:sz w:val="16"/>
              </w:rPr>
              <w:t>fachlich plausibel</w:t>
            </w:r>
          </w:p>
        </w:tc>
        <w:tc>
          <w:tcPr>
            <w:tcW w:type="dxa" w:w="907"/>
            <w:shd w:val="clear" w:color="auto" w:fill="E3E8E5"/>
          </w:tcPr>
          <w:p>
            <w:r/>
            <w:r>
              <w:rPr>
                <w:b/>
                <w:sz w:val="16"/>
              </w:rPr>
              <w:t>bestätigt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KfW 297/298 Wohngebäude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bis 100.000 € je WE, mit QNG-PLUS/-PREMIUM 150.000 € (16 WE: bis 2,4 Mio €); Zinsverbilligung, kein Zuschuss; Laufzeit bis 35 J., Zinsbindung bis 10 J.; im Modell 2.400.000 €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plausibel bei Effizienzhaus 40 mit QNG; Mischnutzung (Wohnanteil ca. 72 % der BGF) prüfen; EH-55-Stufe nur bis 31.12.2026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nein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KfW 296 Niedrigpreissegment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bis 100.000 € je WE (16 WE: 1,6 Mio €); EH 55, Wohnflächenoptimierung, Kostengrenzen; nicht mit 297/298/299 je Einheit kombinierbar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unwahrscheinlich (Programmkriterien, Gewerbeanteil, Dachterrassen)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nein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KfW 299 Nichtwohngebäude (Gewerbeteil)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laut Drittseiten 1.000–2.000 €/m², Bezugsfläche ungeklärt; im Modell 756.000 € (1.500 €/m² × 504 m²); Merkblatt 07/2026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unklar (Abgrenzung zum Wohnteil, Mischnutzung)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nein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NBank Mietwohnraumförderung (seit 01.07.2026)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Zuschuss bis 40 % der förderfähigen Kosten (Obergrenze, im Modell 1.803.523 €), Mietbindung 35 Jahre, gebundene Miete 6,30–7,80 €/m² (Stand 04/2026)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nicht plausibel mit Marktmieten; Mietstufe Werlte unbekannt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nein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Kommunale Programme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nicht ermittelt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nicht beurteilbar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nein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268"/>
        <w:gridCol w:w="1984"/>
      </w:tblGrid>
      <w:tr>
        <w:tc>
          <w:tcPr>
            <w:tcW w:type="dxa" w:w="2835"/>
            <w:shd w:val="clear" w:color="auto" w:fill="E3E8E5"/>
          </w:tcPr>
          <w:p>
            <w:r/>
            <w:r>
              <w:rPr>
                <w:b/>
                <w:sz w:val="16"/>
              </w:rPr>
              <w:t>Einfluss (realistisch, 20 % EK)</w:t>
            </w:r>
          </w:p>
        </w:tc>
        <w:tc>
          <w:tcPr>
            <w:tcW w:type="dxa" w:w="1984"/>
            <w:shd w:val="clear" w:color="auto" w:fill="E3E8E5"/>
          </w:tcPr>
          <w:p>
            <w:r/>
            <w:r>
              <w:rPr>
                <w:b/>
                <w:sz w:val="16"/>
              </w:rPr>
              <w:t>ohne Förderung</w:t>
            </w:r>
          </w:p>
        </w:tc>
        <w:tc>
          <w:tcPr>
            <w:tcW w:type="dxa" w:w="2268"/>
            <w:shd w:val="clear" w:color="auto" w:fill="E3E8E5"/>
          </w:tcPr>
          <w:p>
            <w:r/>
            <w:r>
              <w:rPr>
                <w:b/>
                <w:sz w:val="16"/>
              </w:rPr>
              <w:t>KfW 297 + 299 theoretisch</w:t>
            </w:r>
          </w:p>
        </w:tc>
        <w:tc>
          <w:tcPr>
            <w:tcW w:type="dxa" w:w="1984"/>
            <w:shd w:val="clear" w:color="auto" w:fill="E3E8E5"/>
          </w:tcPr>
          <w:p>
            <w:r/>
            <w:r>
              <w:rPr>
                <w:b/>
                <w:sz w:val="16"/>
              </w:rPr>
              <w:t>NBank theoretisch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Fremdkapital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5.313.391 €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6"/>
              </w:rPr>
              <w:t>5.313.391 €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3.509.868 €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Kapitaldienst jährlich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345.370 €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6"/>
              </w:rPr>
              <w:t>301.054 €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228.141 €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Netto-Mietertrag jährlich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6"/>
              </w:rPr>
              <w:t>136.846 €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110.123 €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6"/>
              </w:rPr>
              <w:t>Deckungsgrad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/>
                <w:sz w:val="16"/>
              </w:rPr>
              <w:t>0,40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6"/>
              </w:rPr>
              <w:t>0,45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/>
                <w:sz w:val="16"/>
              </w:rPr>
              <w:t>0,48</w:t>
            </w:r>
          </w:p>
        </w:tc>
      </w:tr>
    </w:tbl>
    <w:p/>
    <w:p>
      <w:r>
        <w:rPr>
          <w:b w:val="0"/>
          <w:i w:val="0"/>
          <w:sz w:val="17"/>
        </w:rPr>
        <w:t>KfW-Zinssätze im Modell: 297/298 3,0 % und 299 3,4 % (realistisch, noch zu bestätigen; Quellenspanne 0,6–3,05 %). Auch mit den theoretischen Höchstbeträgen bleibt der Deckungsgrad unter 1,0. Förderung ist hier keine zugesagte Größe und wird nicht zur Begründung der Tragfähigkeit verwendet.</w:t>
      </w:r>
    </w:p>
    <w:p>
      <w:pPr>
        <w:pStyle w:val="Heading1"/>
      </w:pPr>
      <w:r>
        <w:t>8. Risikoanalyse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3628"/>
      </w:tblGrid>
      <w:tr>
        <w:tc>
          <w:tcPr>
            <w:tcW w:type="dxa" w:w="2551"/>
            <w:shd w:val="clear" w:color="auto" w:fill="E3E8E5"/>
          </w:tcPr>
          <w:p>
            <w:r/>
            <w:r>
              <w:rPr>
                <w:b/>
                <w:sz w:val="16"/>
              </w:rPr>
              <w:t>Risiko</w:t>
            </w:r>
          </w:p>
        </w:tc>
        <w:tc>
          <w:tcPr>
            <w:tcW w:type="dxa" w:w="3118"/>
            <w:shd w:val="clear" w:color="auto" w:fill="E3E8E5"/>
          </w:tcPr>
          <w:p>
            <w:r/>
            <w:r>
              <w:rPr>
                <w:b/>
                <w:sz w:val="16"/>
              </w:rPr>
              <w:t>Wirkung</w:t>
            </w:r>
          </w:p>
        </w:tc>
        <w:tc>
          <w:tcPr>
            <w:tcW w:type="dxa" w:w="3628"/>
            <w:shd w:val="clear" w:color="auto" w:fill="E3E8E5"/>
          </w:tcPr>
          <w:p>
            <w:r/>
            <w:r>
              <w:rPr>
                <w:b/>
                <w:sz w:val="16"/>
              </w:rPr>
              <w:t>Einschätzung / Gegenmaßnahme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Baukosten höher als angenommen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sz w:val="16"/>
              </w:rPr>
              <w:t>+10 % Baukosten: DSCR 0,36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hoch; Kostenplanung nach BKI, Ausschreibung, Festpreis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Zinsen steigen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sz w:val="16"/>
              </w:rPr>
              <w:t>+2 pp: DSCR 0,30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mittel; Zinsbindung, Sondertilgung, Förderzins sichern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Mieten niedriger / Leerstand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−10 % Miete: 0,35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hoch; Marktprüfung, Vorvermietung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Gastronomie: Betreiber und Pacht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Pacht und Betreiberwechsel nicht belegt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hoch; Letter of Intent, Mindestpacht, Sicherheiten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Büros: Vermietbarkeit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nur 56 m², kleine Einheiten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mittel; Mietinteressenten vorab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Baurecht (GRZ, Baufenster, Auskragung, Höhen)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alle Varianten über der theoretischen GRZ-Fläche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hoch; Bauvoranfrage bei der Stadt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Stellplätze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Bedarf ca. 54 (Annahme), nachweislich 0, hypothetisch 11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hoch; Satzung, Nachweis, Ablöse klären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Förderung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keine Zusage, Konditionen zeitabhängig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nicht einplanen; Antrag vor Baubeginn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Lage und Schall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Wohnungen über Gastro-Terrasse und Bar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mittel; Schallgutachten, Betriebszeiten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Tragwerk, Brandschutz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Auskragung, Dachterrassen, Gastro unter Wohnungen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mittel; Fachplaner früh einbinden</w:t>
            </w:r>
          </w:p>
        </w:tc>
      </w:tr>
    </w:tbl>
    <w:p/>
    <w:p>
      <w:pPr>
        <w:pStyle w:val="Heading1"/>
      </w:pPr>
      <w:r>
        <w:t>9. Getrennte Bewertung</w:t>
      </w:r>
    </w:p>
    <w:p>
      <w:pPr>
        <w:pStyle w:val="ListBullet"/>
      </w:pPr>
      <w:r>
        <w:t>Architektur: Das Gesamtkonzept ist als Arbeitsgrundlage geometrisch konsistent (Pläne, Schnitte, Ansichten, Flächenübersicht); keine Freigabe, keine Detailplanung.</w:t>
      </w:r>
    </w:p>
    <w:p>
      <w:pPr>
        <w:pStyle w:val="ListBullet"/>
      </w:pPr>
      <w:r>
        <w:t>Wirtschaftlichkeit: Nach den hier begründeten Annahmen nicht tragfähig, auch nicht mit theoretischer Förderung.</w:t>
      </w:r>
    </w:p>
    <w:p>
      <w:pPr>
        <w:pStyle w:val="ListBullet"/>
      </w:pPr>
      <w:r>
        <w:t>Baurechtliche Machbarkeit: nicht nachgewiesen (Baufenster, GRZ, Auskragung, Höhen, Stellplätze, Brandschutz sind offene Prüfpunkte); keine Zulässigkeit behauptet.</w:t>
      </w:r>
    </w:p>
    <w:p>
      <w:pPr>
        <w:pStyle w:val="Heading1"/>
      </w:pPr>
      <w:r>
        <w:t>10. Offene Entscheidungen</w:t>
      </w:r>
    </w:p>
    <w:p>
      <w:pPr>
        <w:pStyle w:val="ListBullet"/>
      </w:pPr>
      <w:r>
        <w:t>Grundrichtung: Soll die Planung an die Wirtschaftlichkeit angepasst werden (z. B. weniger Aufwand bei Staffel, Auskragung, Außenanlagen), oder soll mit deutlich höherem Eigenkapital oder anderen Mitteln geplant werden?</w:t>
      </w:r>
    </w:p>
    <w:p>
      <w:pPr>
        <w:pStyle w:val="ListBullet"/>
      </w:pPr>
      <w:r>
        <w:t>Kostenprüfung der Baukosten durch Kostenplaner/Architekt (BKI) und Vergleich mit realen Angeboten.</w:t>
      </w:r>
    </w:p>
    <w:p>
      <w:pPr>
        <w:pStyle w:val="ListBullet"/>
      </w:pPr>
      <w:r>
        <w:t>Bauvoranfrage zu Baufenster, GRZ, Auskragung, Staffel als Vollgeschoss, Stellplätzen.</w:t>
      </w:r>
    </w:p>
    <w:p>
      <w:pPr>
        <w:pStyle w:val="ListBullet"/>
      </w:pPr>
      <w:r>
        <w:t>Gastronomie: Betreiber und Pacht klären (Absichtserklärung).</w:t>
      </w:r>
    </w:p>
    <w:p>
      <w:pPr>
        <w:pStyle w:val="ListBullet"/>
      </w:pPr>
      <w:r>
        <w:t>Förderberatung bei Hausbank/KfW und Wohnraumförderstelle (Mietstufe, Konditionen), vor Baubeginn.</w:t>
      </w:r>
    </w:p>
    <w:p>
      <w:pPr>
        <w:pStyle w:val="ListBullet"/>
      </w:pPr>
      <w:r>
        <w:t>Büro-Alternative K, F oder M und Ort für Fahrrad-/Abstellraum.</w:t>
      </w:r>
    </w:p>
    <w:p>
      <w:pPr>
        <w:pStyle w:val="ListBullet"/>
      </w:pPr>
      <w:r>
        <w:t>Steuerliche Beratung (Umsatzsteuer-Option, Abschreibung, GbR).</w:t>
      </w:r>
    </w:p>
    <w:p>
      <w:pPr>
        <w:pStyle w:val="Heading1"/>
      </w:pPr>
      <w:r>
        <w:t>Anhang: Quellen (Abruf 22.10.2026)</w:t>
      </w:r>
    </w:p>
    <w:p>
      <w:pPr>
        <w:pStyle w:val="ListBullet"/>
      </w:pPr>
      <w:r>
        <w:rPr>
          <w:sz w:val="16"/>
        </w:rPr>
        <w:t>KfW 297/298: baukostenplan.de/ratgeber/kfw-297-298-klimafreundlicher-neubau-2026; baumentor.de; hausbaujournal.com (Zinsangaben widersprüchlich)</w:t>
      </w:r>
    </w:p>
    <w:p>
      <w:pPr>
        <w:pStyle w:val="ListBullet"/>
      </w:pPr>
      <w:r>
        <w:rPr>
          <w:sz w:val="16"/>
        </w:rPr>
        <w:t>KfW 296: kfw.de Merkblatt 6000005195_M_296; baukostenplan.de/ratgeber/kfw-296-klimafreundlicher-neubau-niedrigpreissegment</w:t>
      </w:r>
    </w:p>
    <w:p>
      <w:pPr>
        <w:pStyle w:val="ListBullet"/>
      </w:pPr>
      <w:r>
        <w:rPr>
          <w:sz w:val="16"/>
        </w:rPr>
        <w:t>KfW 299: kfw.de Merkblatt 6000005052_M_299 (Fassung 07/2026, nicht gelesen); fensterversand.com/foerderung/kfw/299.php</w:t>
      </w:r>
    </w:p>
    <w:p>
      <w:pPr>
        <w:pStyle w:val="ListBullet"/>
      </w:pPr>
      <w:r>
        <w:rPr>
          <w:sz w:val="16"/>
        </w:rPr>
        <w:t>NBank: nbank.de Pressemeldung ‚Niedersachsen stellt soziale Wohnraumförderung neu auf‘; Produktinformation Energetisch hochwertiger Mietwohnungsneubau (Stand 07/2026, nicht gelesen)</w:t>
      </w:r>
    </w:p>
    <w:p>
      <w:pPr>
        <w:pStyle w:val="ListBullet"/>
      </w:pPr>
      <w:r>
        <w:rPr>
          <w:sz w:val="16"/>
        </w:rPr>
        <w:t>Mieten: kleinanzeigen.de, immowelt.de, meinestadt.de (Werlte), ImmoScout24 Mietspiegel Landkreis Emsland Q2 2026, miet-check.de, miete-aktuell.de</w:t>
      </w:r>
    </w:p>
    <w:p>
      <w:pPr>
        <w:pStyle w:val="ListBullet"/>
      </w:pPr>
      <w:r>
        <w:rPr>
          <w:sz w:val="16"/>
        </w:rPr>
        <w:t>Büro: immowelt.de, immobilienscout24.de (Gewerbe) Werlte, Meppen, Sögel</w:t>
      </w:r>
    </w:p>
    <w:p>
      <w:pPr>
        <w:pStyle w:val="ListBullet"/>
      </w:pPr>
      <w:r>
        <w:rPr>
          <w:sz w:val="16"/>
        </w:rPr>
        <w:t>Pacht: gastro-master.de, kanzlei-herfurtner.de</w:t>
      </w:r>
    </w:p>
    <w:p>
      <w:pPr>
        <w:pStyle w:val="ListBullet"/>
      </w:pPr>
      <w:r>
        <w:rPr>
          <w:sz w:val="16"/>
        </w:rPr>
        <w:t>Zinsen: baufi24.de Zinskommentar 10/2026, sparkasse.de, interhyp.de, drklein.de</w:t>
      </w:r>
    </w:p>
    <w:p>
      <w:pPr>
        <w:pStyle w:val="ListBullet"/>
      </w:pPr>
      <w:r>
        <w:rPr>
          <w:sz w:val="16"/>
        </w:rPr>
        <w:t>Baukosten: baukostenplan.de (Mehrfamilienhaus, Niedersachsen)</w:t>
      </w:r>
    </w:p>
    <w:p>
      <w:pPr>
        <w:pStyle w:val="ListBullet"/>
      </w:pPr>
      <w:r>
        <w:rPr>
          <w:sz w:val="16"/>
        </w:rPr>
        <w:t>Rechenmodell: Wirtschaftlichkeit_Gesamtkonzept_B3.xlsx (Formeln, Gegenprobe gegen unabhängige Python-Rechnung mit Abweichung unter 1e-9)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