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b63"/>
          <w:sz w:val="48"/>
          <w:szCs w:val="48"/>
        </w:rPr>
        <w:t xml:space="preserve">Angioedema Evidence Atlas</w:t>
      </w:r>
    </w:p>
    <w:p>
      <w:pPr>
        <w:spacing w:after="40"/>
      </w:pPr>
      <w:r>
        <w:rPr>
          <w:color w:val="52514e"/>
          <w:sz w:val="26"/>
          <w:szCs w:val="26"/>
        </w:rPr>
        <w:t xml:space="preserve">What the primary evidence says about angioedema mechanism and nosology</w:t>
      </w:r>
    </w:p>
    <w:p>
      <w:pPr>
        <w:spacing w:after="200"/>
      </w:pPr>
      <w:r>
        <w:rPr>
          <w:i/>
          <w:iCs/>
          <w:color w:val="52514e"/>
          <w:sz w:val="19"/>
          <w:szCs w:val="19"/>
        </w:rPr>
        <w:t xml:space="preserve">Analysis report, 2 October 2026  |  Caryn Upton, UCT Lung Institute</w:t>
      </w:r>
    </w:p>
    <w:p>
      <w:pPr>
        <w:pBdr>
          <w:top w:val="single" w:color="1f3b63" w:sz="6"/>
        </w:pBdr>
        <w:spacing w:after="200"/>
      </w:pPr>
    </w:p>
    <w:p>
      <w:pPr>
        <w:pBdr>
          <w:top w:val="single" w:color="c9d2de" w:sz="4"/>
          <w:left w:val="single" w:color="c98500" w:sz="18"/>
          <w:bottom w:val="single" w:color="c9d2de" w:sz="4"/>
          <w:right w:val="single" w:color="c9d2de" w:sz="4"/>
        </w:pBdr>
        <w:shd w:fill="eef2f7" w:val="clear"/>
        <w:spacing w:after="240" w:before="0"/>
      </w:pPr>
      <w:r>
        <w:rPr>
          <w:b/>
          <w:bCs/>
          <w:sz w:val="21"/>
          <w:szCs w:val="21"/>
        </w:rPr>
        <w:t xml:space="preserve">How to read this. </w:t>
      </w:r>
      <w:r>
        <w:rPr>
          <w:sz w:val="21"/>
          <w:szCs w:val="21"/>
        </w:rPr>
        <w:t xml:space="preserve">This is a reading of 622 studies, about 5,300 extracted result rows and 433 patients with individual-level data. The 493 mined studies were extracted by AI and 94 per cent of their numeric values have been verified against their own source quotes; the remainder are isolated as unverifiable. Treat everything here as hypothesis-generating, not as a finished systematic review. Strong claims below rest either on the original traceable rows or on patterns too large to be artefacts of extraction error.</w:t>
      </w:r>
    </w:p>
    <w:p>
      <w:pPr>
        <w:pStyle w:val="Heading1"/>
        <w:spacing w:after="120" w:before="300"/>
      </w:pPr>
      <w:r>
        <w:rPr>
          <w:b/>
          <w:bCs/>
          <w:color w:val="1f3b63"/>
          <w:sz w:val="30"/>
          <w:szCs w:val="30"/>
        </w:rPr>
        <w:t xml:space="preserve">1.  At a glance</w:t>
      </w:r>
    </w:p>
    <w:p>
      <w:pPr>
        <w:spacing w:after="140" w:line="276"/>
        <w:jc w:val="both"/>
      </w:pPr>
      <w:r>
        <w:rPr>
          <w:sz w:val="21"/>
          <w:szCs w:val="21"/>
        </w:rPr>
        <w:t xml:space="preserve">The dataset does not support the tidy picture that current angioedema nosology presents. The DANCE scheme (Reshef et al, 2024) sorts recurrent angioedema into five mechanistic bins, and the implicit promise of that scheme is that each bin is defined by a mechanism you can, in principle, measure. When you line the primary evidence up against that promise, only one bin holds its weight. </w:t>
      </w:r>
      <w:r>
        <w:rPr>
          <w:sz w:val="21"/>
          <w:szCs w:val="21"/>
        </w:rPr>
        <w:t xml:space="preserve">For hereditary angioedema with C1-inhibitor deficiency the bradykinin story is secure: you have the pathway lesion, contact-system activation, the mediator, the response to C1-INH replacement and the response to icatibant during attacks. Everywhere else the mechanistic claim is carried far more by treatment response and analogy than by anyone having measured the mediator at the time of the swelling.</w:t>
      </w:r>
    </w:p>
    <w:p>
      <w:pPr>
        <w:spacing w:after="40" w:before="12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628900"/>
                    </a:xfrm>
                    <a:prstGeom prst="rect">
                      <a:avLst/>
                    </a:prstGeom>
                  </pic:spPr>
                </pic:pic>
              </a:graphicData>
            </a:graphic>
          </wp:inline>
        </w:drawing>
      </w:r>
    </w:p>
    <w:p>
      <w:pPr>
        <w:spacing w:after="200"/>
        <w:jc w:val="center"/>
      </w:pPr>
      <w:r>
        <w:rPr>
          <w:i/>
          <w:iCs/>
          <w:color w:val="52514e"/>
          <w:sz w:val="17"/>
          <w:szCs w:val="17"/>
        </w:rPr>
        <w:t xml:space="preserve">Figure 1. The evidence is heavily concentrated in bradykinin-mediated angioedema. Counts are distinct study groups, not studies.</w:t>
      </w:r>
    </w:p>
    <w:p>
      <w:pPr>
        <w:pStyle w:val="Heading2"/>
        <w:spacing w:after="80" w:before="220"/>
      </w:pPr>
      <w:r>
        <w:rPr>
          <w:b/>
          <w:bCs/>
          <w:color w:val="1f3b63"/>
          <w:sz w:val="24"/>
          <w:szCs w:val="24"/>
        </w:rPr>
        <w:t xml:space="preserve">The dataset in numbers</w:t>
      </w:r>
    </w:p>
    <w:tbl>
      <w:tblPr>
        <w:tblW w:type="dxa" w:w="7200"/>
        <w:tblBorders>
          <w:top w:val="single" w:color="c9d2de" w:sz="2"/>
          <w:left w:val="none"/>
          <w:bottom w:val="single" w:color="c9d2de" w:sz="2"/>
          <w:right w:val="none"/>
          <w:insideH w:val="single" w:color="c9d2de" w:sz="1"/>
          <w:insideV w:val="none"/>
        </w:tblBorders>
      </w:tblPr>
      <w:tblGrid>
        <w:gridCol w:w="5400"/>
        <w:gridCol w:w="1800"/>
      </w:tblGrid>
      <w:tr>
        <w:trPr>
          <w:tblHeader/>
        </w:trPr>
        <w:tc>
          <w:tcPr>
            <w:tcW w:type="dxa" w:w="5400"/>
            <w:shd w:fill="1f3b63" w:val="clear"/>
            <w:tcMar>
              <w:top w:type="dxa" w:w="40"/>
              <w:left w:type="dxa" w:w="90"/>
              <w:bottom w:type="dxa" w:w="40"/>
              <w:right w:type="dxa" w:w="90"/>
            </w:tcMar>
          </w:tcPr>
          <w:p>
            <w:pPr>
              <w:jc w:val="left"/>
            </w:pPr>
            <w:r>
              <w:rPr>
                <w:b/>
                <w:bCs/>
                <w:color w:val="ffffff"/>
                <w:sz w:val="18"/>
                <w:szCs w:val="18"/>
              </w:rPr>
              <w:t xml:space="preserve">Metric</w:t>
            </w:r>
          </w:p>
        </w:tc>
        <w:tc>
          <w:tcPr>
            <w:tcW w:type="dxa" w:w="1800"/>
            <w:shd w:fill="1f3b63" w:val="clear"/>
            <w:tcMar>
              <w:top w:type="dxa" w:w="40"/>
              <w:left w:type="dxa" w:w="90"/>
              <w:bottom w:type="dxa" w:w="40"/>
              <w:right w:type="dxa" w:w="90"/>
            </w:tcMar>
          </w:tcPr>
          <w:p>
            <w:pPr>
              <w:jc w:val="right"/>
            </w:pPr>
            <w:r>
              <w:rPr>
                <w:b/>
                <w:bCs/>
                <w:color w:val="ffffff"/>
                <w:sz w:val="18"/>
                <w:szCs w:val="18"/>
              </w:rPr>
              <w:t xml:space="preserve">Value</w:t>
            </w:r>
          </w:p>
        </w:tc>
      </w:tr>
      <w:tr>
        <w:trPr>
          <w:tblHeader w:val="off"/>
        </w:trPr>
        <w:tc>
          <w:tcPr>
            <w:tcW w:type="dxa" w:w="5400"/>
            <w:tcMar>
              <w:top w:type="dxa" w:w="40"/>
              <w:left w:type="dxa" w:w="90"/>
              <w:bottom w:type="dxa" w:w="40"/>
              <w:right w:type="dxa" w:w="90"/>
            </w:tcMar>
          </w:tcPr>
          <w:p>
            <w:pPr>
              <w:jc w:val="left"/>
            </w:pPr>
            <w:r>
              <w:rPr>
                <w:b w:val="false"/>
                <w:bCs w:val="false"/>
                <w:color w:val="0b0b0b"/>
                <w:sz w:val="18"/>
                <w:szCs w:val="18"/>
              </w:rPr>
              <w:t xml:space="preserve">Studies</w:t>
            </w:r>
          </w:p>
        </w:tc>
        <w:tc>
          <w:tcPr>
            <w:tcW w:type="dxa" w:w="1800"/>
            <w:tcMar>
              <w:top w:type="dxa" w:w="40"/>
              <w:left w:type="dxa" w:w="90"/>
              <w:bottom w:type="dxa" w:w="40"/>
              <w:right w:type="dxa" w:w="90"/>
            </w:tcMar>
          </w:tcPr>
          <w:p>
            <w:pPr>
              <w:jc w:val="right"/>
            </w:pPr>
            <w:r>
              <w:rPr>
                <w:b w:val="false"/>
                <w:bCs w:val="false"/>
                <w:color w:val="0b0b0b"/>
                <w:sz w:val="18"/>
                <w:szCs w:val="18"/>
              </w:rPr>
              <w:t xml:space="preserve">622</w:t>
            </w:r>
          </w:p>
        </w:tc>
      </w:tr>
      <w:tr>
        <w:trPr>
          <w:tblHeader w:val="off"/>
        </w:trPr>
        <w:tc>
          <w:tcPr>
            <w:tcW w:type="dxa" w:w="5400"/>
            <w:shd w:fill="eef2f7" w:val="clear"/>
            <w:tcMar>
              <w:top w:type="dxa" w:w="40"/>
              <w:left w:type="dxa" w:w="90"/>
              <w:bottom w:type="dxa" w:w="40"/>
              <w:right w:type="dxa" w:w="90"/>
            </w:tcMar>
          </w:tcPr>
          <w:p>
            <w:pPr>
              <w:jc w:val="left"/>
            </w:pPr>
            <w:r>
              <w:rPr>
                <w:b w:val="false"/>
                <w:bCs w:val="false"/>
                <w:color w:val="0b0b0b"/>
                <w:sz w:val="18"/>
                <w:szCs w:val="18"/>
              </w:rPr>
              <w:t xml:space="preserve">Study groups</w:t>
            </w:r>
          </w:p>
        </w:tc>
        <w:tc>
          <w:tcPr>
            <w:tcW w:type="dxa" w:w="1800"/>
            <w:shd w:fill="eef2f7" w:val="clear"/>
            <w:tcMar>
              <w:top w:type="dxa" w:w="40"/>
              <w:left w:type="dxa" w:w="90"/>
              <w:bottom w:type="dxa" w:w="40"/>
              <w:right w:type="dxa" w:w="90"/>
            </w:tcMar>
          </w:tcPr>
          <w:p>
            <w:pPr>
              <w:jc w:val="right"/>
            </w:pPr>
            <w:r>
              <w:rPr>
                <w:b w:val="false"/>
                <w:bCs w:val="false"/>
                <w:color w:val="0b0b0b"/>
                <w:sz w:val="18"/>
                <w:szCs w:val="18"/>
              </w:rPr>
              <w:t xml:space="preserve">431</w:t>
            </w:r>
          </w:p>
        </w:tc>
      </w:tr>
      <w:tr>
        <w:trPr>
          <w:tblHeader w:val="off"/>
        </w:trPr>
        <w:tc>
          <w:tcPr>
            <w:tcW w:type="dxa" w:w="5400"/>
            <w:tcMar>
              <w:top w:type="dxa" w:w="40"/>
              <w:left w:type="dxa" w:w="90"/>
              <w:bottom w:type="dxa" w:w="40"/>
              <w:right w:type="dxa" w:w="90"/>
            </w:tcMar>
          </w:tcPr>
          <w:p>
            <w:pPr>
              <w:jc w:val="left"/>
            </w:pPr>
            <w:r>
              <w:rPr>
                <w:b w:val="false"/>
                <w:bCs w:val="false"/>
                <w:color w:val="0b0b0b"/>
                <w:sz w:val="18"/>
                <w:szCs w:val="18"/>
              </w:rPr>
              <w:t xml:space="preserve">Lab-result rows</w:t>
            </w:r>
          </w:p>
        </w:tc>
        <w:tc>
          <w:tcPr>
            <w:tcW w:type="dxa" w:w="1800"/>
            <w:tcMar>
              <w:top w:type="dxa" w:w="40"/>
              <w:left w:type="dxa" w:w="90"/>
              <w:bottom w:type="dxa" w:w="40"/>
              <w:right w:type="dxa" w:w="90"/>
            </w:tcMar>
          </w:tcPr>
          <w:p>
            <w:pPr>
              <w:jc w:val="right"/>
            </w:pPr>
            <w:r>
              <w:rPr>
                <w:b w:val="false"/>
                <w:bCs w:val="false"/>
                <w:color w:val="0b0b0b"/>
                <w:sz w:val="18"/>
                <w:szCs w:val="18"/>
              </w:rPr>
              <w:t xml:space="preserve">1176</w:t>
            </w:r>
          </w:p>
        </w:tc>
      </w:tr>
      <w:tr>
        <w:trPr>
          <w:tblHeader w:val="off"/>
        </w:trPr>
        <w:tc>
          <w:tcPr>
            <w:tcW w:type="dxa" w:w="5400"/>
            <w:shd w:fill="eef2f7" w:val="clear"/>
            <w:tcMar>
              <w:top w:type="dxa" w:w="40"/>
              <w:left w:type="dxa" w:w="90"/>
              <w:bottom w:type="dxa" w:w="40"/>
              <w:right w:type="dxa" w:w="90"/>
            </w:tcMar>
          </w:tcPr>
          <w:p>
            <w:pPr>
              <w:jc w:val="left"/>
            </w:pPr>
            <w:r>
              <w:rPr>
                <w:b w:val="false"/>
                <w:bCs w:val="false"/>
                <w:color w:val="0b0b0b"/>
                <w:sz w:val="18"/>
                <w:szCs w:val="18"/>
              </w:rPr>
              <w:t xml:space="preserve">Clinical-outcome rows</w:t>
            </w:r>
          </w:p>
        </w:tc>
        <w:tc>
          <w:tcPr>
            <w:tcW w:type="dxa" w:w="1800"/>
            <w:shd w:fill="eef2f7" w:val="clear"/>
            <w:tcMar>
              <w:top w:type="dxa" w:w="40"/>
              <w:left w:type="dxa" w:w="90"/>
              <w:bottom w:type="dxa" w:w="40"/>
              <w:right w:type="dxa" w:w="90"/>
            </w:tcMar>
          </w:tcPr>
          <w:p>
            <w:pPr>
              <w:jc w:val="right"/>
            </w:pPr>
            <w:r>
              <w:rPr>
                <w:b w:val="false"/>
                <w:bCs w:val="false"/>
                <w:color w:val="0b0b0b"/>
                <w:sz w:val="18"/>
                <w:szCs w:val="18"/>
              </w:rPr>
              <w:t xml:space="preserve">1715</w:t>
            </w:r>
          </w:p>
        </w:tc>
      </w:tr>
      <w:tr>
        <w:trPr>
          <w:tblHeader w:val="off"/>
        </w:trPr>
        <w:tc>
          <w:tcPr>
            <w:tcW w:type="dxa" w:w="5400"/>
            <w:tcMar>
              <w:top w:type="dxa" w:w="40"/>
              <w:left w:type="dxa" w:w="90"/>
              <w:bottom w:type="dxa" w:w="40"/>
              <w:right w:type="dxa" w:w="90"/>
            </w:tcMar>
          </w:tcPr>
          <w:p>
            <w:pPr>
              <w:jc w:val="left"/>
            </w:pPr>
            <w:r>
              <w:rPr>
                <w:b w:val="false"/>
                <w:bCs w:val="false"/>
                <w:color w:val="0b0b0b"/>
                <w:sz w:val="18"/>
                <w:szCs w:val="18"/>
              </w:rPr>
              <w:t xml:space="preserve">Genetic findings</w:t>
            </w:r>
          </w:p>
        </w:tc>
        <w:tc>
          <w:tcPr>
            <w:tcW w:type="dxa" w:w="1800"/>
            <w:tcMar>
              <w:top w:type="dxa" w:w="40"/>
              <w:left w:type="dxa" w:w="90"/>
              <w:bottom w:type="dxa" w:w="40"/>
              <w:right w:type="dxa" w:w="90"/>
            </w:tcMar>
          </w:tcPr>
          <w:p>
            <w:pPr>
              <w:jc w:val="right"/>
            </w:pPr>
            <w:r>
              <w:rPr>
                <w:b w:val="false"/>
                <w:bCs w:val="false"/>
                <w:color w:val="0b0b0b"/>
                <w:sz w:val="18"/>
                <w:szCs w:val="18"/>
              </w:rPr>
              <w:t xml:space="preserve">394</w:t>
            </w:r>
          </w:p>
        </w:tc>
      </w:tr>
      <w:tr>
        <w:trPr>
          <w:tblHeader w:val="off"/>
        </w:trPr>
        <w:tc>
          <w:tcPr>
            <w:tcW w:type="dxa" w:w="5400"/>
            <w:shd w:fill="eef2f7" w:val="clear"/>
            <w:tcMar>
              <w:top w:type="dxa" w:w="40"/>
              <w:left w:type="dxa" w:w="90"/>
              <w:bottom w:type="dxa" w:w="40"/>
              <w:right w:type="dxa" w:w="90"/>
            </w:tcMar>
          </w:tcPr>
          <w:p>
            <w:pPr>
              <w:jc w:val="left"/>
            </w:pPr>
            <w:r>
              <w:rPr>
                <w:b w:val="false"/>
                <w:bCs w:val="false"/>
                <w:color w:val="0b0b0b"/>
                <w:sz w:val="18"/>
                <w:szCs w:val="18"/>
              </w:rPr>
              <w:t xml:space="preserve">Diagnostic-accuracy tables</w:t>
            </w:r>
          </w:p>
        </w:tc>
        <w:tc>
          <w:tcPr>
            <w:tcW w:type="dxa" w:w="1800"/>
            <w:shd w:fill="eef2f7" w:val="clear"/>
            <w:tcMar>
              <w:top w:type="dxa" w:w="40"/>
              <w:left w:type="dxa" w:w="90"/>
              <w:bottom w:type="dxa" w:w="40"/>
              <w:right w:type="dxa" w:w="90"/>
            </w:tcMar>
          </w:tcPr>
          <w:p>
            <w:pPr>
              <w:jc w:val="right"/>
            </w:pPr>
            <w:r>
              <w:rPr>
                <w:b w:val="false"/>
                <w:bCs w:val="false"/>
                <w:color w:val="0b0b0b"/>
                <w:sz w:val="18"/>
                <w:szCs w:val="18"/>
              </w:rPr>
              <w:t xml:space="preserve">146</w:t>
            </w:r>
          </w:p>
        </w:tc>
      </w:tr>
      <w:tr>
        <w:trPr>
          <w:tblHeader w:val="off"/>
        </w:trPr>
        <w:tc>
          <w:tcPr>
            <w:tcW w:type="dxa" w:w="5400"/>
            <w:tcMar>
              <w:top w:type="dxa" w:w="40"/>
              <w:left w:type="dxa" w:w="90"/>
              <w:bottom w:type="dxa" w:w="40"/>
              <w:right w:type="dxa" w:w="90"/>
            </w:tcMar>
          </w:tcPr>
          <w:p>
            <w:pPr>
              <w:jc w:val="left"/>
            </w:pPr>
            <w:r>
              <w:rPr>
                <w:b w:val="false"/>
                <w:bCs w:val="false"/>
                <w:color w:val="0b0b0b"/>
                <w:sz w:val="18"/>
                <w:szCs w:val="18"/>
              </w:rPr>
              <w:t xml:space="preserve">Individual patients (IPD)</w:t>
            </w:r>
          </w:p>
        </w:tc>
        <w:tc>
          <w:tcPr>
            <w:tcW w:type="dxa" w:w="1800"/>
            <w:tcMar>
              <w:top w:type="dxa" w:w="40"/>
              <w:left w:type="dxa" w:w="90"/>
              <w:bottom w:type="dxa" w:w="40"/>
              <w:right w:type="dxa" w:w="90"/>
            </w:tcMar>
          </w:tcPr>
          <w:p>
            <w:pPr>
              <w:jc w:val="right"/>
            </w:pPr>
            <w:r>
              <w:rPr>
                <w:b w:val="false"/>
                <w:bCs w:val="false"/>
                <w:color w:val="0b0b0b"/>
                <w:sz w:val="18"/>
                <w:szCs w:val="18"/>
              </w:rPr>
              <w:t xml:space="preserve">433</w:t>
            </w:r>
          </w:p>
        </w:tc>
      </w:tr>
      <w:tr>
        <w:trPr>
          <w:tblHeader w:val="off"/>
        </w:trPr>
        <w:tc>
          <w:tcPr>
            <w:tcW w:type="dxa" w:w="5400"/>
            <w:shd w:fill="eef2f7" w:val="clear"/>
            <w:tcMar>
              <w:top w:type="dxa" w:w="40"/>
              <w:left w:type="dxa" w:w="90"/>
              <w:bottom w:type="dxa" w:w="40"/>
              <w:right w:type="dxa" w:w="90"/>
            </w:tcMar>
          </w:tcPr>
          <w:p>
            <w:pPr>
              <w:jc w:val="left"/>
            </w:pPr>
            <w:r>
              <w:rPr>
                <w:b w:val="false"/>
                <w:bCs w:val="false"/>
                <w:color w:val="0b0b0b"/>
                <w:sz w:val="18"/>
                <w:szCs w:val="18"/>
              </w:rPr>
              <w:t xml:space="preserve">Numeric values QC-checked</w:t>
            </w:r>
          </w:p>
        </w:tc>
        <w:tc>
          <w:tcPr>
            <w:tcW w:type="dxa" w:w="1800"/>
            <w:shd w:fill="eef2f7" w:val="clear"/>
            <w:tcMar>
              <w:top w:type="dxa" w:w="40"/>
              <w:left w:type="dxa" w:w="90"/>
              <w:bottom w:type="dxa" w:w="40"/>
              <w:right w:type="dxa" w:w="90"/>
            </w:tcMar>
          </w:tcPr>
          <w:p>
            <w:pPr>
              <w:jc w:val="right"/>
            </w:pPr>
            <w:r>
              <w:rPr>
                <w:b w:val="false"/>
                <w:bCs w:val="false"/>
                <w:color w:val="0b0b0b"/>
                <w:sz w:val="18"/>
                <w:szCs w:val="18"/>
              </w:rPr>
              <w:t xml:space="preserve">3120</w:t>
            </w:r>
          </w:p>
        </w:tc>
      </w:tr>
      <w:tr>
        <w:trPr>
          <w:tblHeader w:val="off"/>
        </w:trPr>
        <w:tc>
          <w:tcPr>
            <w:tcW w:type="dxa" w:w="5400"/>
            <w:tcMar>
              <w:top w:type="dxa" w:w="40"/>
              <w:left w:type="dxa" w:w="90"/>
              <w:bottom w:type="dxa" w:w="40"/>
              <w:right w:type="dxa" w:w="90"/>
            </w:tcMar>
          </w:tcPr>
          <w:p>
            <w:pPr>
              <w:jc w:val="left"/>
            </w:pPr>
            <w:r>
              <w:rPr>
                <w:b w:val="false"/>
                <w:bCs w:val="false"/>
                <w:color w:val="0b0b0b"/>
                <w:sz w:val="18"/>
                <w:szCs w:val="18"/>
              </w:rPr>
              <w:t xml:space="preserve">Verified (pass/confirmed/derived)</w:t>
            </w:r>
          </w:p>
        </w:tc>
        <w:tc>
          <w:tcPr>
            <w:tcW w:type="dxa" w:w="1800"/>
            <w:tcMar>
              <w:top w:type="dxa" w:w="40"/>
              <w:left w:type="dxa" w:w="90"/>
              <w:bottom w:type="dxa" w:w="40"/>
              <w:right w:type="dxa" w:w="90"/>
            </w:tcMar>
          </w:tcPr>
          <w:p>
            <w:pPr>
              <w:jc w:val="right"/>
            </w:pPr>
            <w:r>
              <w:rPr>
                <w:b w:val="false"/>
                <w:bCs w:val="false"/>
                <w:color w:val="0b0b0b"/>
                <w:sz w:val="18"/>
                <w:szCs w:val="18"/>
              </w:rPr>
              <w:t xml:space="preserve">2939</w:t>
            </w:r>
          </w:p>
        </w:tc>
      </w:tr>
      <w:tr>
        <w:trPr>
          <w:tblHeader w:val="off"/>
        </w:trPr>
        <w:tc>
          <w:tcPr>
            <w:tcW w:type="dxa" w:w="5400"/>
            <w:shd w:fill="eef2f7" w:val="clear"/>
            <w:tcMar>
              <w:top w:type="dxa" w:w="40"/>
              <w:left w:type="dxa" w:w="90"/>
              <w:bottom w:type="dxa" w:w="40"/>
              <w:right w:type="dxa" w:w="90"/>
            </w:tcMar>
          </w:tcPr>
          <w:p>
            <w:pPr>
              <w:jc w:val="left"/>
            </w:pPr>
            <w:r>
              <w:rPr>
                <w:b w:val="false"/>
                <w:bCs w:val="false"/>
                <w:color w:val="0b0b0b"/>
                <w:sz w:val="18"/>
                <w:szCs w:val="18"/>
              </w:rPr>
              <w:t xml:space="preserve">Corrected (wrong)</w:t>
            </w:r>
          </w:p>
        </w:tc>
        <w:tc>
          <w:tcPr>
            <w:tcW w:type="dxa" w:w="1800"/>
            <w:shd w:fill="eef2f7" w:val="clear"/>
            <w:tcMar>
              <w:top w:type="dxa" w:w="40"/>
              <w:left w:type="dxa" w:w="90"/>
              <w:bottom w:type="dxa" w:w="40"/>
              <w:right w:type="dxa" w:w="90"/>
            </w:tcMar>
          </w:tcPr>
          <w:p>
            <w:pPr>
              <w:jc w:val="right"/>
            </w:pPr>
            <w:r>
              <w:rPr>
                <w:b w:val="false"/>
                <w:bCs w:val="false"/>
                <w:color w:val="0b0b0b"/>
                <w:sz w:val="18"/>
                <w:szCs w:val="18"/>
              </w:rPr>
              <w:t xml:space="preserve">22</w:t>
            </w:r>
          </w:p>
        </w:tc>
      </w:tr>
      <w:tr>
        <w:trPr>
          <w:tblHeader w:val="off"/>
        </w:trPr>
        <w:tc>
          <w:tcPr>
            <w:tcW w:type="dxa" w:w="5400"/>
            <w:tcMar>
              <w:top w:type="dxa" w:w="40"/>
              <w:left w:type="dxa" w:w="90"/>
              <w:bottom w:type="dxa" w:w="40"/>
              <w:right w:type="dxa" w:w="90"/>
            </w:tcMar>
          </w:tcPr>
          <w:p>
            <w:pPr>
              <w:jc w:val="left"/>
            </w:pPr>
            <w:r>
              <w:rPr>
                <w:b w:val="false"/>
                <w:bCs w:val="false"/>
                <w:color w:val="0b0b0b"/>
                <w:sz w:val="18"/>
                <w:szCs w:val="18"/>
              </w:rPr>
              <w:t xml:space="preserve">Unverifiable</w:t>
            </w:r>
          </w:p>
        </w:tc>
        <w:tc>
          <w:tcPr>
            <w:tcW w:type="dxa" w:w="1800"/>
            <w:tcMar>
              <w:top w:type="dxa" w:w="40"/>
              <w:left w:type="dxa" w:w="90"/>
              <w:bottom w:type="dxa" w:w="40"/>
              <w:right w:type="dxa" w:w="90"/>
            </w:tcMar>
          </w:tcPr>
          <w:p>
            <w:pPr>
              <w:jc w:val="right"/>
            </w:pPr>
            <w:r>
              <w:rPr>
                <w:b w:val="false"/>
                <w:bCs w:val="false"/>
                <w:color w:val="0b0b0b"/>
                <w:sz w:val="18"/>
                <w:szCs w:val="18"/>
              </w:rPr>
              <w:t xml:space="preserve">159</w:t>
            </w:r>
          </w:p>
        </w:tc>
      </w:tr>
    </w:tbl>
    <w:p>
      <w:pPr>
        <w:spacing w:after="200" w:before="60"/>
        <w:jc w:val="center"/>
      </w:pPr>
      <w:r>
        <w:rPr>
          <w:i/>
          <w:iCs/>
          <w:color w:val="52514e"/>
          <w:sz w:val="17"/>
          <w:szCs w:val="17"/>
        </w:rPr>
        <w:t xml:space="preserve">Table 1. Contents of the Angioedema Evidence Atlas as analysed for this report.</w:t>
      </w:r>
    </w:p>
    <w:p>
      <w:pPr>
        <w:pStyle w:val="Heading1"/>
        <w:spacing w:after="120" w:before="300"/>
      </w:pPr>
      <w:r>
        <w:rPr>
          <w:b/>
          <w:bCs/>
          <w:color w:val="1f3b63"/>
          <w:sz w:val="30"/>
          <w:szCs w:val="30"/>
        </w:rPr>
        <w:t xml:space="preserve">2.  The single most important thing the data says</w:t>
      </w:r>
    </w:p>
    <w:p>
      <w:pPr>
        <w:spacing w:after="140" w:line="276"/>
        <w:jc w:val="both"/>
      </w:pPr>
      <w:r>
        <w:rPr>
          <w:sz w:val="21"/>
          <w:szCs w:val="21"/>
        </w:rPr>
        <w:t xml:space="preserve">The field has one well-evidenced bradykinin disease and a large penumbra of conditions that are called bradykinin-mediated, or mast-cell-mediated, largely because they behave as if they were, not because the mechanism has been demonstrated in them. The verdicts in Figure 2 are generated by a fixed causal-chain rubric, not assigned by hand, and they are deliberately severe: a subtype whose entire case rests on a kallikrein-pathway drug having worked can never score secure, however confident the guidelines are.</w:t>
      </w:r>
    </w:p>
    <w:p>
      <w:pPr>
        <w:spacing w:after="40" w:before="120"/>
        <w:jc w:val="center"/>
      </w:pPr>
      <w:r>
        <w:drawing>
          <wp:inline distT="0" distB="0" distL="0" distR="0">
            <wp:extent cx="5334000" cy="3619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619500"/>
                    </a:xfrm>
                    <a:prstGeom prst="rect">
                      <a:avLst/>
                    </a:prstGeom>
                  </pic:spPr>
                </pic:pic>
              </a:graphicData>
            </a:graphic>
          </wp:inline>
        </w:drawing>
      </w:r>
    </w:p>
    <w:p>
      <w:pPr>
        <w:spacing w:after="200"/>
        <w:jc w:val="center"/>
      </w:pPr>
      <w:r>
        <w:rPr>
          <w:i/>
          <w:iCs/>
          <w:color w:val="52514e"/>
          <w:sz w:val="17"/>
          <w:szCs w:val="17"/>
        </w:rPr>
        <w:t xml:space="preserve">Figure 2. Bradykinin-causation verdict per subtype. Bar length is the volume of laboratory evidence; colour is the verdict. Only HAE with C1-inhibitor deficiency reaches secure.</w:t>
      </w:r>
    </w:p>
    <w:p>
      <w:pPr>
        <w:spacing w:after="140" w:line="276"/>
        <w:jc w:val="both"/>
      </w:pPr>
      <w:r>
        <w:rPr>
          <w:sz w:val="21"/>
          <w:szCs w:val="21"/>
        </w:rPr>
        <w:t xml:space="preserve">Figure 3 shows why, link by link. The rubric tests eight causal links, from the pathway lesion (L1) through contact-system activation (L2), the mediator measured (L3), the mediator measured </w:t>
      </w:r>
      <w:r>
        <w:rPr>
          <w:i/>
          <w:iCs/>
          <w:sz w:val="21"/>
          <w:szCs w:val="21"/>
        </w:rPr>
        <w:t xml:space="preserve">during an attack</w:t>
      </w:r>
      <w:r>
        <w:rPr>
          <w:sz w:val="21"/>
          <w:szCs w:val="21"/>
        </w:rPr>
        <w:t xml:space="preserve"> (L4), the endothelial axis (L5), icatibant response (L6), upstream blockade (L7) and independent replication (L8). The green columns thin out sharply at L4 and at L6/L7, where green becomes the pale blue of treatment-inference rather than direct measurement.</w:t>
      </w:r>
    </w:p>
    <w:p>
      <w:pPr>
        <w:spacing w:after="40" w:before="120"/>
        <w:jc w:val="center"/>
      </w:pPr>
      <w:r>
        <w:drawing>
          <wp:inline distT="0" distB="0" distL="0" distR="0">
            <wp:extent cx="5334000" cy="53149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5314950"/>
                    </a:xfrm>
                    <a:prstGeom prst="rect">
                      <a:avLst/>
                    </a:prstGeom>
                  </pic:spPr>
                </pic:pic>
              </a:graphicData>
            </a:graphic>
          </wp:inline>
        </w:drawing>
      </w:r>
    </w:p>
    <w:p>
      <w:pPr>
        <w:spacing w:after="200"/>
        <w:jc w:val="center"/>
      </w:pPr>
      <w:r>
        <w:rPr>
          <w:i/>
          <w:iCs/>
          <w:color w:val="52514e"/>
          <w:sz w:val="17"/>
          <w:szCs w:val="17"/>
        </w:rPr>
        <w:t xml:space="preserve">Figure 3. The bradykinin causal chain. Green is directly demonstrated, pale blue is inferred from treatment response only, grey is untested. The chain is complete only for HAE with C1-inhibitor deficiency.</w:t>
      </w:r>
    </w:p>
    <w:p>
      <w:r>
        <w:br w:type="page"/>
      </w:r>
    </w:p>
    <w:p>
      <w:pPr>
        <w:pStyle w:val="Heading1"/>
        <w:spacing w:after="120" w:before="300"/>
      </w:pPr>
      <w:r>
        <w:rPr>
          <w:b/>
          <w:bCs/>
          <w:color w:val="1f3b63"/>
          <w:sz w:val="30"/>
          <w:szCs w:val="30"/>
        </w:rPr>
        <w:t xml:space="preserve">3.  The attack-time measurement gap</w:t>
      </w:r>
    </w:p>
    <w:p>
      <w:pPr>
        <w:spacing w:after="140" w:line="276"/>
        <w:jc w:val="both"/>
      </w:pPr>
      <w:r>
        <w:rPr>
          <w:sz w:val="21"/>
          <w:szCs w:val="21"/>
        </w:rPr>
        <w:t xml:space="preserve">This is the pocket worth dwelling on, because it reframes much of the rest. Bradykinin has a plasma half-life of seconds to a very few minutes. Any claim that bradykinin caused a given episode, to be direct rather than inferential, needs the mediator (or a tight surrogate such as cleaved high-molecular-weight kininogen) measured in a sample drawn during an attack, against the same patient in remission and against controls. When you filter the dataset for rows that actually represent attack-time mediator measurement, outside HAE with C1-inhibitor deficiency the cupboard is close to bare.</w:t>
      </w:r>
    </w:p>
    <w:p>
      <w:pPr>
        <w:spacing w:after="40" w:before="120"/>
        <w:jc w:val="center"/>
      </w:pPr>
      <w:r>
        <w:drawing>
          <wp:inline distT="0" distB="0" distL="0" distR="0">
            <wp:extent cx="5334000" cy="29337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33700"/>
                    </a:xfrm>
                    <a:prstGeom prst="rect">
                      <a:avLst/>
                    </a:prstGeom>
                  </pic:spPr>
                </pic:pic>
              </a:graphicData>
            </a:graphic>
          </wp:inline>
        </w:drawing>
      </w:r>
    </w:p>
    <w:p>
      <w:pPr>
        <w:spacing w:after="200"/>
        <w:jc w:val="center"/>
      </w:pPr>
      <w:r>
        <w:rPr>
          <w:i/>
          <w:iCs/>
          <w:color w:val="52514e"/>
          <w:sz w:val="17"/>
          <w:szCs w:val="17"/>
        </w:rPr>
        <w:t xml:space="preserve">Figure 4. Of the mediator and contact-activation measurements, only a small minority were taken during an attack, even in bradykinin-mediated angioedema (17 of 99). Outside it, attack-time sampling is almost absent.</w:t>
      </w:r>
    </w:p>
    <w:p>
      <w:pPr>
        <w:spacing w:after="140" w:line="276"/>
        <w:jc w:val="both"/>
      </w:pPr>
      <w:r>
        <w:rPr>
          <w:sz w:val="21"/>
          <w:szCs w:val="21"/>
        </w:rPr>
        <w:t xml:space="preserve">The pattern holds across the whole laboratory dataset, not just the mediator subset. Most measurements are remission, baseline, or have no recorded timing at all (Figure 5). The clinical consequence is direct: the entire therapeutic logic of giving a bradykinin-targeted drug to a patient with normal-C1INH or idiopathic non-histaminergic angioedema rests on an inference that has rarely been tested at source. The drugs sometimes work, which is real evidence, but treatment response conflates two different claims: that bradykinin was the mediator, and that the B2 receptor was somewhere in the causal path.</w:t>
      </w:r>
    </w:p>
    <w:p>
      <w:pPr>
        <w:spacing w:after="40" w:before="120"/>
        <w:jc w:val="center"/>
      </w:pPr>
      <w:r>
        <w:drawing>
          <wp:inline distT="0" distB="0" distL="0" distR="0">
            <wp:extent cx="5334000" cy="24574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57450"/>
                    </a:xfrm>
                    <a:prstGeom prst="rect">
                      <a:avLst/>
                    </a:prstGeom>
                  </pic:spPr>
                </pic:pic>
              </a:graphicData>
            </a:graphic>
          </wp:inline>
        </w:drawing>
      </w:r>
    </w:p>
    <w:p>
      <w:pPr>
        <w:spacing w:after="200"/>
        <w:jc w:val="center"/>
      </w:pPr>
      <w:r>
        <w:rPr>
          <w:i/>
          <w:iCs/>
          <w:color w:val="52514e"/>
          <w:sz w:val="17"/>
          <w:szCs w:val="17"/>
        </w:rPr>
        <w:t xml:space="preserve">Figure 5. Sample timing across all 1,176 laboratory-result rows. Attack-time sampling is the exception, not the rule.</w:t>
      </w:r>
    </w:p>
    <w:p>
      <w:pPr>
        <w:pStyle w:val="Heading1"/>
        <w:spacing w:after="120" w:before="300"/>
      </w:pPr>
      <w:r>
        <w:rPr>
          <w:b/>
          <w:bCs/>
          <w:color w:val="1f3b63"/>
          <w:sz w:val="30"/>
          <w:szCs w:val="30"/>
        </w:rPr>
        <w:t xml:space="preserve">4.  Cleaved kininogen is not the clean biomarker it is presented as</w:t>
      </w:r>
    </w:p>
    <w:p>
      <w:pPr>
        <w:spacing w:after="140" w:line="276"/>
        <w:jc w:val="both"/>
      </w:pPr>
      <w:r>
        <w:rPr>
          <w:sz w:val="21"/>
          <w:szCs w:val="21"/>
        </w:rPr>
        <w:t xml:space="preserve">Cleaved high-molecular-weight kininogen is held up as the readout of contact-system activation and therefore as the bradykinin fingerprint. The atlas data do not let it carry that weight. Of 63 cleaved-kininogen measurements, 18 are in control or comparison groups, and the great majority of rows, cases and controls alike, have no extractable direction (Figure 7). In other words, the primary data in this collection do not actually demonstrate that a cross-sectional cleaved-kininogen level separates a bradykinin swelling from a mast-cell one or from a healthy control. </w:t>
      </w:r>
      <w:r>
        <w:rPr>
          <w:sz w:val="21"/>
          <w:szCs w:val="21"/>
        </w:rPr>
        <w:t xml:space="preserve">A marker that is measured in the comparison groups as readily as in the cases, and whose direction the literature so often leaves unstated, is not yet doing discriminating work.</w:t>
      </w:r>
    </w:p>
    <w:p>
      <w:pPr>
        <w:spacing w:after="40" w:before="120"/>
        <w:jc w:val="center"/>
      </w:pPr>
      <w:r>
        <w:drawing>
          <wp:inline distT="0" distB="0" distL="0" distR="0">
            <wp:extent cx="5334000" cy="25241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524125"/>
                    </a:xfrm>
                    <a:prstGeom prst="rect">
                      <a:avLst/>
                    </a:prstGeom>
                  </pic:spPr>
                </pic:pic>
              </a:graphicData>
            </a:graphic>
          </wp:inline>
        </w:drawing>
      </w:r>
    </w:p>
    <w:p>
      <w:pPr>
        <w:spacing w:after="200"/>
        <w:jc w:val="center"/>
      </w:pPr>
      <w:r>
        <w:rPr>
          <w:i/>
          <w:iCs/>
          <w:color w:val="52514e"/>
          <w:sz w:val="17"/>
          <w:szCs w:val="17"/>
        </w:rPr>
        <w:t xml:space="preserve">Figure 7. Cleaved-kininogen measurements by category. It is measured in controls about as often as in cases, and most rows carry no recorded direction, so these data cannot show it discriminates.</w:t>
      </w:r>
    </w:p>
    <w:p>
      <w:pPr>
        <w:spacing w:after="140" w:line="276"/>
        <w:jc w:val="both"/>
      </w:pPr>
      <w:r>
        <w:rPr>
          <w:sz w:val="21"/>
          <w:szCs w:val="21"/>
        </w:rPr>
        <w:t xml:space="preserve">What might work is the within-patient attack-versus-remission change, and that is exactly the comparison almost nobody has the samples to make. That gap is the first real meta-analysis this dataset could support. More broadly, the direction of the headline biomarkers is recorded far less often than their mere presence (Figure 6), which is the measurement habit that lets a normal result pass unnoticed.</w:t>
      </w:r>
    </w:p>
    <w:p>
      <w:pPr>
        <w:spacing w:after="40" w:before="120"/>
        <w:jc w:val="center"/>
      </w:pPr>
      <w:r>
        <w:drawing>
          <wp:inline distT="0" distB="0" distL="0" distR="0">
            <wp:extent cx="5334000" cy="28860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86075"/>
                    </a:xfrm>
                    <a:prstGeom prst="rect">
                      <a:avLst/>
                    </a:prstGeom>
                  </pic:spPr>
                </pic:pic>
              </a:graphicData>
            </a:graphic>
          </wp:inline>
        </w:drawing>
      </w:r>
    </w:p>
    <w:p>
      <w:pPr>
        <w:spacing w:after="200"/>
        <w:jc w:val="center"/>
      </w:pPr>
      <w:r>
        <w:rPr>
          <w:i/>
          <w:iCs/>
          <w:color w:val="52514e"/>
          <w:sz w:val="17"/>
          <w:szCs w:val="17"/>
        </w:rPr>
        <w:t xml:space="preserve">Figure 6. Reported direction of the key biomarkers. For most tests, direction is unknown far more often than it is elevated, normal or reduced.</w:t>
      </w:r>
    </w:p>
    <w:p>
      <w:pPr>
        <w:pStyle w:val="Heading1"/>
        <w:spacing w:after="120" w:before="300"/>
      </w:pPr>
      <w:r>
        <w:rPr>
          <w:b/>
          <w:bCs/>
          <w:color w:val="1f3b63"/>
          <w:sz w:val="30"/>
          <w:szCs w:val="30"/>
        </w:rPr>
        <w:t xml:space="preserve">5.  The normal-biomarker trap</w:t>
      </w:r>
    </w:p>
    <w:p>
      <w:pPr>
        <w:spacing w:after="140" w:line="276"/>
        <w:jc w:val="both"/>
      </w:pPr>
      <w:r>
        <w:rPr>
          <w:sz w:val="21"/>
          <w:szCs w:val="21"/>
        </w:rPr>
        <w:t xml:space="preserve">Early in the build the scoring counted a biomarker as supporting bradykinin whenever it had been measured, regardless of the result. That let histaminergic angioedema score as having bradykinin evidence on the strength of a bradykinin level that was, in fact, normal during the attack. That is backwards: a normal mediator measured at the right time is evidence </w:t>
      </w:r>
      <w:r>
        <w:rPr>
          <w:i/>
          <w:iCs/>
          <w:sz w:val="21"/>
          <w:szCs w:val="21"/>
        </w:rPr>
        <w:t xml:space="preserve">against</w:t>
      </w:r>
      <w:r>
        <w:rPr>
          <w:sz w:val="21"/>
          <w:szCs w:val="21"/>
        </w:rPr>
        <w:t xml:space="preserve">, or at least not for. The rubric now counts only elevated or quantified non-normal values toward the causal chain, and several conditions that looked weakly bradykinin-supported collapsed to untested once normal results stopped masquerading as positive ones. The general lesson applies well beyond this dataset: a measured biomarker and a supportive biomarker are different things, and a surprising amount of mechanistic literature elides the two.</w:t>
      </w:r>
    </w:p>
    <w:p>
      <w:pPr>
        <w:pStyle w:val="Heading1"/>
        <w:spacing w:after="120" w:before="300"/>
      </w:pPr>
      <w:r>
        <w:rPr>
          <w:b/>
          <w:bCs/>
          <w:color w:val="1f3b63"/>
          <w:sz w:val="30"/>
          <w:szCs w:val="30"/>
        </w:rPr>
        <w:t xml:space="preserve">6.  ACE-inhibitor angioedema contradicts its own simple story</w:t>
      </w:r>
    </w:p>
    <w:p>
      <w:pPr>
        <w:spacing w:after="140" w:line="276"/>
        <w:jc w:val="both"/>
      </w:pPr>
      <w:r>
        <w:rPr>
          <w:sz w:val="21"/>
          <w:szCs w:val="21"/>
        </w:rPr>
        <w:t xml:space="preserve">ACEI-associated angioedema is the textbook bradykinin disease, taught as such because ACE degrades bradykinin and blocking ACE should raise it. The rubric marks this one contradicted, and the reason is specific rather than alarming: the randomised trials of icatibant (and ecallantide) in acute ACEI angioedema were negative. If B2-receptor blockade does not resolve the attack, then bradykinin acting at B2 is not straightforwardly the proximate cause, however compelling the upstream pharmacology looks. The clean mechanistic drug trial undercut the clean mechanistic hypothesis. This is why the verdict logic reserves contradicted for a controlled efficacy failure of a mechanism-targeting drug, not for an individual non-responder or a side-effect. DANCE's decision to file ACEI under drug-induced rather than bradykinin-mediated looks, in this light, like better judgement than the older teaching.</w:t>
      </w:r>
    </w:p>
    <w:p>
      <w:pPr>
        <w:pStyle w:val="Heading1"/>
        <w:spacing w:after="120" w:before="300"/>
      </w:pPr>
      <w:r>
        <w:rPr>
          <w:b/>
          <w:bCs/>
          <w:color w:val="1f3b63"/>
          <w:sz w:val="30"/>
          <w:szCs w:val="30"/>
        </w:rPr>
        <w:t xml:space="preserve">7.  The circularity problem in the clinical criteria</w:t>
      </w:r>
    </w:p>
    <w:p>
      <w:pPr>
        <w:spacing w:after="140" w:line="276"/>
        <w:jc w:val="both"/>
      </w:pPr>
      <w:r>
        <w:rPr>
          <w:sz w:val="21"/>
          <w:szCs w:val="21"/>
        </w:rPr>
        <w:t xml:space="preserve">When the DANCE clinical discriminators are mapped against what the primary data can actually test, most turn out to be close to untestable, because the case definitions are circular. Histaminergic angioedema is in large part defined by its response to antihistamines; you then cannot use antihistamine response as independent evidence about its mechanism without arguing in a circle. The same trap catches idiopathic non-histaminergic angioedema, defined by the absence of that response. The criteria sort patients efficiently, but they sort them by the very features you would want to use as an independent test, so they cannot validate the mechanistic claim attached to them. This is not a flaw in the extraction. It is a flaw in the nosology that the extraction makes visible.</w:t>
      </w:r>
    </w:p>
    <w:p>
      <w:r>
        <w:br w:type="page"/>
      </w:r>
    </w:p>
    <w:p>
      <w:pPr>
        <w:pStyle w:val="Heading1"/>
        <w:spacing w:after="120" w:before="300"/>
      </w:pPr>
      <w:r>
        <w:rPr>
          <w:b/>
          <w:bCs/>
          <w:color w:val="1f3b63"/>
          <w:sz w:val="30"/>
          <w:szCs w:val="30"/>
        </w:rPr>
        <w:t xml:space="preserve">8.  Data quality, and the layer you should not trust yet</w:t>
      </w:r>
    </w:p>
    <w:p>
      <w:pPr>
        <w:spacing w:after="140" w:line="276"/>
        <w:jc w:val="both"/>
      </w:pPr>
      <w:r>
        <w:rPr>
          <w:sz w:val="21"/>
          <w:szCs w:val="21"/>
        </w:rPr>
        <w:t xml:space="preserve">Across all 3,120 numeric values checked, 94 per cent are verified against their own source quote (Figure 8). That is reassuring in aggregate, but the error is not spread evenly. The genetic findings are the least reliable layer by a wide margin: most of the corrections landed there, from variant tables in PDFs where columns scrambled on extraction and a carrier count or allele frequency ended up attached to the wrong variant (Figure 9, Table 3). I would not run any analysis on the genetic rows without a human pass. The newer normal-C1INH genes each rest on one or two reports, and placing angiopoietin-1 in the bradykinin bin is an assumption, not a finding, since it acts on the vessel wall rather than the kinin pathway.</w:t>
      </w:r>
    </w:p>
    <w:p>
      <w:pPr>
        <w:spacing w:after="40" w:before="120"/>
        <w:jc w:val="center"/>
      </w:pPr>
      <w:r>
        <w:drawing>
          <wp:inline distT="0" distB="0" distL="0" distR="0">
            <wp:extent cx="5334000" cy="24765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76500"/>
                    </a:xfrm>
                    <a:prstGeom prst="rect">
                      <a:avLst/>
                    </a:prstGeom>
                  </pic:spPr>
                </pic:pic>
              </a:graphicData>
            </a:graphic>
          </wp:inline>
        </w:drawing>
      </w:r>
    </w:p>
    <w:p>
      <w:pPr>
        <w:spacing w:after="200"/>
        <w:jc w:val="center"/>
      </w:pPr>
      <w:r>
        <w:rPr>
          <w:i/>
          <w:iCs/>
          <w:color w:val="52514e"/>
          <w:sz w:val="17"/>
          <w:szCs w:val="17"/>
        </w:rPr>
        <w:t xml:space="preserve">Figure 8. Quality-control outcomes across all checked values. The large pass and confirmed blocks reflect values found in, or supported by, their own source quote.</w:t>
      </w:r>
    </w:p>
    <w:p>
      <w:pPr>
        <w:spacing w:after="40" w:before="120"/>
        <w:jc w:val="center"/>
      </w:pPr>
      <w:r>
        <w:drawing>
          <wp:inline distT="0" distB="0" distL="0" distR="0">
            <wp:extent cx="5334000" cy="26670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667000"/>
                    </a:xfrm>
                    <a:prstGeom prst="rect">
                      <a:avLst/>
                    </a:prstGeom>
                  </pic:spPr>
                </pic:pic>
              </a:graphicData>
            </a:graphic>
          </wp:inline>
        </w:drawing>
      </w:r>
    </w:p>
    <w:p>
      <w:pPr>
        <w:spacing w:after="200"/>
        <w:jc w:val="center"/>
      </w:pPr>
      <w:r>
        <w:rPr>
          <w:i/>
          <w:iCs/>
          <w:color w:val="52514e"/>
          <w:sz w:val="17"/>
          <w:szCs w:val="17"/>
        </w:rPr>
        <w:t xml:space="preserve">Figure 9. Extraction reliability by table. Genetic findings carry by far the highest wrong rate; laboratory results are the most reliable.</w:t>
      </w:r>
    </w:p>
    <w:p>
      <w:pPr>
        <w:pStyle w:val="Heading2"/>
        <w:spacing w:after="80" w:before="220"/>
      </w:pPr>
      <w:r>
        <w:rPr>
          <w:b/>
          <w:bCs/>
          <w:color w:val="1f3b63"/>
          <w:sz w:val="24"/>
          <w:szCs w:val="24"/>
        </w:rPr>
        <w:t xml:space="preserve">Verdicts and quality in full</w:t>
      </w:r>
    </w:p>
    <w:tbl>
      <w:tblPr>
        <w:tblW w:type="dxa" w:w="7600"/>
        <w:tblBorders>
          <w:top w:val="single" w:color="c9d2de" w:sz="2"/>
          <w:left w:val="none"/>
          <w:bottom w:val="single" w:color="c9d2de" w:sz="2"/>
          <w:right w:val="none"/>
          <w:insideH w:val="single" w:color="c9d2de" w:sz="1"/>
          <w:insideV w:val="none"/>
        </w:tblBorders>
      </w:tblPr>
      <w:tblGrid>
        <w:gridCol w:w="3400"/>
        <w:gridCol w:w="900"/>
        <w:gridCol w:w="1500"/>
        <w:gridCol w:w="900"/>
        <w:gridCol w:w="900"/>
      </w:tblGrid>
      <w:tr>
        <w:trPr>
          <w:tblHeader/>
        </w:trPr>
        <w:tc>
          <w:tcPr>
            <w:tcW w:type="dxa" w:w="3400"/>
            <w:shd w:fill="1f3b63" w:val="clear"/>
            <w:tcMar>
              <w:top w:type="dxa" w:w="40"/>
              <w:left w:type="dxa" w:w="90"/>
              <w:bottom w:type="dxa" w:w="40"/>
              <w:right w:type="dxa" w:w="90"/>
            </w:tcMar>
          </w:tcPr>
          <w:p>
            <w:pPr>
              <w:jc w:val="left"/>
            </w:pPr>
            <w:r>
              <w:rPr>
                <w:b/>
                <w:bCs/>
                <w:color w:val="ffffff"/>
                <w:sz w:val="18"/>
                <w:szCs w:val="18"/>
              </w:rPr>
              <w:t xml:space="preserve">Subtype</w:t>
            </w:r>
          </w:p>
        </w:tc>
        <w:tc>
          <w:tcPr>
            <w:tcW w:type="dxa" w:w="900"/>
            <w:shd w:fill="1f3b63" w:val="clear"/>
            <w:tcMar>
              <w:top w:type="dxa" w:w="40"/>
              <w:left w:type="dxa" w:w="90"/>
              <w:bottom w:type="dxa" w:w="40"/>
              <w:right w:type="dxa" w:w="90"/>
            </w:tcMar>
          </w:tcPr>
          <w:p>
            <w:pPr>
              <w:jc w:val="left"/>
            </w:pPr>
            <w:r>
              <w:rPr>
                <w:b/>
                <w:bCs/>
                <w:color w:val="ffffff"/>
                <w:sz w:val="18"/>
                <w:szCs w:val="18"/>
              </w:rPr>
              <w:t xml:space="preserve">DANCE</w:t>
            </w:r>
          </w:p>
        </w:tc>
        <w:tc>
          <w:tcPr>
            <w:tcW w:type="dxa" w:w="1500"/>
            <w:shd w:fill="1f3b63" w:val="clear"/>
            <w:tcMar>
              <w:top w:type="dxa" w:w="40"/>
              <w:left w:type="dxa" w:w="90"/>
              <w:bottom w:type="dxa" w:w="40"/>
              <w:right w:type="dxa" w:w="90"/>
            </w:tcMar>
          </w:tcPr>
          <w:p>
            <w:pPr>
              <w:jc w:val="left"/>
            </w:pPr>
            <w:r>
              <w:rPr>
                <w:b/>
                <w:bCs/>
                <w:color w:val="ffffff"/>
                <w:sz w:val="18"/>
                <w:szCs w:val="18"/>
              </w:rPr>
              <w:t xml:space="preserve">Verdict</w:t>
            </w:r>
          </w:p>
        </w:tc>
        <w:tc>
          <w:tcPr>
            <w:tcW w:type="dxa" w:w="900"/>
            <w:shd w:fill="1f3b63" w:val="clear"/>
            <w:tcMar>
              <w:top w:type="dxa" w:w="40"/>
              <w:left w:type="dxa" w:w="90"/>
              <w:bottom w:type="dxa" w:w="40"/>
              <w:right w:type="dxa" w:w="90"/>
            </w:tcMar>
          </w:tcPr>
          <w:p>
            <w:pPr>
              <w:jc w:val="right"/>
            </w:pPr>
            <w:r>
              <w:rPr>
                <w:b/>
                <w:bCs/>
                <w:color w:val="ffffff"/>
                <w:sz w:val="18"/>
                <w:szCs w:val="18"/>
              </w:rPr>
              <w:t xml:space="preserve">Lab rows</w:t>
            </w:r>
          </w:p>
        </w:tc>
        <w:tc>
          <w:tcPr>
            <w:tcW w:type="dxa" w:w="900"/>
            <w:shd w:fill="1f3b63" w:val="clear"/>
            <w:tcMar>
              <w:top w:type="dxa" w:w="40"/>
              <w:left w:type="dxa" w:w="90"/>
              <w:bottom w:type="dxa" w:w="40"/>
              <w:right w:type="dxa" w:w="90"/>
            </w:tcMar>
          </w:tcPr>
          <w:p>
            <w:pPr>
              <w:jc w:val="right"/>
            </w:pPr>
            <w:r>
              <w:rPr>
                <w:b/>
                <w:bCs/>
                <w:color w:val="ffffff"/>
                <w:sz w:val="18"/>
                <w:szCs w:val="18"/>
              </w:rPr>
              <w:t xml:space="preserve">Studies</w:t>
            </w:r>
          </w:p>
        </w:tc>
      </w:tr>
      <w:tr>
        <w:trPr>
          <w:tblHeader w:val="off"/>
        </w:trPr>
        <w:tc>
          <w:tcPr>
            <w:tcW w:type="dxa" w:w="3400"/>
            <w:tcMar>
              <w:top w:type="dxa" w:w="40"/>
              <w:left w:type="dxa" w:w="90"/>
              <w:bottom w:type="dxa" w:w="40"/>
              <w:right w:type="dxa" w:w="90"/>
            </w:tcMar>
          </w:tcPr>
          <w:p>
            <w:pPr>
              <w:jc w:val="left"/>
            </w:pPr>
            <w:r>
              <w:rPr>
                <w:b w:val="false"/>
                <w:bCs w:val="false"/>
                <w:color w:val="0b0b0b"/>
                <w:sz w:val="18"/>
                <w:szCs w:val="18"/>
              </w:rPr>
              <w:t xml:space="preserve">ACE-inhibitor-associated AE</w:t>
            </w:r>
          </w:p>
        </w:tc>
        <w:tc>
          <w:tcPr>
            <w:tcW w:type="dxa" w:w="900"/>
            <w:tcMar>
              <w:top w:type="dxa" w:w="40"/>
              <w:left w:type="dxa" w:w="90"/>
              <w:bottom w:type="dxa" w:w="40"/>
              <w:right w:type="dxa" w:w="90"/>
            </w:tcMar>
          </w:tcPr>
          <w:p>
            <w:pPr>
              <w:jc w:val="left"/>
            </w:pPr>
            <w:r>
              <w:rPr>
                <w:b w:val="false"/>
                <w:bCs w:val="false"/>
                <w:color w:val="0b0b0b"/>
                <w:sz w:val="18"/>
                <w:szCs w:val="18"/>
              </w:rPr>
              <w:t xml:space="preserve">AE-DI</w:t>
            </w:r>
          </w:p>
        </w:tc>
        <w:tc>
          <w:tcPr>
            <w:tcW w:type="dxa" w:w="1500"/>
            <w:tcMar>
              <w:top w:type="dxa" w:w="40"/>
              <w:left w:type="dxa" w:w="90"/>
              <w:bottom w:type="dxa" w:w="40"/>
              <w:right w:type="dxa" w:w="90"/>
            </w:tcMar>
          </w:tcPr>
          <w:p>
            <w:pPr>
              <w:jc w:val="left"/>
            </w:pPr>
            <w:r>
              <w:rPr>
                <w:b w:val="false"/>
                <w:bCs w:val="false"/>
                <w:color w:val="0b0b0b"/>
                <w:sz w:val="18"/>
                <w:szCs w:val="18"/>
              </w:rPr>
              <w:t xml:space="preserve">CONTRADICTED</w:t>
            </w:r>
          </w:p>
        </w:tc>
        <w:tc>
          <w:tcPr>
            <w:tcW w:type="dxa" w:w="900"/>
            <w:tcMar>
              <w:top w:type="dxa" w:w="40"/>
              <w:left w:type="dxa" w:w="90"/>
              <w:bottom w:type="dxa" w:w="40"/>
              <w:right w:type="dxa" w:w="90"/>
            </w:tcMar>
          </w:tcPr>
          <w:p>
            <w:pPr>
              <w:jc w:val="right"/>
            </w:pPr>
            <w:r>
              <w:rPr>
                <w:b w:val="false"/>
                <w:bCs w:val="false"/>
                <w:color w:val="0b0b0b"/>
                <w:sz w:val="18"/>
                <w:szCs w:val="18"/>
              </w:rPr>
              <w:t xml:space="preserve">56</w:t>
            </w:r>
          </w:p>
        </w:tc>
        <w:tc>
          <w:tcPr>
            <w:tcW w:type="dxa" w:w="900"/>
            <w:tcMar>
              <w:top w:type="dxa" w:w="40"/>
              <w:left w:type="dxa" w:w="90"/>
              <w:bottom w:type="dxa" w:w="40"/>
              <w:right w:type="dxa" w:w="90"/>
            </w:tcMar>
          </w:tcPr>
          <w:p>
            <w:pPr>
              <w:jc w:val="right"/>
            </w:pPr>
            <w:r>
              <w:rPr>
                <w:b w:val="false"/>
                <w:bCs w:val="false"/>
                <w:color w:val="0b0b0b"/>
                <w:sz w:val="18"/>
                <w:szCs w:val="18"/>
              </w:rPr>
              <w:t xml:space="preserve">43</w:t>
            </w:r>
          </w:p>
        </w:tc>
      </w:tr>
      <w:tr>
        <w:trPr>
          <w:tblHeader w:val="off"/>
        </w:trPr>
        <w:tc>
          <w:tcPr>
            <w:tcW w:type="dxa" w:w="3400"/>
            <w:shd w:fill="eef2f7" w:val="clear"/>
            <w:tcMar>
              <w:top w:type="dxa" w:w="40"/>
              <w:left w:type="dxa" w:w="90"/>
              <w:bottom w:type="dxa" w:w="40"/>
              <w:right w:type="dxa" w:w="90"/>
            </w:tcMar>
          </w:tcPr>
          <w:p>
            <w:pPr>
              <w:jc w:val="left"/>
            </w:pPr>
            <w:r>
              <w:rPr>
                <w:b w:val="false"/>
                <w:bCs w:val="false"/>
                <w:color w:val="0b0b0b"/>
                <w:sz w:val="18"/>
                <w:szCs w:val="18"/>
              </w:rPr>
              <w:t xml:space="preserve">Acquired C1-inhibitor deficiency</w:t>
            </w:r>
          </w:p>
        </w:tc>
        <w:tc>
          <w:tcPr>
            <w:tcW w:type="dxa" w:w="900"/>
            <w:shd w:fill="eef2f7" w:val="clear"/>
            <w:tcMar>
              <w:top w:type="dxa" w:w="40"/>
              <w:left w:type="dxa" w:w="90"/>
              <w:bottom w:type="dxa" w:w="40"/>
              <w:right w:type="dxa" w:w="90"/>
            </w:tcMar>
          </w:tcPr>
          <w:p>
            <w:pPr>
              <w:jc w:val="left"/>
            </w:pPr>
            <w:r>
              <w:rPr>
                <w:b w:val="false"/>
                <w:bCs w:val="false"/>
                <w:color w:val="0b0b0b"/>
                <w:sz w:val="18"/>
                <w:szCs w:val="18"/>
              </w:rPr>
              <w:t xml:space="preserve">AE-BK</w:t>
            </w:r>
          </w:p>
        </w:tc>
        <w:tc>
          <w:tcPr>
            <w:tcW w:type="dxa" w:w="1500"/>
            <w:shd w:fill="eef2f7" w:val="clear"/>
            <w:tcMar>
              <w:top w:type="dxa" w:w="40"/>
              <w:left w:type="dxa" w:w="90"/>
              <w:bottom w:type="dxa" w:w="40"/>
              <w:right w:type="dxa" w:w="90"/>
            </w:tcMar>
          </w:tcPr>
          <w:p>
            <w:pPr>
              <w:jc w:val="left"/>
            </w:pPr>
            <w:r>
              <w:rPr>
                <w:b w:val="false"/>
                <w:bCs w:val="false"/>
                <w:color w:val="0b0b0b"/>
                <w:sz w:val="18"/>
                <w:szCs w:val="18"/>
              </w:rPr>
              <w:t xml:space="preserve">PLAUSIBLE</w:t>
            </w:r>
          </w:p>
        </w:tc>
        <w:tc>
          <w:tcPr>
            <w:tcW w:type="dxa" w:w="900"/>
            <w:shd w:fill="eef2f7" w:val="clear"/>
            <w:tcMar>
              <w:top w:type="dxa" w:w="40"/>
              <w:left w:type="dxa" w:w="90"/>
              <w:bottom w:type="dxa" w:w="40"/>
              <w:right w:type="dxa" w:w="90"/>
            </w:tcMar>
          </w:tcPr>
          <w:p>
            <w:pPr>
              <w:jc w:val="right"/>
            </w:pPr>
            <w:r>
              <w:rPr>
                <w:b w:val="false"/>
                <w:bCs w:val="false"/>
                <w:color w:val="0b0b0b"/>
                <w:sz w:val="18"/>
                <w:szCs w:val="18"/>
              </w:rPr>
              <w:t xml:space="preserve">110</w:t>
            </w:r>
          </w:p>
        </w:tc>
        <w:tc>
          <w:tcPr>
            <w:tcW w:type="dxa" w:w="900"/>
            <w:shd w:fill="eef2f7" w:val="clear"/>
            <w:tcMar>
              <w:top w:type="dxa" w:w="40"/>
              <w:left w:type="dxa" w:w="90"/>
              <w:bottom w:type="dxa" w:w="40"/>
              <w:right w:type="dxa" w:w="90"/>
            </w:tcMar>
          </w:tcPr>
          <w:p>
            <w:pPr>
              <w:jc w:val="right"/>
            </w:pPr>
            <w:r>
              <w:rPr>
                <w:b w:val="false"/>
                <w:bCs w:val="false"/>
                <w:color w:val="0b0b0b"/>
                <w:sz w:val="18"/>
                <w:szCs w:val="18"/>
              </w:rPr>
              <w:t xml:space="preserve">54</w:t>
            </w:r>
          </w:p>
        </w:tc>
      </w:tr>
      <w:tr>
        <w:trPr>
          <w:tblHeader w:val="off"/>
        </w:trPr>
        <w:tc>
          <w:tcPr>
            <w:tcW w:type="dxa" w:w="3400"/>
            <w:tcMar>
              <w:top w:type="dxa" w:w="40"/>
              <w:left w:type="dxa" w:w="90"/>
              <w:bottom w:type="dxa" w:w="40"/>
              <w:right w:type="dxa" w:w="90"/>
            </w:tcMar>
          </w:tcPr>
          <w:p>
            <w:pPr>
              <w:jc w:val="left"/>
            </w:pPr>
            <w:r>
              <w:rPr>
                <w:b w:val="false"/>
                <w:bCs w:val="false"/>
                <w:color w:val="0b0b0b"/>
                <w:sz w:val="18"/>
                <w:szCs w:val="18"/>
              </w:rPr>
              <w:t xml:space="preserve">Idiopathic non-histaminergic AE</w:t>
            </w:r>
          </w:p>
        </w:tc>
        <w:tc>
          <w:tcPr>
            <w:tcW w:type="dxa" w:w="900"/>
            <w:tcMar>
              <w:top w:type="dxa" w:w="40"/>
              <w:left w:type="dxa" w:w="90"/>
              <w:bottom w:type="dxa" w:w="40"/>
              <w:right w:type="dxa" w:w="90"/>
            </w:tcMar>
          </w:tcPr>
          <w:p>
            <w:pPr>
              <w:jc w:val="left"/>
            </w:pPr>
            <w:r>
              <w:rPr>
                <w:b w:val="false"/>
                <w:bCs w:val="false"/>
                <w:color w:val="0b0b0b"/>
                <w:sz w:val="18"/>
                <w:szCs w:val="18"/>
              </w:rPr>
              <w:t xml:space="preserve">AE-UNK</w:t>
            </w:r>
          </w:p>
        </w:tc>
        <w:tc>
          <w:tcPr>
            <w:tcW w:type="dxa" w:w="1500"/>
            <w:tcMar>
              <w:top w:type="dxa" w:w="40"/>
              <w:left w:type="dxa" w:w="90"/>
              <w:bottom w:type="dxa" w:w="40"/>
              <w:right w:type="dxa" w:w="90"/>
            </w:tcMar>
          </w:tcPr>
          <w:p>
            <w:pPr>
              <w:jc w:val="left"/>
            </w:pPr>
            <w:r>
              <w:rPr>
                <w:b w:val="false"/>
                <w:bCs w:val="false"/>
                <w:color w:val="0b0b0b"/>
                <w:sz w:val="18"/>
                <w:szCs w:val="18"/>
              </w:rPr>
              <w:t xml:space="preserve">PLAUSIBLE</w:t>
            </w:r>
          </w:p>
        </w:tc>
        <w:tc>
          <w:tcPr>
            <w:tcW w:type="dxa" w:w="900"/>
            <w:tcMar>
              <w:top w:type="dxa" w:w="40"/>
              <w:left w:type="dxa" w:w="90"/>
              <w:bottom w:type="dxa" w:w="40"/>
              <w:right w:type="dxa" w:w="90"/>
            </w:tcMar>
          </w:tcPr>
          <w:p>
            <w:pPr>
              <w:jc w:val="right"/>
            </w:pPr>
            <w:r>
              <w:rPr>
                <w:b w:val="false"/>
                <w:bCs w:val="false"/>
                <w:color w:val="0b0b0b"/>
                <w:sz w:val="18"/>
                <w:szCs w:val="18"/>
              </w:rPr>
              <w:t xml:space="preserve">72</w:t>
            </w:r>
          </w:p>
        </w:tc>
        <w:tc>
          <w:tcPr>
            <w:tcW w:type="dxa" w:w="900"/>
            <w:tcMar>
              <w:top w:type="dxa" w:w="40"/>
              <w:left w:type="dxa" w:w="90"/>
              <w:bottom w:type="dxa" w:w="40"/>
              <w:right w:type="dxa" w:w="90"/>
            </w:tcMar>
          </w:tcPr>
          <w:p>
            <w:pPr>
              <w:jc w:val="right"/>
            </w:pPr>
            <w:r>
              <w:rPr>
                <w:b w:val="false"/>
                <w:bCs w:val="false"/>
                <w:color w:val="0b0b0b"/>
                <w:sz w:val="18"/>
                <w:szCs w:val="18"/>
              </w:rPr>
              <w:t xml:space="preserve">40</w:t>
            </w:r>
          </w:p>
        </w:tc>
      </w:tr>
      <w:tr>
        <w:trPr>
          <w:tblHeader w:val="off"/>
        </w:trPr>
        <w:tc>
          <w:tcPr>
            <w:tcW w:type="dxa" w:w="3400"/>
            <w:shd w:fill="eef2f7" w:val="clear"/>
            <w:tcMar>
              <w:top w:type="dxa" w:w="40"/>
              <w:left w:type="dxa" w:w="90"/>
              <w:bottom w:type="dxa" w:w="40"/>
              <w:right w:type="dxa" w:w="90"/>
            </w:tcMar>
          </w:tcPr>
          <w:p>
            <w:pPr>
              <w:jc w:val="left"/>
            </w:pPr>
            <w:r>
              <w:rPr>
                <w:b w:val="false"/>
                <w:bCs w:val="false"/>
                <w:color w:val="0b0b0b"/>
                <w:sz w:val="18"/>
                <w:szCs w:val="18"/>
              </w:rPr>
              <w:t xml:space="preserve">Hereditary AE, normal C1-inhibitor, gene unknown</w:t>
            </w:r>
          </w:p>
        </w:tc>
        <w:tc>
          <w:tcPr>
            <w:tcW w:type="dxa" w:w="900"/>
            <w:shd w:fill="eef2f7" w:val="clear"/>
            <w:tcMar>
              <w:top w:type="dxa" w:w="40"/>
              <w:left w:type="dxa" w:w="90"/>
              <w:bottom w:type="dxa" w:w="40"/>
              <w:right w:type="dxa" w:w="90"/>
            </w:tcMar>
          </w:tcPr>
          <w:p>
            <w:pPr>
              <w:jc w:val="left"/>
            </w:pPr>
            <w:r>
              <w:rPr>
                <w:b w:val="false"/>
                <w:bCs w:val="false"/>
                <w:color w:val="0b0b0b"/>
                <w:sz w:val="18"/>
                <w:szCs w:val="18"/>
              </w:rPr>
              <w:t xml:space="preserve">AE-BK</w:t>
            </w:r>
          </w:p>
        </w:tc>
        <w:tc>
          <w:tcPr>
            <w:tcW w:type="dxa" w:w="1500"/>
            <w:shd w:fill="eef2f7" w:val="clear"/>
            <w:tcMar>
              <w:top w:type="dxa" w:w="40"/>
              <w:left w:type="dxa" w:w="90"/>
              <w:bottom w:type="dxa" w:w="40"/>
              <w:right w:type="dxa" w:w="90"/>
            </w:tcMar>
          </w:tcPr>
          <w:p>
            <w:pPr>
              <w:jc w:val="left"/>
            </w:pPr>
            <w:r>
              <w:rPr>
                <w:b w:val="false"/>
                <w:bCs w:val="false"/>
                <w:color w:val="0b0b0b"/>
                <w:sz w:val="18"/>
                <w:szCs w:val="18"/>
              </w:rPr>
              <w:t xml:space="preserve">PLAUSIBLE</w:t>
            </w:r>
          </w:p>
        </w:tc>
        <w:tc>
          <w:tcPr>
            <w:tcW w:type="dxa" w:w="900"/>
            <w:shd w:fill="eef2f7" w:val="clear"/>
            <w:tcMar>
              <w:top w:type="dxa" w:w="40"/>
              <w:left w:type="dxa" w:w="90"/>
              <w:bottom w:type="dxa" w:w="40"/>
              <w:right w:type="dxa" w:w="90"/>
            </w:tcMar>
          </w:tcPr>
          <w:p>
            <w:pPr>
              <w:jc w:val="right"/>
            </w:pPr>
            <w:r>
              <w:rPr>
                <w:b w:val="false"/>
                <w:bCs w:val="false"/>
                <w:color w:val="0b0b0b"/>
                <w:sz w:val="18"/>
                <w:szCs w:val="18"/>
              </w:rPr>
              <w:t xml:space="preserve">42</w:t>
            </w:r>
          </w:p>
        </w:tc>
        <w:tc>
          <w:tcPr>
            <w:tcW w:type="dxa" w:w="900"/>
            <w:shd w:fill="eef2f7" w:val="clear"/>
            <w:tcMar>
              <w:top w:type="dxa" w:w="40"/>
              <w:left w:type="dxa" w:w="90"/>
              <w:bottom w:type="dxa" w:w="40"/>
              <w:right w:type="dxa" w:w="90"/>
            </w:tcMar>
          </w:tcPr>
          <w:p>
            <w:pPr>
              <w:jc w:val="right"/>
            </w:pPr>
            <w:r>
              <w:rPr>
                <w:b w:val="false"/>
                <w:bCs w:val="false"/>
                <w:color w:val="0b0b0b"/>
                <w:sz w:val="18"/>
                <w:szCs w:val="18"/>
              </w:rPr>
              <w:t xml:space="preserve">44</w:t>
            </w:r>
          </w:p>
        </w:tc>
      </w:tr>
      <w:tr>
        <w:trPr>
          <w:tblHeader w:val="off"/>
        </w:trPr>
        <w:tc>
          <w:tcPr>
            <w:tcW w:type="dxa" w:w="3400"/>
            <w:tcMar>
              <w:top w:type="dxa" w:w="40"/>
              <w:left w:type="dxa" w:w="90"/>
              <w:bottom w:type="dxa" w:w="40"/>
              <w:right w:type="dxa" w:w="90"/>
            </w:tcMar>
          </w:tcPr>
          <w:p>
            <w:pPr>
              <w:jc w:val="left"/>
            </w:pPr>
            <w:r>
              <w:rPr>
                <w:b w:val="false"/>
                <w:bCs w:val="false"/>
                <w:color w:val="0b0b0b"/>
                <w:sz w:val="18"/>
                <w:szCs w:val="18"/>
              </w:rPr>
              <w:t xml:space="preserve">Hereditary AE with C1-inhibitor deficiency (type unspecified)</w:t>
            </w:r>
          </w:p>
        </w:tc>
        <w:tc>
          <w:tcPr>
            <w:tcW w:type="dxa" w:w="900"/>
            <w:tcMar>
              <w:top w:type="dxa" w:w="40"/>
              <w:left w:type="dxa" w:w="90"/>
              <w:bottom w:type="dxa" w:w="40"/>
              <w:right w:type="dxa" w:w="90"/>
            </w:tcMar>
          </w:tcPr>
          <w:p>
            <w:pPr>
              <w:jc w:val="left"/>
            </w:pPr>
            <w:r>
              <w:rPr>
                <w:b w:val="false"/>
                <w:bCs w:val="false"/>
                <w:color w:val="0b0b0b"/>
                <w:sz w:val="18"/>
                <w:szCs w:val="18"/>
              </w:rPr>
              <w:t xml:space="preserve">AE-BK</w:t>
            </w:r>
          </w:p>
        </w:tc>
        <w:tc>
          <w:tcPr>
            <w:tcW w:type="dxa" w:w="1500"/>
            <w:tcMar>
              <w:top w:type="dxa" w:w="40"/>
              <w:left w:type="dxa" w:w="90"/>
              <w:bottom w:type="dxa" w:w="40"/>
              <w:right w:type="dxa" w:w="90"/>
            </w:tcMar>
          </w:tcPr>
          <w:p>
            <w:pPr>
              <w:jc w:val="left"/>
            </w:pPr>
            <w:r>
              <w:rPr>
                <w:b w:val="false"/>
                <w:bCs w:val="false"/>
                <w:color w:val="0b0b0b"/>
                <w:sz w:val="18"/>
                <w:szCs w:val="18"/>
              </w:rPr>
              <w:t xml:space="preserve">SECURE</w:t>
            </w:r>
          </w:p>
        </w:tc>
        <w:tc>
          <w:tcPr>
            <w:tcW w:type="dxa" w:w="900"/>
            <w:tcMar>
              <w:top w:type="dxa" w:w="40"/>
              <w:left w:type="dxa" w:w="90"/>
              <w:bottom w:type="dxa" w:w="40"/>
              <w:right w:type="dxa" w:w="90"/>
            </w:tcMar>
          </w:tcPr>
          <w:p>
            <w:pPr>
              <w:jc w:val="right"/>
            </w:pPr>
            <w:r>
              <w:rPr>
                <w:b w:val="false"/>
                <w:bCs w:val="false"/>
                <w:color w:val="0b0b0b"/>
                <w:sz w:val="18"/>
                <w:szCs w:val="18"/>
              </w:rPr>
              <w:t xml:space="preserve">393</w:t>
            </w:r>
          </w:p>
        </w:tc>
        <w:tc>
          <w:tcPr>
            <w:tcW w:type="dxa" w:w="900"/>
            <w:tcMar>
              <w:top w:type="dxa" w:w="40"/>
              <w:left w:type="dxa" w:w="90"/>
              <w:bottom w:type="dxa" w:w="40"/>
              <w:right w:type="dxa" w:w="90"/>
            </w:tcMar>
          </w:tcPr>
          <w:p>
            <w:pPr>
              <w:jc w:val="right"/>
            </w:pPr>
            <w:r>
              <w:rPr>
                <w:b w:val="false"/>
                <w:bCs w:val="false"/>
                <w:color w:val="0b0b0b"/>
                <w:sz w:val="18"/>
                <w:szCs w:val="18"/>
              </w:rPr>
              <w:t xml:space="preserve">244</w:t>
            </w:r>
          </w:p>
        </w:tc>
      </w:tr>
      <w:tr>
        <w:trPr>
          <w:tblHeader w:val="off"/>
        </w:trPr>
        <w:tc>
          <w:tcPr>
            <w:tcW w:type="dxa" w:w="3400"/>
            <w:shd w:fill="eef2f7" w:val="clear"/>
            <w:tcMar>
              <w:top w:type="dxa" w:w="40"/>
              <w:left w:type="dxa" w:w="90"/>
              <w:bottom w:type="dxa" w:w="40"/>
              <w:right w:type="dxa" w:w="90"/>
            </w:tcMar>
          </w:tcPr>
          <w:p>
            <w:pPr>
              <w:jc w:val="left"/>
            </w:pPr>
            <w:r>
              <w:rPr>
                <w:b w:val="false"/>
                <w:bCs w:val="false"/>
                <w:color w:val="0b0b0b"/>
                <w:sz w:val="18"/>
                <w:szCs w:val="18"/>
              </w:rPr>
              <w:t xml:space="preserve">Episodic angioedema with eosinophilia (Gleich syndrome)</w:t>
            </w:r>
          </w:p>
        </w:tc>
        <w:tc>
          <w:tcPr>
            <w:tcW w:type="dxa" w:w="900"/>
            <w:shd w:fill="eef2f7" w:val="clear"/>
            <w:tcMar>
              <w:top w:type="dxa" w:w="40"/>
              <w:left w:type="dxa" w:w="90"/>
              <w:bottom w:type="dxa" w:w="40"/>
              <w:right w:type="dxa" w:w="90"/>
            </w:tcMar>
          </w:tcPr>
          <w:p>
            <w:pPr>
              <w:jc w:val="left"/>
            </w:pPr>
            <w:r>
              <w:rPr>
                <w:b w:val="false"/>
                <w:bCs w:val="false"/>
                <w:color w:val="0b0b0b"/>
                <w:sz w:val="18"/>
                <w:szCs w:val="18"/>
              </w:rPr>
              <w:t xml:space="preserve">AE-UNK</w:t>
            </w:r>
          </w:p>
        </w:tc>
        <w:tc>
          <w:tcPr>
            <w:tcW w:type="dxa" w:w="1500"/>
            <w:shd w:fill="eef2f7" w:val="clear"/>
            <w:tcMar>
              <w:top w:type="dxa" w:w="40"/>
              <w:left w:type="dxa" w:w="90"/>
              <w:bottom w:type="dxa" w:w="40"/>
              <w:right w:type="dxa" w:w="90"/>
            </w:tcMar>
          </w:tcPr>
          <w:p>
            <w:pPr>
              <w:jc w:val="left"/>
            </w:pPr>
            <w:r>
              <w:rPr>
                <w:b w:val="false"/>
                <w:bCs w:val="false"/>
                <w:color w:val="0b0b0b"/>
                <w:sz w:val="18"/>
                <w:szCs w:val="18"/>
              </w:rPr>
              <w:t xml:space="preserve">UNTESTED</w:t>
            </w:r>
          </w:p>
        </w:tc>
        <w:tc>
          <w:tcPr>
            <w:tcW w:type="dxa" w:w="900"/>
            <w:shd w:fill="eef2f7" w:val="clear"/>
            <w:tcMar>
              <w:top w:type="dxa" w:w="40"/>
              <w:left w:type="dxa" w:w="90"/>
              <w:bottom w:type="dxa" w:w="40"/>
              <w:right w:type="dxa" w:w="90"/>
            </w:tcMar>
          </w:tcPr>
          <w:p>
            <w:pPr>
              <w:jc w:val="right"/>
            </w:pPr>
            <w:r>
              <w:rPr>
                <w:b w:val="false"/>
                <w:bCs w:val="false"/>
                <w:color w:val="0b0b0b"/>
                <w:sz w:val="18"/>
                <w:szCs w:val="18"/>
              </w:rPr>
              <w:t xml:space="preserve">28</w:t>
            </w:r>
          </w:p>
        </w:tc>
        <w:tc>
          <w:tcPr>
            <w:tcW w:type="dxa" w:w="900"/>
            <w:shd w:fill="eef2f7" w:val="clear"/>
            <w:tcMar>
              <w:top w:type="dxa" w:w="40"/>
              <w:left w:type="dxa" w:w="90"/>
              <w:bottom w:type="dxa" w:w="40"/>
              <w:right w:type="dxa" w:w="90"/>
            </w:tcMar>
          </w:tcPr>
          <w:p>
            <w:pPr>
              <w:jc w:val="right"/>
            </w:pPr>
            <w:r>
              <w:rPr>
                <w:b w:val="false"/>
                <w:bCs w:val="false"/>
                <w:color w:val="0b0b0b"/>
                <w:sz w:val="18"/>
                <w:szCs w:val="18"/>
              </w:rPr>
              <w:t xml:space="preserve">5</w:t>
            </w:r>
          </w:p>
        </w:tc>
      </w:tr>
      <w:tr>
        <w:trPr>
          <w:tblHeader w:val="off"/>
        </w:trPr>
        <w:tc>
          <w:tcPr>
            <w:tcW w:type="dxa" w:w="3400"/>
            <w:tcMar>
              <w:top w:type="dxa" w:w="40"/>
              <w:left w:type="dxa" w:w="90"/>
              <w:bottom w:type="dxa" w:w="40"/>
              <w:right w:type="dxa" w:w="90"/>
            </w:tcMar>
          </w:tcPr>
          <w:p>
            <w:pPr>
              <w:jc w:val="left"/>
            </w:pPr>
            <w:r>
              <w:rPr>
                <w:b w:val="false"/>
                <w:bCs w:val="false"/>
                <w:color w:val="0b0b0b"/>
                <w:sz w:val="18"/>
                <w:szCs w:val="18"/>
              </w:rPr>
              <w:t xml:space="preserve">Mixed HAE (C1-inhibitor and Factor XII)</w:t>
            </w:r>
          </w:p>
        </w:tc>
        <w:tc>
          <w:tcPr>
            <w:tcW w:type="dxa" w:w="900"/>
            <w:tcMar>
              <w:top w:type="dxa" w:w="40"/>
              <w:left w:type="dxa" w:w="90"/>
              <w:bottom w:type="dxa" w:w="40"/>
              <w:right w:type="dxa" w:w="90"/>
            </w:tcMar>
          </w:tcPr>
          <w:p>
            <w:pPr>
              <w:jc w:val="left"/>
            </w:pPr>
            <w:r>
              <w:rPr>
                <w:b w:val="false"/>
                <w:bCs w:val="false"/>
                <w:color w:val="0b0b0b"/>
                <w:sz w:val="18"/>
                <w:szCs w:val="18"/>
              </w:rPr>
              <w:t xml:space="preserve">AE-BK</w:t>
            </w:r>
          </w:p>
        </w:tc>
        <w:tc>
          <w:tcPr>
            <w:tcW w:type="dxa" w:w="1500"/>
            <w:tcMar>
              <w:top w:type="dxa" w:w="40"/>
              <w:left w:type="dxa" w:w="90"/>
              <w:bottom w:type="dxa" w:w="40"/>
              <w:right w:type="dxa" w:w="90"/>
            </w:tcMar>
          </w:tcPr>
          <w:p>
            <w:pPr>
              <w:jc w:val="left"/>
            </w:pPr>
            <w:r>
              <w:rPr>
                <w:b w:val="false"/>
                <w:bCs w:val="false"/>
                <w:color w:val="0b0b0b"/>
                <w:sz w:val="18"/>
                <w:szCs w:val="18"/>
              </w:rPr>
              <w:t xml:space="preserve">UNTESTED</w:t>
            </w:r>
          </w:p>
        </w:tc>
        <w:tc>
          <w:tcPr>
            <w:tcW w:type="dxa" w:w="900"/>
            <w:tcMar>
              <w:top w:type="dxa" w:w="40"/>
              <w:left w:type="dxa" w:w="90"/>
              <w:bottom w:type="dxa" w:w="40"/>
              <w:right w:type="dxa" w:w="90"/>
            </w:tcMar>
          </w:tcPr>
          <w:p>
            <w:pPr>
              <w:jc w:val="right"/>
            </w:pPr>
            <w:r>
              <w:rPr>
                <w:b w:val="false"/>
                <w:bCs w:val="false"/>
                <w:color w:val="0b0b0b"/>
                <w:sz w:val="18"/>
                <w:szCs w:val="18"/>
              </w:rPr>
              <w:t xml:space="preserve">18</w:t>
            </w:r>
          </w:p>
        </w:tc>
        <w:tc>
          <w:tcPr>
            <w:tcW w:type="dxa" w:w="900"/>
            <w:tcMar>
              <w:top w:type="dxa" w:w="40"/>
              <w:left w:type="dxa" w:w="90"/>
              <w:bottom w:type="dxa" w:w="40"/>
              <w:right w:type="dxa" w:w="90"/>
            </w:tcMar>
          </w:tcPr>
          <w:p>
            <w:pPr>
              <w:jc w:val="right"/>
            </w:pPr>
            <w:r>
              <w:rPr>
                <w:b w:val="false"/>
                <w:bCs w:val="false"/>
                <w:color w:val="0b0b0b"/>
                <w:sz w:val="18"/>
                <w:szCs w:val="18"/>
              </w:rPr>
              <w:t xml:space="preserve">1</w:t>
            </w:r>
          </w:p>
        </w:tc>
      </w:tr>
      <w:tr>
        <w:trPr>
          <w:tblHeader w:val="off"/>
        </w:trPr>
        <w:tc>
          <w:tcPr>
            <w:tcW w:type="dxa" w:w="3400"/>
            <w:shd w:fill="eef2f7" w:val="clear"/>
            <w:tcMar>
              <w:top w:type="dxa" w:w="40"/>
              <w:left w:type="dxa" w:w="90"/>
              <w:bottom w:type="dxa" w:w="40"/>
              <w:right w:type="dxa" w:w="90"/>
            </w:tcMar>
          </w:tcPr>
          <w:p>
            <w:pPr>
              <w:jc w:val="left"/>
            </w:pPr>
            <w:r>
              <w:rPr>
                <w:b w:val="false"/>
                <w:bCs w:val="false"/>
                <w:color w:val="0b0b0b"/>
                <w:sz w:val="18"/>
                <w:szCs w:val="18"/>
              </w:rPr>
              <w:t xml:space="preserve">Idiopathic AE (unspecified)</w:t>
            </w:r>
          </w:p>
        </w:tc>
        <w:tc>
          <w:tcPr>
            <w:tcW w:type="dxa" w:w="900"/>
            <w:shd w:fill="eef2f7" w:val="clear"/>
            <w:tcMar>
              <w:top w:type="dxa" w:w="40"/>
              <w:left w:type="dxa" w:w="90"/>
              <w:bottom w:type="dxa" w:w="40"/>
              <w:right w:type="dxa" w:w="90"/>
            </w:tcMar>
          </w:tcPr>
          <w:p>
            <w:pPr>
              <w:jc w:val="left"/>
            </w:pPr>
            <w:r>
              <w:rPr>
                <w:b w:val="false"/>
                <w:bCs w:val="false"/>
                <w:color w:val="0b0b0b"/>
                <w:sz w:val="18"/>
                <w:szCs w:val="18"/>
              </w:rPr>
              <w:t xml:space="preserve">AE-UNK</w:t>
            </w:r>
          </w:p>
        </w:tc>
        <w:tc>
          <w:tcPr>
            <w:tcW w:type="dxa" w:w="1500"/>
            <w:shd w:fill="eef2f7" w:val="clear"/>
            <w:tcMar>
              <w:top w:type="dxa" w:w="40"/>
              <w:left w:type="dxa" w:w="90"/>
              <w:bottom w:type="dxa" w:w="40"/>
              <w:right w:type="dxa" w:w="90"/>
            </w:tcMar>
          </w:tcPr>
          <w:p>
            <w:pPr>
              <w:jc w:val="left"/>
            </w:pPr>
            <w:r>
              <w:rPr>
                <w:b w:val="false"/>
                <w:bCs w:val="false"/>
                <w:color w:val="0b0b0b"/>
                <w:sz w:val="18"/>
                <w:szCs w:val="18"/>
              </w:rPr>
              <w:t xml:space="preserve">UNTESTED</w:t>
            </w:r>
          </w:p>
        </w:tc>
        <w:tc>
          <w:tcPr>
            <w:tcW w:type="dxa" w:w="900"/>
            <w:shd w:fill="eef2f7" w:val="clear"/>
            <w:tcMar>
              <w:top w:type="dxa" w:w="40"/>
              <w:left w:type="dxa" w:w="90"/>
              <w:bottom w:type="dxa" w:w="40"/>
              <w:right w:type="dxa" w:w="90"/>
            </w:tcMar>
          </w:tcPr>
          <w:p>
            <w:pPr>
              <w:jc w:val="right"/>
            </w:pPr>
            <w:r>
              <w:rPr>
                <w:b w:val="false"/>
                <w:bCs w:val="false"/>
                <w:color w:val="0b0b0b"/>
                <w:sz w:val="18"/>
                <w:szCs w:val="18"/>
              </w:rPr>
              <w:t xml:space="preserve">18</w:t>
            </w:r>
          </w:p>
        </w:tc>
        <w:tc>
          <w:tcPr>
            <w:tcW w:type="dxa" w:w="900"/>
            <w:shd w:fill="eef2f7" w:val="clear"/>
            <w:tcMar>
              <w:top w:type="dxa" w:w="40"/>
              <w:left w:type="dxa" w:w="90"/>
              <w:bottom w:type="dxa" w:w="40"/>
              <w:right w:type="dxa" w:w="90"/>
            </w:tcMar>
          </w:tcPr>
          <w:p>
            <w:pPr>
              <w:jc w:val="right"/>
            </w:pPr>
            <w:r>
              <w:rPr>
                <w:b w:val="false"/>
                <w:bCs w:val="false"/>
                <w:color w:val="0b0b0b"/>
                <w:sz w:val="18"/>
                <w:szCs w:val="18"/>
              </w:rPr>
              <w:t xml:space="preserve">14</w:t>
            </w:r>
          </w:p>
        </w:tc>
      </w:tr>
      <w:tr>
        <w:trPr>
          <w:tblHeader w:val="off"/>
        </w:trPr>
        <w:tc>
          <w:tcPr>
            <w:tcW w:type="dxa" w:w="3400"/>
            <w:tcMar>
              <w:top w:type="dxa" w:w="40"/>
              <w:left w:type="dxa" w:w="90"/>
              <w:bottom w:type="dxa" w:w="40"/>
              <w:right w:type="dxa" w:w="90"/>
            </w:tcMar>
          </w:tcPr>
          <w:p>
            <w:pPr>
              <w:jc w:val="left"/>
            </w:pPr>
            <w:r>
              <w:rPr>
                <w:b w:val="false"/>
                <w:bCs w:val="false"/>
                <w:color w:val="0b0b0b"/>
                <w:sz w:val="18"/>
                <w:szCs w:val="18"/>
              </w:rPr>
              <w:t xml:space="preserve">Hereditary AE with C1-inhibitor deficiency, type 2</w:t>
            </w:r>
          </w:p>
        </w:tc>
        <w:tc>
          <w:tcPr>
            <w:tcW w:type="dxa" w:w="900"/>
            <w:tcMar>
              <w:top w:type="dxa" w:w="40"/>
              <w:left w:type="dxa" w:w="90"/>
              <w:bottom w:type="dxa" w:w="40"/>
              <w:right w:type="dxa" w:w="90"/>
            </w:tcMar>
          </w:tcPr>
          <w:p>
            <w:pPr>
              <w:jc w:val="left"/>
            </w:pPr>
            <w:r>
              <w:rPr>
                <w:b w:val="false"/>
                <w:bCs w:val="false"/>
                <w:color w:val="0b0b0b"/>
                <w:sz w:val="18"/>
                <w:szCs w:val="18"/>
              </w:rPr>
              <w:t xml:space="preserve">AE-BK</w:t>
            </w:r>
          </w:p>
        </w:tc>
        <w:tc>
          <w:tcPr>
            <w:tcW w:type="dxa" w:w="1500"/>
            <w:tcMar>
              <w:top w:type="dxa" w:w="40"/>
              <w:left w:type="dxa" w:w="90"/>
              <w:bottom w:type="dxa" w:w="40"/>
              <w:right w:type="dxa" w:w="90"/>
            </w:tcMar>
          </w:tcPr>
          <w:p>
            <w:pPr>
              <w:jc w:val="left"/>
            </w:pPr>
            <w:r>
              <w:rPr>
                <w:b w:val="false"/>
                <w:bCs w:val="false"/>
                <w:color w:val="0b0b0b"/>
                <w:sz w:val="18"/>
                <w:szCs w:val="18"/>
              </w:rPr>
              <w:t xml:space="preserve">UNTESTED</w:t>
            </w:r>
          </w:p>
        </w:tc>
        <w:tc>
          <w:tcPr>
            <w:tcW w:type="dxa" w:w="900"/>
            <w:tcMar>
              <w:top w:type="dxa" w:w="40"/>
              <w:left w:type="dxa" w:w="90"/>
              <w:bottom w:type="dxa" w:w="40"/>
              <w:right w:type="dxa" w:w="90"/>
            </w:tcMar>
          </w:tcPr>
          <w:p>
            <w:pPr>
              <w:jc w:val="right"/>
            </w:pPr>
            <w:r>
              <w:rPr>
                <w:b w:val="false"/>
                <w:bCs w:val="false"/>
                <w:color w:val="0b0b0b"/>
                <w:sz w:val="18"/>
                <w:szCs w:val="18"/>
              </w:rPr>
              <w:t xml:space="preserve">1</w:t>
            </w:r>
          </w:p>
        </w:tc>
        <w:tc>
          <w:tcPr>
            <w:tcW w:type="dxa" w:w="900"/>
            <w:tcMar>
              <w:top w:type="dxa" w:w="40"/>
              <w:left w:type="dxa" w:w="90"/>
              <w:bottom w:type="dxa" w:w="40"/>
              <w:right w:type="dxa" w:w="90"/>
            </w:tcMar>
          </w:tcPr>
          <w:p>
            <w:pPr>
              <w:jc w:val="right"/>
            </w:pPr>
            <w:r>
              <w:rPr>
                <w:b w:val="false"/>
                <w:bCs w:val="false"/>
                <w:color w:val="0b0b0b"/>
                <w:sz w:val="18"/>
                <w:szCs w:val="18"/>
              </w:rPr>
              <w:t xml:space="preserve">1</w:t>
            </w:r>
          </w:p>
        </w:tc>
      </w:tr>
      <w:tr>
        <w:trPr>
          <w:tblHeader w:val="off"/>
        </w:trPr>
        <w:tc>
          <w:tcPr>
            <w:tcW w:type="dxa" w:w="3400"/>
            <w:shd w:fill="eef2f7" w:val="clear"/>
            <w:tcMar>
              <w:top w:type="dxa" w:w="40"/>
              <w:left w:type="dxa" w:w="90"/>
              <w:bottom w:type="dxa" w:w="40"/>
              <w:right w:type="dxa" w:w="90"/>
            </w:tcMar>
          </w:tcPr>
          <w:p>
            <w:pPr>
              <w:jc w:val="left"/>
            </w:pPr>
            <w:r>
              <w:rPr>
                <w:b w:val="false"/>
                <w:bCs w:val="false"/>
                <w:color w:val="0b0b0b"/>
                <w:sz w:val="18"/>
                <w:szCs w:val="18"/>
              </w:rPr>
              <w:t xml:space="preserve">Medication-associated AE (unspecified drug)</w:t>
            </w:r>
          </w:p>
        </w:tc>
        <w:tc>
          <w:tcPr>
            <w:tcW w:type="dxa" w:w="900"/>
            <w:shd w:fill="eef2f7" w:val="clear"/>
            <w:tcMar>
              <w:top w:type="dxa" w:w="40"/>
              <w:left w:type="dxa" w:w="90"/>
              <w:bottom w:type="dxa" w:w="40"/>
              <w:right w:type="dxa" w:w="90"/>
            </w:tcMar>
          </w:tcPr>
          <w:p>
            <w:pPr>
              <w:jc w:val="left"/>
            </w:pPr>
            <w:r>
              <w:rPr>
                <w:b w:val="false"/>
                <w:bCs w:val="false"/>
                <w:color w:val="0b0b0b"/>
                <w:sz w:val="18"/>
                <w:szCs w:val="18"/>
              </w:rPr>
              <w:t xml:space="preserve">AE-DI</w:t>
            </w:r>
          </w:p>
        </w:tc>
        <w:tc>
          <w:tcPr>
            <w:tcW w:type="dxa" w:w="1500"/>
            <w:shd w:fill="eef2f7" w:val="clear"/>
            <w:tcMar>
              <w:top w:type="dxa" w:w="40"/>
              <w:left w:type="dxa" w:w="90"/>
              <w:bottom w:type="dxa" w:w="40"/>
              <w:right w:type="dxa" w:w="90"/>
            </w:tcMar>
          </w:tcPr>
          <w:p>
            <w:pPr>
              <w:jc w:val="left"/>
            </w:pPr>
            <w:r>
              <w:rPr>
                <w:b w:val="false"/>
                <w:bCs w:val="false"/>
                <w:color w:val="0b0b0b"/>
                <w:sz w:val="18"/>
                <w:szCs w:val="18"/>
              </w:rPr>
              <w:t xml:space="preserve">UNTESTED</w:t>
            </w:r>
          </w:p>
        </w:tc>
        <w:tc>
          <w:tcPr>
            <w:tcW w:type="dxa" w:w="900"/>
            <w:shd w:fill="eef2f7" w:val="clear"/>
            <w:tcMar>
              <w:top w:type="dxa" w:w="40"/>
              <w:left w:type="dxa" w:w="90"/>
              <w:bottom w:type="dxa" w:w="40"/>
              <w:right w:type="dxa" w:w="90"/>
            </w:tcMar>
          </w:tcPr>
          <w:p>
            <w:pPr>
              <w:jc w:val="right"/>
            </w:pPr>
            <w:r>
              <w:rPr>
                <w:b w:val="false"/>
                <w:bCs w:val="false"/>
                <w:color w:val="0b0b0b"/>
                <w:sz w:val="18"/>
                <w:szCs w:val="18"/>
              </w:rPr>
              <w:t xml:space="preserve">1</w:t>
            </w:r>
          </w:p>
        </w:tc>
        <w:tc>
          <w:tcPr>
            <w:tcW w:type="dxa" w:w="900"/>
            <w:shd w:fill="eef2f7" w:val="clear"/>
            <w:tcMar>
              <w:top w:type="dxa" w:w="40"/>
              <w:left w:type="dxa" w:w="90"/>
              <w:bottom w:type="dxa" w:w="40"/>
              <w:right w:type="dxa" w:w="90"/>
            </w:tcMar>
          </w:tcPr>
          <w:p>
            <w:pPr>
              <w:jc w:val="right"/>
            </w:pPr>
            <w:r>
              <w:rPr>
                <w:b w:val="false"/>
                <w:bCs w:val="false"/>
                <w:color w:val="0b0b0b"/>
                <w:sz w:val="18"/>
                <w:szCs w:val="18"/>
              </w:rPr>
              <w:t xml:space="preserve">11</w:t>
            </w:r>
          </w:p>
        </w:tc>
      </w:tr>
      <w:tr>
        <w:trPr>
          <w:tblHeader w:val="off"/>
        </w:trPr>
        <w:tc>
          <w:tcPr>
            <w:tcW w:type="dxa" w:w="3400"/>
            <w:tcMar>
              <w:top w:type="dxa" w:w="40"/>
              <w:left w:type="dxa" w:w="90"/>
              <w:bottom w:type="dxa" w:w="40"/>
              <w:right w:type="dxa" w:w="90"/>
            </w:tcMar>
          </w:tcPr>
          <w:p>
            <w:pPr>
              <w:jc w:val="left"/>
            </w:pPr>
            <w:r>
              <w:rPr>
                <w:b w:val="false"/>
                <w:bCs w:val="false"/>
                <w:color w:val="0b0b0b"/>
                <w:sz w:val="18"/>
                <w:szCs w:val="18"/>
              </w:rPr>
              <w:t xml:space="preserve">Mixed acute angioedema</w:t>
            </w:r>
          </w:p>
        </w:tc>
        <w:tc>
          <w:tcPr>
            <w:tcW w:type="dxa" w:w="900"/>
            <w:tcMar>
              <w:top w:type="dxa" w:w="40"/>
              <w:left w:type="dxa" w:w="90"/>
              <w:bottom w:type="dxa" w:w="40"/>
              <w:right w:type="dxa" w:w="90"/>
            </w:tcMar>
          </w:tcPr>
          <w:p>
            <w:pPr>
              <w:jc w:val="left"/>
            </w:pPr>
            <w:r>
              <w:rPr>
                <w:b w:val="false"/>
                <w:bCs w:val="false"/>
                <w:color w:val="0b0b0b"/>
                <w:sz w:val="18"/>
                <w:szCs w:val="18"/>
              </w:rPr>
              <w:t xml:space="preserve">AE-UNK</w:t>
            </w:r>
          </w:p>
        </w:tc>
        <w:tc>
          <w:tcPr>
            <w:tcW w:type="dxa" w:w="1500"/>
            <w:tcMar>
              <w:top w:type="dxa" w:w="40"/>
              <w:left w:type="dxa" w:w="90"/>
              <w:bottom w:type="dxa" w:w="40"/>
              <w:right w:type="dxa" w:w="90"/>
            </w:tcMar>
          </w:tcPr>
          <w:p>
            <w:pPr>
              <w:jc w:val="left"/>
            </w:pPr>
            <w:r>
              <w:rPr>
                <w:b w:val="false"/>
                <w:bCs w:val="false"/>
                <w:color w:val="0b0b0b"/>
                <w:sz w:val="18"/>
                <w:szCs w:val="18"/>
              </w:rPr>
              <w:t xml:space="preserve">UNTESTED</w:t>
            </w:r>
          </w:p>
        </w:tc>
        <w:tc>
          <w:tcPr>
            <w:tcW w:type="dxa" w:w="900"/>
            <w:tcMar>
              <w:top w:type="dxa" w:w="40"/>
              <w:left w:type="dxa" w:w="90"/>
              <w:bottom w:type="dxa" w:w="40"/>
              <w:right w:type="dxa" w:w="90"/>
            </w:tcMar>
          </w:tcPr>
          <w:p>
            <w:pPr>
              <w:jc w:val="right"/>
            </w:pPr>
            <w:r>
              <w:rPr>
                <w:b w:val="false"/>
                <w:bCs w:val="false"/>
                <w:color w:val="0b0b0b"/>
                <w:sz w:val="18"/>
                <w:szCs w:val="18"/>
              </w:rPr>
              <w:t xml:space="preserve">0</w:t>
            </w:r>
          </w:p>
        </w:tc>
        <w:tc>
          <w:tcPr>
            <w:tcW w:type="dxa" w:w="900"/>
            <w:tcMar>
              <w:top w:type="dxa" w:w="40"/>
              <w:left w:type="dxa" w:w="90"/>
              <w:bottom w:type="dxa" w:w="40"/>
              <w:right w:type="dxa" w:w="90"/>
            </w:tcMar>
          </w:tcPr>
          <w:p>
            <w:pPr>
              <w:jc w:val="right"/>
            </w:pPr>
            <w:r>
              <w:rPr>
                <w:b w:val="false"/>
                <w:bCs w:val="false"/>
                <w:color w:val="0b0b0b"/>
                <w:sz w:val="18"/>
                <w:szCs w:val="18"/>
              </w:rPr>
              <w:t xml:space="preserve">1</w:t>
            </w:r>
          </w:p>
        </w:tc>
      </w:tr>
      <w:tr>
        <w:trPr>
          <w:tblHeader w:val="off"/>
        </w:trPr>
        <w:tc>
          <w:tcPr>
            <w:tcW w:type="dxa" w:w="3400"/>
            <w:shd w:fill="eef2f7" w:val="clear"/>
            <w:tcMar>
              <w:top w:type="dxa" w:w="40"/>
              <w:left w:type="dxa" w:w="90"/>
              <w:bottom w:type="dxa" w:w="40"/>
              <w:right w:type="dxa" w:w="90"/>
            </w:tcMar>
          </w:tcPr>
          <w:p>
            <w:pPr>
              <w:jc w:val="left"/>
            </w:pPr>
            <w:r>
              <w:rPr>
                <w:b w:val="false"/>
                <w:bCs w:val="false"/>
                <w:color w:val="0b0b0b"/>
                <w:sz w:val="18"/>
                <w:szCs w:val="18"/>
              </w:rPr>
              <w:t xml:space="preserve">Bradykinin-mediated AE (unspecified)</w:t>
            </w:r>
          </w:p>
        </w:tc>
        <w:tc>
          <w:tcPr>
            <w:tcW w:type="dxa" w:w="900"/>
            <w:shd w:fill="eef2f7" w:val="clear"/>
            <w:tcMar>
              <w:top w:type="dxa" w:w="40"/>
              <w:left w:type="dxa" w:w="90"/>
              <w:bottom w:type="dxa" w:w="40"/>
              <w:right w:type="dxa" w:w="90"/>
            </w:tcMar>
          </w:tcPr>
          <w:p>
            <w:pPr>
              <w:jc w:val="left"/>
            </w:pPr>
            <w:r>
              <w:rPr>
                <w:b w:val="false"/>
                <w:bCs w:val="false"/>
                <w:color w:val="0b0b0b"/>
                <w:sz w:val="18"/>
                <w:szCs w:val="18"/>
              </w:rPr>
              <w:t xml:space="preserve">AE-BK</w:t>
            </w:r>
          </w:p>
        </w:tc>
        <w:tc>
          <w:tcPr>
            <w:tcW w:type="dxa" w:w="1500"/>
            <w:shd w:fill="eef2f7" w:val="clear"/>
            <w:tcMar>
              <w:top w:type="dxa" w:w="40"/>
              <w:left w:type="dxa" w:w="90"/>
              <w:bottom w:type="dxa" w:w="40"/>
              <w:right w:type="dxa" w:w="90"/>
            </w:tcMar>
          </w:tcPr>
          <w:p>
            <w:pPr>
              <w:jc w:val="left"/>
            </w:pPr>
            <w:r>
              <w:rPr>
                <w:b w:val="false"/>
                <w:bCs w:val="false"/>
                <w:color w:val="0b0b0b"/>
                <w:sz w:val="18"/>
                <w:szCs w:val="18"/>
              </w:rPr>
              <w:t xml:space="preserve">UNTESTED</w:t>
            </w:r>
          </w:p>
        </w:tc>
        <w:tc>
          <w:tcPr>
            <w:tcW w:type="dxa" w:w="900"/>
            <w:shd w:fill="eef2f7" w:val="clear"/>
            <w:tcMar>
              <w:top w:type="dxa" w:w="40"/>
              <w:left w:type="dxa" w:w="90"/>
              <w:bottom w:type="dxa" w:w="40"/>
              <w:right w:type="dxa" w:w="90"/>
            </w:tcMar>
          </w:tcPr>
          <w:p>
            <w:pPr>
              <w:jc w:val="right"/>
            </w:pPr>
            <w:r>
              <w:rPr>
                <w:b w:val="false"/>
                <w:bCs w:val="false"/>
                <w:color w:val="0b0b0b"/>
                <w:sz w:val="18"/>
                <w:szCs w:val="18"/>
              </w:rPr>
              <w:t xml:space="preserve">0</w:t>
            </w:r>
          </w:p>
        </w:tc>
        <w:tc>
          <w:tcPr>
            <w:tcW w:type="dxa" w:w="900"/>
            <w:shd w:fill="eef2f7" w:val="clear"/>
            <w:tcMar>
              <w:top w:type="dxa" w:w="40"/>
              <w:left w:type="dxa" w:w="90"/>
              <w:bottom w:type="dxa" w:w="40"/>
              <w:right w:type="dxa" w:w="90"/>
            </w:tcMar>
          </w:tcPr>
          <w:p>
            <w:pPr>
              <w:jc w:val="right"/>
            </w:pPr>
            <w:r>
              <w:rPr>
                <w:b w:val="false"/>
                <w:bCs w:val="false"/>
                <w:color w:val="0b0b0b"/>
                <w:sz w:val="18"/>
                <w:szCs w:val="18"/>
              </w:rPr>
              <w:t xml:space="preserve">1</w:t>
            </w:r>
          </w:p>
        </w:tc>
      </w:tr>
      <w:tr>
        <w:trPr>
          <w:tblHeader w:val="off"/>
        </w:trPr>
        <w:tc>
          <w:tcPr>
            <w:tcW w:type="dxa" w:w="3400"/>
            <w:tcMar>
              <w:top w:type="dxa" w:w="40"/>
              <w:left w:type="dxa" w:w="90"/>
              <w:bottom w:type="dxa" w:w="40"/>
              <w:right w:type="dxa" w:w="90"/>
            </w:tcMar>
          </w:tcPr>
          <w:p>
            <w:pPr>
              <w:jc w:val="left"/>
            </w:pPr>
            <w:r>
              <w:rPr>
                <w:b w:val="false"/>
                <w:bCs w:val="false"/>
                <w:color w:val="0b0b0b"/>
                <w:sz w:val="18"/>
                <w:szCs w:val="18"/>
              </w:rPr>
              <w:t xml:space="preserve">Drug-induced AE (unspecified)</w:t>
            </w:r>
          </w:p>
        </w:tc>
        <w:tc>
          <w:tcPr>
            <w:tcW w:type="dxa" w:w="900"/>
            <w:tcMar>
              <w:top w:type="dxa" w:w="40"/>
              <w:left w:type="dxa" w:w="90"/>
              <w:bottom w:type="dxa" w:w="40"/>
              <w:right w:type="dxa" w:w="90"/>
            </w:tcMar>
          </w:tcPr>
          <w:p>
            <w:pPr>
              <w:jc w:val="left"/>
            </w:pPr>
            <w:r>
              <w:rPr>
                <w:b w:val="false"/>
                <w:bCs w:val="false"/>
                <w:color w:val="0b0b0b"/>
                <w:sz w:val="18"/>
                <w:szCs w:val="18"/>
              </w:rPr>
              <w:t xml:space="preserve">AE-DI</w:t>
            </w:r>
          </w:p>
        </w:tc>
        <w:tc>
          <w:tcPr>
            <w:tcW w:type="dxa" w:w="1500"/>
            <w:tcMar>
              <w:top w:type="dxa" w:w="40"/>
              <w:left w:type="dxa" w:w="90"/>
              <w:bottom w:type="dxa" w:w="40"/>
              <w:right w:type="dxa" w:w="90"/>
            </w:tcMar>
          </w:tcPr>
          <w:p>
            <w:pPr>
              <w:jc w:val="left"/>
            </w:pPr>
            <w:r>
              <w:rPr>
                <w:b w:val="false"/>
                <w:bCs w:val="false"/>
                <w:color w:val="0b0b0b"/>
                <w:sz w:val="18"/>
                <w:szCs w:val="18"/>
              </w:rPr>
              <w:t xml:space="preserve">UNTESTED</w:t>
            </w:r>
          </w:p>
        </w:tc>
        <w:tc>
          <w:tcPr>
            <w:tcW w:type="dxa" w:w="900"/>
            <w:tcMar>
              <w:top w:type="dxa" w:w="40"/>
              <w:left w:type="dxa" w:w="90"/>
              <w:bottom w:type="dxa" w:w="40"/>
              <w:right w:type="dxa" w:w="90"/>
            </w:tcMar>
          </w:tcPr>
          <w:p>
            <w:pPr>
              <w:jc w:val="right"/>
            </w:pPr>
            <w:r>
              <w:rPr>
                <w:b w:val="false"/>
                <w:bCs w:val="false"/>
                <w:color w:val="0b0b0b"/>
                <w:sz w:val="18"/>
                <w:szCs w:val="18"/>
              </w:rPr>
              <w:t xml:space="preserve">0</w:t>
            </w:r>
          </w:p>
        </w:tc>
        <w:tc>
          <w:tcPr>
            <w:tcW w:type="dxa" w:w="900"/>
            <w:tcMar>
              <w:top w:type="dxa" w:w="40"/>
              <w:left w:type="dxa" w:w="90"/>
              <w:bottom w:type="dxa" w:w="40"/>
              <w:right w:type="dxa" w:w="90"/>
            </w:tcMar>
          </w:tcPr>
          <w:p>
            <w:pPr>
              <w:jc w:val="right"/>
            </w:pPr>
            <w:r>
              <w:rPr>
                <w:b w:val="false"/>
                <w:bCs w:val="false"/>
                <w:color w:val="0b0b0b"/>
                <w:sz w:val="18"/>
                <w:szCs w:val="18"/>
              </w:rPr>
              <w:t xml:space="preserve">0</w:t>
            </w:r>
          </w:p>
        </w:tc>
      </w:tr>
      <w:tr>
        <w:trPr>
          <w:tblHeader w:val="off"/>
        </w:trPr>
        <w:tc>
          <w:tcPr>
            <w:tcW w:type="dxa" w:w="3400"/>
            <w:shd w:fill="eef2f7" w:val="clear"/>
            <w:tcMar>
              <w:top w:type="dxa" w:w="40"/>
              <w:left w:type="dxa" w:w="90"/>
              <w:bottom w:type="dxa" w:w="40"/>
              <w:right w:type="dxa" w:w="90"/>
            </w:tcMar>
          </w:tcPr>
          <w:p>
            <w:pPr>
              <w:jc w:val="left"/>
            </w:pPr>
            <w:r>
              <w:rPr>
                <w:b w:val="false"/>
                <w:bCs w:val="false"/>
                <w:color w:val="0b0b0b"/>
                <w:sz w:val="18"/>
                <w:szCs w:val="18"/>
              </w:rPr>
              <w:t xml:space="preserve">Hereditary AE, normal C1-inhibitor, DAB2IP mutation</w:t>
            </w:r>
          </w:p>
        </w:tc>
        <w:tc>
          <w:tcPr>
            <w:tcW w:type="dxa" w:w="900"/>
            <w:shd w:fill="eef2f7" w:val="clear"/>
            <w:tcMar>
              <w:top w:type="dxa" w:w="40"/>
              <w:left w:type="dxa" w:w="90"/>
              <w:bottom w:type="dxa" w:w="40"/>
              <w:right w:type="dxa" w:w="90"/>
            </w:tcMar>
          </w:tcPr>
          <w:p>
            <w:pPr>
              <w:jc w:val="left"/>
            </w:pPr>
            <w:r>
              <w:rPr>
                <w:b w:val="false"/>
                <w:bCs w:val="false"/>
                <w:color w:val="0b0b0b"/>
                <w:sz w:val="18"/>
                <w:szCs w:val="18"/>
              </w:rPr>
              <w:t xml:space="preserve">AE-BK</w:t>
            </w:r>
          </w:p>
        </w:tc>
        <w:tc>
          <w:tcPr>
            <w:tcW w:type="dxa" w:w="1500"/>
            <w:shd w:fill="eef2f7" w:val="clear"/>
            <w:tcMar>
              <w:top w:type="dxa" w:w="40"/>
              <w:left w:type="dxa" w:w="90"/>
              <w:bottom w:type="dxa" w:w="40"/>
              <w:right w:type="dxa" w:w="90"/>
            </w:tcMar>
          </w:tcPr>
          <w:p>
            <w:pPr>
              <w:jc w:val="left"/>
            </w:pPr>
            <w:r>
              <w:rPr>
                <w:b w:val="false"/>
                <w:bCs w:val="false"/>
                <w:color w:val="0b0b0b"/>
                <w:sz w:val="18"/>
                <w:szCs w:val="18"/>
              </w:rPr>
              <w:t xml:space="preserve">UNTESTED</w:t>
            </w:r>
          </w:p>
        </w:tc>
        <w:tc>
          <w:tcPr>
            <w:tcW w:type="dxa" w:w="900"/>
            <w:shd w:fill="eef2f7" w:val="clear"/>
            <w:tcMar>
              <w:top w:type="dxa" w:w="40"/>
              <w:left w:type="dxa" w:w="90"/>
              <w:bottom w:type="dxa" w:w="40"/>
              <w:right w:type="dxa" w:w="90"/>
            </w:tcMar>
          </w:tcPr>
          <w:p>
            <w:pPr>
              <w:jc w:val="right"/>
            </w:pPr>
            <w:r>
              <w:rPr>
                <w:b w:val="false"/>
                <w:bCs w:val="false"/>
                <w:color w:val="0b0b0b"/>
                <w:sz w:val="18"/>
                <w:szCs w:val="18"/>
              </w:rPr>
              <w:t xml:space="preserve">0</w:t>
            </w:r>
          </w:p>
        </w:tc>
        <w:tc>
          <w:tcPr>
            <w:tcW w:type="dxa" w:w="900"/>
            <w:shd w:fill="eef2f7" w:val="clear"/>
            <w:tcMar>
              <w:top w:type="dxa" w:w="40"/>
              <w:left w:type="dxa" w:w="90"/>
              <w:bottom w:type="dxa" w:w="40"/>
              <w:right w:type="dxa" w:w="90"/>
            </w:tcMar>
          </w:tcPr>
          <w:p>
            <w:pPr>
              <w:jc w:val="right"/>
            </w:pPr>
            <w:r>
              <w:rPr>
                <w:b w:val="false"/>
                <w:bCs w:val="false"/>
                <w:color w:val="0b0b0b"/>
                <w:sz w:val="18"/>
                <w:szCs w:val="18"/>
              </w:rPr>
              <w:t xml:space="preserve">2</w:t>
            </w:r>
          </w:p>
        </w:tc>
      </w:tr>
      <w:tr>
        <w:trPr>
          <w:tblHeader w:val="off"/>
        </w:trPr>
        <w:tc>
          <w:tcPr>
            <w:tcW w:type="dxa" w:w="3400"/>
            <w:tcMar>
              <w:top w:type="dxa" w:w="40"/>
              <w:left w:type="dxa" w:w="90"/>
              <w:bottom w:type="dxa" w:w="40"/>
              <w:right w:type="dxa" w:w="90"/>
            </w:tcMar>
          </w:tcPr>
          <w:p>
            <w:pPr>
              <w:jc w:val="left"/>
            </w:pPr>
            <w:r>
              <w:rPr>
                <w:b w:val="false"/>
                <w:bCs w:val="false"/>
                <w:color w:val="0b0b0b"/>
                <w:sz w:val="18"/>
                <w:szCs w:val="18"/>
              </w:rPr>
              <w:t xml:space="preserve">Hereditary AE, normal C1-inhibitor, HS3ST6 mutation</w:t>
            </w:r>
          </w:p>
        </w:tc>
        <w:tc>
          <w:tcPr>
            <w:tcW w:type="dxa" w:w="900"/>
            <w:tcMar>
              <w:top w:type="dxa" w:w="40"/>
              <w:left w:type="dxa" w:w="90"/>
              <w:bottom w:type="dxa" w:w="40"/>
              <w:right w:type="dxa" w:w="90"/>
            </w:tcMar>
          </w:tcPr>
          <w:p>
            <w:pPr>
              <w:jc w:val="left"/>
            </w:pPr>
            <w:r>
              <w:rPr>
                <w:b w:val="false"/>
                <w:bCs w:val="false"/>
                <w:color w:val="0b0b0b"/>
                <w:sz w:val="18"/>
                <w:szCs w:val="18"/>
              </w:rPr>
              <w:t xml:space="preserve">AE-BK</w:t>
            </w:r>
          </w:p>
        </w:tc>
        <w:tc>
          <w:tcPr>
            <w:tcW w:type="dxa" w:w="1500"/>
            <w:tcMar>
              <w:top w:type="dxa" w:w="40"/>
              <w:left w:type="dxa" w:w="90"/>
              <w:bottom w:type="dxa" w:w="40"/>
              <w:right w:type="dxa" w:w="90"/>
            </w:tcMar>
          </w:tcPr>
          <w:p>
            <w:pPr>
              <w:jc w:val="left"/>
            </w:pPr>
            <w:r>
              <w:rPr>
                <w:b w:val="false"/>
                <w:bCs w:val="false"/>
                <w:color w:val="0b0b0b"/>
                <w:sz w:val="18"/>
                <w:szCs w:val="18"/>
              </w:rPr>
              <w:t xml:space="preserve">UNTESTED</w:t>
            </w:r>
          </w:p>
        </w:tc>
        <w:tc>
          <w:tcPr>
            <w:tcW w:type="dxa" w:w="900"/>
            <w:tcMar>
              <w:top w:type="dxa" w:w="40"/>
              <w:left w:type="dxa" w:w="90"/>
              <w:bottom w:type="dxa" w:w="40"/>
              <w:right w:type="dxa" w:w="90"/>
            </w:tcMar>
          </w:tcPr>
          <w:p>
            <w:pPr>
              <w:jc w:val="right"/>
            </w:pPr>
            <w:r>
              <w:rPr>
                <w:b w:val="false"/>
                <w:bCs w:val="false"/>
                <w:color w:val="0b0b0b"/>
                <w:sz w:val="18"/>
                <w:szCs w:val="18"/>
              </w:rPr>
              <w:t xml:space="preserve">0</w:t>
            </w:r>
          </w:p>
        </w:tc>
        <w:tc>
          <w:tcPr>
            <w:tcW w:type="dxa" w:w="900"/>
            <w:tcMar>
              <w:top w:type="dxa" w:w="40"/>
              <w:left w:type="dxa" w:w="90"/>
              <w:bottom w:type="dxa" w:w="40"/>
              <w:right w:type="dxa" w:w="90"/>
            </w:tcMar>
          </w:tcPr>
          <w:p>
            <w:pPr>
              <w:jc w:val="right"/>
            </w:pPr>
            <w:r>
              <w:rPr>
                <w:b w:val="false"/>
                <w:bCs w:val="false"/>
                <w:color w:val="0b0b0b"/>
                <w:sz w:val="18"/>
                <w:szCs w:val="18"/>
              </w:rPr>
              <w:t xml:space="preserve">1</w:t>
            </w:r>
          </w:p>
        </w:tc>
      </w:tr>
      <w:tr>
        <w:trPr>
          <w:tblHeader w:val="off"/>
        </w:trPr>
        <w:tc>
          <w:tcPr>
            <w:tcW w:type="dxa" w:w="3400"/>
            <w:shd w:fill="eef2f7" w:val="clear"/>
            <w:tcMar>
              <w:top w:type="dxa" w:w="40"/>
              <w:left w:type="dxa" w:w="90"/>
              <w:bottom w:type="dxa" w:w="40"/>
              <w:right w:type="dxa" w:w="90"/>
            </w:tcMar>
          </w:tcPr>
          <w:p>
            <w:pPr>
              <w:jc w:val="left"/>
            </w:pPr>
            <w:r>
              <w:rPr>
                <w:b w:val="false"/>
                <w:bCs w:val="false"/>
                <w:color w:val="0b0b0b"/>
                <w:sz w:val="18"/>
                <w:szCs w:val="18"/>
              </w:rPr>
              <w:t xml:space="preserve">Hereditary AE, normal C1-inhibitor, myoferlin mutation</w:t>
            </w:r>
          </w:p>
        </w:tc>
        <w:tc>
          <w:tcPr>
            <w:tcW w:type="dxa" w:w="900"/>
            <w:shd w:fill="eef2f7" w:val="clear"/>
            <w:tcMar>
              <w:top w:type="dxa" w:w="40"/>
              <w:left w:type="dxa" w:w="90"/>
              <w:bottom w:type="dxa" w:w="40"/>
              <w:right w:type="dxa" w:w="90"/>
            </w:tcMar>
          </w:tcPr>
          <w:p>
            <w:pPr>
              <w:jc w:val="left"/>
            </w:pPr>
            <w:r>
              <w:rPr>
                <w:b w:val="false"/>
                <w:bCs w:val="false"/>
                <w:color w:val="0b0b0b"/>
                <w:sz w:val="18"/>
                <w:szCs w:val="18"/>
              </w:rPr>
              <w:t xml:space="preserve">AE-BK</w:t>
            </w:r>
          </w:p>
        </w:tc>
        <w:tc>
          <w:tcPr>
            <w:tcW w:type="dxa" w:w="1500"/>
            <w:shd w:fill="eef2f7" w:val="clear"/>
            <w:tcMar>
              <w:top w:type="dxa" w:w="40"/>
              <w:left w:type="dxa" w:w="90"/>
              <w:bottom w:type="dxa" w:w="40"/>
              <w:right w:type="dxa" w:w="90"/>
            </w:tcMar>
          </w:tcPr>
          <w:p>
            <w:pPr>
              <w:jc w:val="left"/>
            </w:pPr>
            <w:r>
              <w:rPr>
                <w:b w:val="false"/>
                <w:bCs w:val="false"/>
                <w:color w:val="0b0b0b"/>
                <w:sz w:val="18"/>
                <w:szCs w:val="18"/>
              </w:rPr>
              <w:t xml:space="preserve">UNTESTED</w:t>
            </w:r>
          </w:p>
        </w:tc>
        <w:tc>
          <w:tcPr>
            <w:tcW w:type="dxa" w:w="900"/>
            <w:shd w:fill="eef2f7" w:val="clear"/>
            <w:tcMar>
              <w:top w:type="dxa" w:w="40"/>
              <w:left w:type="dxa" w:w="90"/>
              <w:bottom w:type="dxa" w:w="40"/>
              <w:right w:type="dxa" w:w="90"/>
            </w:tcMar>
          </w:tcPr>
          <w:p>
            <w:pPr>
              <w:jc w:val="right"/>
            </w:pPr>
            <w:r>
              <w:rPr>
                <w:b w:val="false"/>
                <w:bCs w:val="false"/>
                <w:color w:val="0b0b0b"/>
                <w:sz w:val="18"/>
                <w:szCs w:val="18"/>
              </w:rPr>
              <w:t xml:space="preserve">0</w:t>
            </w:r>
          </w:p>
        </w:tc>
        <w:tc>
          <w:tcPr>
            <w:tcW w:type="dxa" w:w="900"/>
            <w:shd w:fill="eef2f7" w:val="clear"/>
            <w:tcMar>
              <w:top w:type="dxa" w:w="40"/>
              <w:left w:type="dxa" w:w="90"/>
              <w:bottom w:type="dxa" w:w="40"/>
              <w:right w:type="dxa" w:w="90"/>
            </w:tcMar>
          </w:tcPr>
          <w:p>
            <w:pPr>
              <w:jc w:val="right"/>
            </w:pPr>
            <w:r>
              <w:rPr>
                <w:b w:val="false"/>
                <w:bCs w:val="false"/>
                <w:color w:val="0b0b0b"/>
                <w:sz w:val="18"/>
                <w:szCs w:val="18"/>
              </w:rPr>
              <w:t xml:space="preserve">1</w:t>
            </w:r>
          </w:p>
        </w:tc>
      </w:tr>
      <w:tr>
        <w:trPr>
          <w:tblHeader w:val="off"/>
        </w:trPr>
        <w:tc>
          <w:tcPr>
            <w:tcW w:type="dxa" w:w="3400"/>
            <w:tcMar>
              <w:top w:type="dxa" w:w="40"/>
              <w:left w:type="dxa" w:w="90"/>
              <w:bottom w:type="dxa" w:w="40"/>
              <w:right w:type="dxa" w:w="90"/>
            </w:tcMar>
          </w:tcPr>
          <w:p>
            <w:pPr>
              <w:jc w:val="left"/>
            </w:pPr>
            <w:r>
              <w:rPr>
                <w:b w:val="false"/>
                <w:bCs w:val="false"/>
                <w:color w:val="0b0b0b"/>
                <w:sz w:val="18"/>
                <w:szCs w:val="18"/>
              </w:rPr>
              <w:t xml:space="preserve">Historical HAE (unconfirmed by modern criteria)</w:t>
            </w:r>
          </w:p>
        </w:tc>
        <w:tc>
          <w:tcPr>
            <w:tcW w:type="dxa" w:w="900"/>
            <w:tcMar>
              <w:top w:type="dxa" w:w="40"/>
              <w:left w:type="dxa" w:w="90"/>
              <w:bottom w:type="dxa" w:w="40"/>
              <w:right w:type="dxa" w:w="90"/>
            </w:tcMar>
          </w:tcPr>
          <w:p>
            <w:pPr>
              <w:jc w:val="left"/>
            </w:pPr>
            <w:r>
              <w:rPr>
                <w:b w:val="false"/>
                <w:bCs w:val="false"/>
                <w:color w:val="0b0b0b"/>
                <w:sz w:val="18"/>
                <w:szCs w:val="18"/>
              </w:rPr>
              <w:t xml:space="preserve">AE-BK</w:t>
            </w:r>
          </w:p>
        </w:tc>
        <w:tc>
          <w:tcPr>
            <w:tcW w:type="dxa" w:w="1500"/>
            <w:tcMar>
              <w:top w:type="dxa" w:w="40"/>
              <w:left w:type="dxa" w:w="90"/>
              <w:bottom w:type="dxa" w:w="40"/>
              <w:right w:type="dxa" w:w="90"/>
            </w:tcMar>
          </w:tcPr>
          <w:p>
            <w:pPr>
              <w:jc w:val="left"/>
            </w:pPr>
            <w:r>
              <w:rPr>
                <w:b w:val="false"/>
                <w:bCs w:val="false"/>
                <w:color w:val="0b0b0b"/>
                <w:sz w:val="18"/>
                <w:szCs w:val="18"/>
              </w:rPr>
              <w:t xml:space="preserve">UNTESTED</w:t>
            </w:r>
          </w:p>
        </w:tc>
        <w:tc>
          <w:tcPr>
            <w:tcW w:type="dxa" w:w="900"/>
            <w:tcMar>
              <w:top w:type="dxa" w:w="40"/>
              <w:left w:type="dxa" w:w="90"/>
              <w:bottom w:type="dxa" w:w="40"/>
              <w:right w:type="dxa" w:w="90"/>
            </w:tcMar>
          </w:tcPr>
          <w:p>
            <w:pPr>
              <w:jc w:val="right"/>
            </w:pPr>
            <w:r>
              <w:rPr>
                <w:b w:val="false"/>
                <w:bCs w:val="false"/>
                <w:color w:val="0b0b0b"/>
                <w:sz w:val="18"/>
                <w:szCs w:val="18"/>
              </w:rPr>
              <w:t xml:space="preserve">0</w:t>
            </w:r>
          </w:p>
        </w:tc>
        <w:tc>
          <w:tcPr>
            <w:tcW w:type="dxa" w:w="900"/>
            <w:tcMar>
              <w:top w:type="dxa" w:w="40"/>
              <w:left w:type="dxa" w:w="90"/>
              <w:bottom w:type="dxa" w:w="40"/>
              <w:right w:type="dxa" w:w="90"/>
            </w:tcMar>
          </w:tcPr>
          <w:p>
            <w:pPr>
              <w:jc w:val="right"/>
            </w:pPr>
            <w:r>
              <w:rPr>
                <w:b w:val="false"/>
                <w:bCs w:val="false"/>
                <w:color w:val="0b0b0b"/>
                <w:sz w:val="18"/>
                <w:szCs w:val="18"/>
              </w:rPr>
              <w:t xml:space="preserve">1</w:t>
            </w:r>
          </w:p>
        </w:tc>
      </w:tr>
      <w:tr>
        <w:trPr>
          <w:tblHeader w:val="off"/>
        </w:trPr>
        <w:tc>
          <w:tcPr>
            <w:tcW w:type="dxa" w:w="3400"/>
            <w:shd w:fill="eef2f7" w:val="clear"/>
            <w:tcMar>
              <w:top w:type="dxa" w:w="40"/>
              <w:left w:type="dxa" w:w="90"/>
              <w:bottom w:type="dxa" w:w="40"/>
              <w:right w:type="dxa" w:w="90"/>
            </w:tcMar>
          </w:tcPr>
          <w:p>
            <w:pPr>
              <w:jc w:val="left"/>
            </w:pPr>
            <w:r>
              <w:rPr>
                <w:b w:val="false"/>
                <w:bCs w:val="false"/>
                <w:color w:val="0b0b0b"/>
                <w:sz w:val="18"/>
                <w:szCs w:val="18"/>
              </w:rPr>
              <w:t xml:space="preserve">NSAID-induced urticaria/angioedema</w:t>
            </w:r>
          </w:p>
        </w:tc>
        <w:tc>
          <w:tcPr>
            <w:tcW w:type="dxa" w:w="900"/>
            <w:shd w:fill="eef2f7" w:val="clear"/>
            <w:tcMar>
              <w:top w:type="dxa" w:w="40"/>
              <w:left w:type="dxa" w:w="90"/>
              <w:bottom w:type="dxa" w:w="40"/>
              <w:right w:type="dxa" w:w="90"/>
            </w:tcMar>
          </w:tcPr>
          <w:p>
            <w:pPr>
              <w:jc w:val="left"/>
            </w:pPr>
            <w:r>
              <w:rPr>
                <w:b w:val="false"/>
                <w:bCs w:val="false"/>
                <w:color w:val="0b0b0b"/>
                <w:sz w:val="18"/>
                <w:szCs w:val="18"/>
              </w:rPr>
              <w:t xml:space="preserve">AE-DI</w:t>
            </w:r>
          </w:p>
        </w:tc>
        <w:tc>
          <w:tcPr>
            <w:tcW w:type="dxa" w:w="1500"/>
            <w:shd w:fill="eef2f7" w:val="clear"/>
            <w:tcMar>
              <w:top w:type="dxa" w:w="40"/>
              <w:left w:type="dxa" w:w="90"/>
              <w:bottom w:type="dxa" w:w="40"/>
              <w:right w:type="dxa" w:w="90"/>
            </w:tcMar>
          </w:tcPr>
          <w:p>
            <w:pPr>
              <w:jc w:val="left"/>
            </w:pPr>
            <w:r>
              <w:rPr>
                <w:b w:val="false"/>
                <w:bCs w:val="false"/>
                <w:color w:val="0b0b0b"/>
                <w:sz w:val="18"/>
                <w:szCs w:val="18"/>
              </w:rPr>
              <w:t xml:space="preserve">UNTESTED</w:t>
            </w:r>
          </w:p>
        </w:tc>
        <w:tc>
          <w:tcPr>
            <w:tcW w:type="dxa" w:w="900"/>
            <w:shd w:fill="eef2f7" w:val="clear"/>
            <w:tcMar>
              <w:top w:type="dxa" w:w="40"/>
              <w:left w:type="dxa" w:w="90"/>
              <w:bottom w:type="dxa" w:w="40"/>
              <w:right w:type="dxa" w:w="90"/>
            </w:tcMar>
          </w:tcPr>
          <w:p>
            <w:pPr>
              <w:jc w:val="right"/>
            </w:pPr>
            <w:r>
              <w:rPr>
                <w:b w:val="false"/>
                <w:bCs w:val="false"/>
                <w:color w:val="0b0b0b"/>
                <w:sz w:val="18"/>
                <w:szCs w:val="18"/>
              </w:rPr>
              <w:t xml:space="preserve">0</w:t>
            </w:r>
          </w:p>
        </w:tc>
        <w:tc>
          <w:tcPr>
            <w:tcW w:type="dxa" w:w="900"/>
            <w:shd w:fill="eef2f7" w:val="clear"/>
            <w:tcMar>
              <w:top w:type="dxa" w:w="40"/>
              <w:left w:type="dxa" w:w="90"/>
              <w:bottom w:type="dxa" w:w="40"/>
              <w:right w:type="dxa" w:w="90"/>
            </w:tcMar>
          </w:tcPr>
          <w:p>
            <w:pPr>
              <w:jc w:val="right"/>
            </w:pPr>
            <w:r>
              <w:rPr>
                <w:b w:val="false"/>
                <w:bCs w:val="false"/>
                <w:color w:val="0b0b0b"/>
                <w:sz w:val="18"/>
                <w:szCs w:val="18"/>
              </w:rPr>
              <w:t xml:space="preserve">4</w:t>
            </w:r>
          </w:p>
        </w:tc>
      </w:tr>
      <w:tr>
        <w:trPr>
          <w:tblHeader w:val="off"/>
        </w:trPr>
        <w:tc>
          <w:tcPr>
            <w:tcW w:type="dxa" w:w="3400"/>
            <w:tcMar>
              <w:top w:type="dxa" w:w="40"/>
              <w:left w:type="dxa" w:w="90"/>
              <w:bottom w:type="dxa" w:w="40"/>
              <w:right w:type="dxa" w:w="90"/>
            </w:tcMar>
          </w:tcPr>
          <w:p>
            <w:pPr>
              <w:jc w:val="left"/>
            </w:pPr>
            <w:r>
              <w:rPr>
                <w:b w:val="false"/>
                <w:bCs w:val="false"/>
                <w:color w:val="0b0b0b"/>
                <w:sz w:val="18"/>
                <w:szCs w:val="18"/>
              </w:rPr>
              <w:t xml:space="preserve">Single-NSAID urticaria/angioedema</w:t>
            </w:r>
          </w:p>
        </w:tc>
        <w:tc>
          <w:tcPr>
            <w:tcW w:type="dxa" w:w="900"/>
            <w:tcMar>
              <w:top w:type="dxa" w:w="40"/>
              <w:left w:type="dxa" w:w="90"/>
              <w:bottom w:type="dxa" w:w="40"/>
              <w:right w:type="dxa" w:w="90"/>
            </w:tcMar>
          </w:tcPr>
          <w:p>
            <w:pPr>
              <w:jc w:val="left"/>
            </w:pPr>
            <w:r>
              <w:rPr>
                <w:b w:val="false"/>
                <w:bCs w:val="false"/>
                <w:color w:val="0b0b0b"/>
                <w:sz w:val="18"/>
                <w:szCs w:val="18"/>
              </w:rPr>
              <w:t xml:space="preserve">AE-DI</w:t>
            </w:r>
          </w:p>
        </w:tc>
        <w:tc>
          <w:tcPr>
            <w:tcW w:type="dxa" w:w="1500"/>
            <w:tcMar>
              <w:top w:type="dxa" w:w="40"/>
              <w:left w:type="dxa" w:w="90"/>
              <w:bottom w:type="dxa" w:w="40"/>
              <w:right w:type="dxa" w:w="90"/>
            </w:tcMar>
          </w:tcPr>
          <w:p>
            <w:pPr>
              <w:jc w:val="left"/>
            </w:pPr>
            <w:r>
              <w:rPr>
                <w:b w:val="false"/>
                <w:bCs w:val="false"/>
                <w:color w:val="0b0b0b"/>
                <w:sz w:val="18"/>
                <w:szCs w:val="18"/>
              </w:rPr>
              <w:t xml:space="preserve">UNTESTED</w:t>
            </w:r>
          </w:p>
        </w:tc>
        <w:tc>
          <w:tcPr>
            <w:tcW w:type="dxa" w:w="900"/>
            <w:tcMar>
              <w:top w:type="dxa" w:w="40"/>
              <w:left w:type="dxa" w:w="90"/>
              <w:bottom w:type="dxa" w:w="40"/>
              <w:right w:type="dxa" w:w="90"/>
            </w:tcMar>
          </w:tcPr>
          <w:p>
            <w:pPr>
              <w:jc w:val="right"/>
            </w:pPr>
            <w:r>
              <w:rPr>
                <w:b w:val="false"/>
                <w:bCs w:val="false"/>
                <w:color w:val="0b0b0b"/>
                <w:sz w:val="18"/>
                <w:szCs w:val="18"/>
              </w:rPr>
              <w:t xml:space="preserve">0</w:t>
            </w:r>
          </w:p>
        </w:tc>
        <w:tc>
          <w:tcPr>
            <w:tcW w:type="dxa" w:w="900"/>
            <w:tcMar>
              <w:top w:type="dxa" w:w="40"/>
              <w:left w:type="dxa" w:w="90"/>
              <w:bottom w:type="dxa" w:w="40"/>
              <w:right w:type="dxa" w:w="90"/>
            </w:tcMar>
          </w:tcPr>
          <w:p>
            <w:pPr>
              <w:jc w:val="right"/>
            </w:pPr>
            <w:r>
              <w:rPr>
                <w:b w:val="false"/>
                <w:bCs w:val="false"/>
                <w:color w:val="0b0b0b"/>
                <w:sz w:val="18"/>
                <w:szCs w:val="18"/>
              </w:rPr>
              <w:t xml:space="preserve">0</w:t>
            </w:r>
          </w:p>
        </w:tc>
      </w:tr>
      <w:tr>
        <w:trPr>
          <w:tblHeader w:val="off"/>
        </w:trPr>
        <w:tc>
          <w:tcPr>
            <w:tcW w:type="dxa" w:w="3400"/>
            <w:shd w:fill="eef2f7" w:val="clear"/>
            <w:tcMar>
              <w:top w:type="dxa" w:w="40"/>
              <w:left w:type="dxa" w:w="90"/>
              <w:bottom w:type="dxa" w:w="40"/>
              <w:right w:type="dxa" w:w="90"/>
            </w:tcMar>
          </w:tcPr>
          <w:p>
            <w:pPr>
              <w:jc w:val="left"/>
            </w:pPr>
            <w:r>
              <w:rPr>
                <w:b w:val="false"/>
                <w:bCs w:val="false"/>
                <w:color w:val="0b0b0b"/>
                <w:sz w:val="18"/>
                <w:szCs w:val="18"/>
              </w:rPr>
              <w:t xml:space="preserve">Hereditary AE, normal C1-inhibitor, Factor XII mutation</w:t>
            </w:r>
          </w:p>
        </w:tc>
        <w:tc>
          <w:tcPr>
            <w:tcW w:type="dxa" w:w="900"/>
            <w:shd w:fill="eef2f7" w:val="clear"/>
            <w:tcMar>
              <w:top w:type="dxa" w:w="40"/>
              <w:left w:type="dxa" w:w="90"/>
              <w:bottom w:type="dxa" w:w="40"/>
              <w:right w:type="dxa" w:w="90"/>
            </w:tcMar>
          </w:tcPr>
          <w:p>
            <w:pPr>
              <w:jc w:val="left"/>
            </w:pPr>
            <w:r>
              <w:rPr>
                <w:b w:val="false"/>
                <w:bCs w:val="false"/>
                <w:color w:val="0b0b0b"/>
                <w:sz w:val="18"/>
                <w:szCs w:val="18"/>
              </w:rPr>
              <w:t xml:space="preserve">AE-BK</w:t>
            </w:r>
          </w:p>
        </w:tc>
        <w:tc>
          <w:tcPr>
            <w:tcW w:type="dxa" w:w="1500"/>
            <w:shd w:fill="eef2f7" w:val="clear"/>
            <w:tcMar>
              <w:top w:type="dxa" w:w="40"/>
              <w:left w:type="dxa" w:w="90"/>
              <w:bottom w:type="dxa" w:w="40"/>
              <w:right w:type="dxa" w:w="90"/>
            </w:tcMar>
          </w:tcPr>
          <w:p>
            <w:pPr>
              <w:jc w:val="left"/>
            </w:pPr>
            <w:r>
              <w:rPr>
                <w:b w:val="false"/>
                <w:bCs w:val="false"/>
                <w:color w:val="0b0b0b"/>
                <w:sz w:val="18"/>
                <w:szCs w:val="18"/>
              </w:rPr>
              <w:t xml:space="preserve">WEAK</w:t>
            </w:r>
          </w:p>
        </w:tc>
        <w:tc>
          <w:tcPr>
            <w:tcW w:type="dxa" w:w="900"/>
            <w:shd w:fill="eef2f7" w:val="clear"/>
            <w:tcMar>
              <w:top w:type="dxa" w:w="40"/>
              <w:left w:type="dxa" w:w="90"/>
              <w:bottom w:type="dxa" w:w="40"/>
              <w:right w:type="dxa" w:w="90"/>
            </w:tcMar>
          </w:tcPr>
          <w:p>
            <w:pPr>
              <w:jc w:val="right"/>
            </w:pPr>
            <w:r>
              <w:rPr>
                <w:b w:val="false"/>
                <w:bCs w:val="false"/>
                <w:color w:val="0b0b0b"/>
                <w:sz w:val="18"/>
                <w:szCs w:val="18"/>
              </w:rPr>
              <w:t xml:space="preserve">55</w:t>
            </w:r>
          </w:p>
        </w:tc>
        <w:tc>
          <w:tcPr>
            <w:tcW w:type="dxa" w:w="900"/>
            <w:shd w:fill="eef2f7" w:val="clear"/>
            <w:tcMar>
              <w:top w:type="dxa" w:w="40"/>
              <w:left w:type="dxa" w:w="90"/>
              <w:bottom w:type="dxa" w:w="40"/>
              <w:right w:type="dxa" w:w="90"/>
            </w:tcMar>
          </w:tcPr>
          <w:p>
            <w:pPr>
              <w:jc w:val="right"/>
            </w:pPr>
            <w:r>
              <w:rPr>
                <w:b w:val="false"/>
                <w:bCs w:val="false"/>
                <w:color w:val="0b0b0b"/>
                <w:sz w:val="18"/>
                <w:szCs w:val="18"/>
              </w:rPr>
              <w:t xml:space="preserve">39</w:t>
            </w:r>
          </w:p>
        </w:tc>
      </w:tr>
      <w:tr>
        <w:trPr>
          <w:tblHeader w:val="off"/>
        </w:trPr>
        <w:tc>
          <w:tcPr>
            <w:tcW w:type="dxa" w:w="3400"/>
            <w:tcMar>
              <w:top w:type="dxa" w:w="40"/>
              <w:left w:type="dxa" w:w="90"/>
              <w:bottom w:type="dxa" w:w="40"/>
              <w:right w:type="dxa" w:w="90"/>
            </w:tcMar>
          </w:tcPr>
          <w:p>
            <w:pPr>
              <w:jc w:val="left"/>
            </w:pPr>
            <w:r>
              <w:rPr>
                <w:b w:val="false"/>
                <w:bCs w:val="false"/>
                <w:color w:val="0b0b0b"/>
                <w:sz w:val="18"/>
                <w:szCs w:val="18"/>
              </w:rPr>
              <w:t xml:space="preserve">Mast-cell-mediated AE</w:t>
            </w:r>
          </w:p>
        </w:tc>
        <w:tc>
          <w:tcPr>
            <w:tcW w:type="dxa" w:w="900"/>
            <w:tcMar>
              <w:top w:type="dxa" w:w="40"/>
              <w:left w:type="dxa" w:w="90"/>
              <w:bottom w:type="dxa" w:w="40"/>
              <w:right w:type="dxa" w:w="90"/>
            </w:tcMar>
          </w:tcPr>
          <w:p>
            <w:pPr>
              <w:jc w:val="left"/>
            </w:pPr>
            <w:r>
              <w:rPr>
                <w:b w:val="false"/>
                <w:bCs w:val="false"/>
                <w:color w:val="0b0b0b"/>
                <w:sz w:val="18"/>
                <w:szCs w:val="18"/>
              </w:rPr>
              <w:t xml:space="preserve">AE-MC</w:t>
            </w:r>
          </w:p>
        </w:tc>
        <w:tc>
          <w:tcPr>
            <w:tcW w:type="dxa" w:w="1500"/>
            <w:tcMar>
              <w:top w:type="dxa" w:w="40"/>
              <w:left w:type="dxa" w:w="90"/>
              <w:bottom w:type="dxa" w:w="40"/>
              <w:right w:type="dxa" w:w="90"/>
            </w:tcMar>
          </w:tcPr>
          <w:p>
            <w:pPr>
              <w:jc w:val="left"/>
            </w:pPr>
            <w:r>
              <w:rPr>
                <w:b w:val="false"/>
                <w:bCs w:val="false"/>
                <w:color w:val="0b0b0b"/>
                <w:sz w:val="18"/>
                <w:szCs w:val="18"/>
              </w:rPr>
              <w:t xml:space="preserve">WEAK</w:t>
            </w:r>
          </w:p>
        </w:tc>
        <w:tc>
          <w:tcPr>
            <w:tcW w:type="dxa" w:w="900"/>
            <w:tcMar>
              <w:top w:type="dxa" w:w="40"/>
              <w:left w:type="dxa" w:w="90"/>
              <w:bottom w:type="dxa" w:w="40"/>
              <w:right w:type="dxa" w:w="90"/>
            </w:tcMar>
          </w:tcPr>
          <w:p>
            <w:pPr>
              <w:jc w:val="right"/>
            </w:pPr>
            <w:r>
              <w:rPr>
                <w:b w:val="false"/>
                <w:bCs w:val="false"/>
                <w:color w:val="0b0b0b"/>
                <w:sz w:val="18"/>
                <w:szCs w:val="18"/>
              </w:rPr>
              <w:t xml:space="preserve">52</w:t>
            </w:r>
          </w:p>
        </w:tc>
        <w:tc>
          <w:tcPr>
            <w:tcW w:type="dxa" w:w="900"/>
            <w:tcMar>
              <w:top w:type="dxa" w:w="40"/>
              <w:left w:type="dxa" w:w="90"/>
              <w:bottom w:type="dxa" w:w="40"/>
              <w:right w:type="dxa" w:w="90"/>
            </w:tcMar>
          </w:tcPr>
          <w:p>
            <w:pPr>
              <w:jc w:val="right"/>
            </w:pPr>
            <w:r>
              <w:rPr>
                <w:b w:val="false"/>
                <w:bCs w:val="false"/>
                <w:color w:val="0b0b0b"/>
                <w:sz w:val="18"/>
                <w:szCs w:val="18"/>
              </w:rPr>
              <w:t xml:space="preserve">28</w:t>
            </w:r>
          </w:p>
        </w:tc>
      </w:tr>
      <w:tr>
        <w:trPr>
          <w:tblHeader w:val="off"/>
        </w:trPr>
        <w:tc>
          <w:tcPr>
            <w:tcW w:type="dxa" w:w="3400"/>
            <w:shd w:fill="eef2f7" w:val="clear"/>
            <w:tcMar>
              <w:top w:type="dxa" w:w="40"/>
              <w:left w:type="dxa" w:w="90"/>
              <w:bottom w:type="dxa" w:w="40"/>
              <w:right w:type="dxa" w:w="90"/>
            </w:tcMar>
          </w:tcPr>
          <w:p>
            <w:pPr>
              <w:jc w:val="left"/>
            </w:pPr>
            <w:r>
              <w:rPr>
                <w:b w:val="false"/>
                <w:bCs w:val="false"/>
                <w:color w:val="0b0b0b"/>
                <w:sz w:val="18"/>
                <w:szCs w:val="18"/>
              </w:rPr>
              <w:t xml:space="preserve">Hereditary AE with C1-inhibitor deficiency, type 1</w:t>
            </w:r>
          </w:p>
        </w:tc>
        <w:tc>
          <w:tcPr>
            <w:tcW w:type="dxa" w:w="900"/>
            <w:shd w:fill="eef2f7" w:val="clear"/>
            <w:tcMar>
              <w:top w:type="dxa" w:w="40"/>
              <w:left w:type="dxa" w:w="90"/>
              <w:bottom w:type="dxa" w:w="40"/>
              <w:right w:type="dxa" w:w="90"/>
            </w:tcMar>
          </w:tcPr>
          <w:p>
            <w:pPr>
              <w:jc w:val="left"/>
            </w:pPr>
            <w:r>
              <w:rPr>
                <w:b w:val="false"/>
                <w:bCs w:val="false"/>
                <w:color w:val="0b0b0b"/>
                <w:sz w:val="18"/>
                <w:szCs w:val="18"/>
              </w:rPr>
              <w:t xml:space="preserve">AE-BK</w:t>
            </w:r>
          </w:p>
        </w:tc>
        <w:tc>
          <w:tcPr>
            <w:tcW w:type="dxa" w:w="1500"/>
            <w:shd w:fill="eef2f7" w:val="clear"/>
            <w:tcMar>
              <w:top w:type="dxa" w:w="40"/>
              <w:left w:type="dxa" w:w="90"/>
              <w:bottom w:type="dxa" w:w="40"/>
              <w:right w:type="dxa" w:w="90"/>
            </w:tcMar>
          </w:tcPr>
          <w:p>
            <w:pPr>
              <w:jc w:val="left"/>
            </w:pPr>
            <w:r>
              <w:rPr>
                <w:b w:val="false"/>
                <w:bCs w:val="false"/>
                <w:color w:val="0b0b0b"/>
                <w:sz w:val="18"/>
                <w:szCs w:val="18"/>
              </w:rPr>
              <w:t xml:space="preserve">WEAK</w:t>
            </w:r>
          </w:p>
        </w:tc>
        <w:tc>
          <w:tcPr>
            <w:tcW w:type="dxa" w:w="900"/>
            <w:shd w:fill="eef2f7" w:val="clear"/>
            <w:tcMar>
              <w:top w:type="dxa" w:w="40"/>
              <w:left w:type="dxa" w:w="90"/>
              <w:bottom w:type="dxa" w:w="40"/>
              <w:right w:type="dxa" w:w="90"/>
            </w:tcMar>
          </w:tcPr>
          <w:p>
            <w:pPr>
              <w:jc w:val="right"/>
            </w:pPr>
            <w:r>
              <w:rPr>
                <w:b w:val="false"/>
                <w:bCs w:val="false"/>
                <w:color w:val="0b0b0b"/>
                <w:sz w:val="18"/>
                <w:szCs w:val="18"/>
              </w:rPr>
              <w:t xml:space="preserve">37</w:t>
            </w:r>
          </w:p>
        </w:tc>
        <w:tc>
          <w:tcPr>
            <w:tcW w:type="dxa" w:w="900"/>
            <w:shd w:fill="eef2f7" w:val="clear"/>
            <w:tcMar>
              <w:top w:type="dxa" w:w="40"/>
              <w:left w:type="dxa" w:w="90"/>
              <w:bottom w:type="dxa" w:w="40"/>
              <w:right w:type="dxa" w:w="90"/>
            </w:tcMar>
          </w:tcPr>
          <w:p>
            <w:pPr>
              <w:jc w:val="right"/>
            </w:pPr>
            <w:r>
              <w:rPr>
                <w:b w:val="false"/>
                <w:bCs w:val="false"/>
                <w:color w:val="0b0b0b"/>
                <w:sz w:val="18"/>
                <w:szCs w:val="18"/>
              </w:rPr>
              <w:t xml:space="preserve">11</w:t>
            </w:r>
          </w:p>
        </w:tc>
      </w:tr>
      <w:tr>
        <w:trPr>
          <w:tblHeader w:val="off"/>
        </w:trPr>
        <w:tc>
          <w:tcPr>
            <w:tcW w:type="dxa" w:w="3400"/>
            <w:tcMar>
              <w:top w:type="dxa" w:w="40"/>
              <w:left w:type="dxa" w:w="90"/>
              <w:bottom w:type="dxa" w:w="40"/>
              <w:right w:type="dxa" w:w="90"/>
            </w:tcMar>
          </w:tcPr>
          <w:p>
            <w:pPr>
              <w:jc w:val="left"/>
            </w:pPr>
            <w:r>
              <w:rPr>
                <w:b w:val="false"/>
                <w:bCs w:val="false"/>
                <w:color w:val="0b0b0b"/>
                <w:sz w:val="18"/>
                <w:szCs w:val="18"/>
              </w:rPr>
              <w:t xml:space="preserve">Hereditary AE with C1-inhibitor deficiency, type 2</w:t>
            </w:r>
          </w:p>
        </w:tc>
        <w:tc>
          <w:tcPr>
            <w:tcW w:type="dxa" w:w="900"/>
            <w:tcMar>
              <w:top w:type="dxa" w:w="40"/>
              <w:left w:type="dxa" w:w="90"/>
              <w:bottom w:type="dxa" w:w="40"/>
              <w:right w:type="dxa" w:w="90"/>
            </w:tcMar>
          </w:tcPr>
          <w:p>
            <w:pPr>
              <w:jc w:val="left"/>
            </w:pPr>
            <w:r>
              <w:rPr>
                <w:b w:val="false"/>
                <w:bCs w:val="false"/>
                <w:color w:val="0b0b0b"/>
                <w:sz w:val="18"/>
                <w:szCs w:val="18"/>
              </w:rPr>
              <w:t xml:space="preserve">AE-BK</w:t>
            </w:r>
          </w:p>
        </w:tc>
        <w:tc>
          <w:tcPr>
            <w:tcW w:type="dxa" w:w="1500"/>
            <w:tcMar>
              <w:top w:type="dxa" w:w="40"/>
              <w:left w:type="dxa" w:w="90"/>
              <w:bottom w:type="dxa" w:w="40"/>
              <w:right w:type="dxa" w:w="90"/>
            </w:tcMar>
          </w:tcPr>
          <w:p>
            <w:pPr>
              <w:jc w:val="left"/>
            </w:pPr>
            <w:r>
              <w:rPr>
                <w:b w:val="false"/>
                <w:bCs w:val="false"/>
                <w:color w:val="0b0b0b"/>
                <w:sz w:val="18"/>
                <w:szCs w:val="18"/>
              </w:rPr>
              <w:t xml:space="preserve">WEAK</w:t>
            </w:r>
          </w:p>
        </w:tc>
        <w:tc>
          <w:tcPr>
            <w:tcW w:type="dxa" w:w="900"/>
            <w:tcMar>
              <w:top w:type="dxa" w:w="40"/>
              <w:left w:type="dxa" w:w="90"/>
              <w:bottom w:type="dxa" w:w="40"/>
              <w:right w:type="dxa" w:w="90"/>
            </w:tcMar>
          </w:tcPr>
          <w:p>
            <w:pPr>
              <w:jc w:val="right"/>
            </w:pPr>
            <w:r>
              <w:rPr>
                <w:b w:val="false"/>
                <w:bCs w:val="false"/>
                <w:color w:val="0b0b0b"/>
                <w:sz w:val="18"/>
                <w:szCs w:val="18"/>
              </w:rPr>
              <w:t xml:space="preserve">16</w:t>
            </w:r>
          </w:p>
        </w:tc>
        <w:tc>
          <w:tcPr>
            <w:tcW w:type="dxa" w:w="900"/>
            <w:tcMar>
              <w:top w:type="dxa" w:w="40"/>
              <w:left w:type="dxa" w:w="90"/>
              <w:bottom w:type="dxa" w:w="40"/>
              <w:right w:type="dxa" w:w="90"/>
            </w:tcMar>
          </w:tcPr>
          <w:p>
            <w:pPr>
              <w:jc w:val="right"/>
            </w:pPr>
            <w:r>
              <w:rPr>
                <w:b w:val="false"/>
                <w:bCs w:val="false"/>
                <w:color w:val="0b0b0b"/>
                <w:sz w:val="18"/>
                <w:szCs w:val="18"/>
              </w:rPr>
              <w:t xml:space="preserve">7</w:t>
            </w:r>
          </w:p>
        </w:tc>
      </w:tr>
      <w:tr>
        <w:trPr>
          <w:tblHeader w:val="off"/>
        </w:trPr>
        <w:tc>
          <w:tcPr>
            <w:tcW w:type="dxa" w:w="3400"/>
            <w:shd w:fill="eef2f7" w:val="clear"/>
            <w:tcMar>
              <w:top w:type="dxa" w:w="40"/>
              <w:left w:type="dxa" w:w="90"/>
              <w:bottom w:type="dxa" w:w="40"/>
              <w:right w:type="dxa" w:w="90"/>
            </w:tcMar>
          </w:tcPr>
          <w:p>
            <w:pPr>
              <w:jc w:val="left"/>
            </w:pPr>
            <w:r>
              <w:rPr>
                <w:b w:val="false"/>
                <w:bCs w:val="false"/>
                <w:color w:val="0b0b0b"/>
                <w:sz w:val="18"/>
                <w:szCs w:val="18"/>
              </w:rPr>
              <w:t xml:space="preserve">Histaminergic AE</w:t>
            </w:r>
          </w:p>
        </w:tc>
        <w:tc>
          <w:tcPr>
            <w:tcW w:type="dxa" w:w="900"/>
            <w:shd w:fill="eef2f7" w:val="clear"/>
            <w:tcMar>
              <w:top w:type="dxa" w:w="40"/>
              <w:left w:type="dxa" w:w="90"/>
              <w:bottom w:type="dxa" w:w="40"/>
              <w:right w:type="dxa" w:w="90"/>
            </w:tcMar>
          </w:tcPr>
          <w:p>
            <w:pPr>
              <w:jc w:val="left"/>
            </w:pPr>
            <w:r>
              <w:rPr>
                <w:b w:val="false"/>
                <w:bCs w:val="false"/>
                <w:color w:val="0b0b0b"/>
                <w:sz w:val="18"/>
                <w:szCs w:val="18"/>
              </w:rPr>
              <w:t xml:space="preserve">AE-MC</w:t>
            </w:r>
          </w:p>
        </w:tc>
        <w:tc>
          <w:tcPr>
            <w:tcW w:type="dxa" w:w="1500"/>
            <w:shd w:fill="eef2f7" w:val="clear"/>
            <w:tcMar>
              <w:top w:type="dxa" w:w="40"/>
              <w:left w:type="dxa" w:w="90"/>
              <w:bottom w:type="dxa" w:w="40"/>
              <w:right w:type="dxa" w:w="90"/>
            </w:tcMar>
          </w:tcPr>
          <w:p>
            <w:pPr>
              <w:jc w:val="left"/>
            </w:pPr>
            <w:r>
              <w:rPr>
                <w:b w:val="false"/>
                <w:bCs w:val="false"/>
                <w:color w:val="0b0b0b"/>
                <w:sz w:val="18"/>
                <w:szCs w:val="18"/>
              </w:rPr>
              <w:t xml:space="preserve">WEAK</w:t>
            </w:r>
          </w:p>
        </w:tc>
        <w:tc>
          <w:tcPr>
            <w:tcW w:type="dxa" w:w="900"/>
            <w:shd w:fill="eef2f7" w:val="clear"/>
            <w:tcMar>
              <w:top w:type="dxa" w:w="40"/>
              <w:left w:type="dxa" w:w="90"/>
              <w:bottom w:type="dxa" w:w="40"/>
              <w:right w:type="dxa" w:w="90"/>
            </w:tcMar>
          </w:tcPr>
          <w:p>
            <w:pPr>
              <w:jc w:val="right"/>
            </w:pPr>
            <w:r>
              <w:rPr>
                <w:b w:val="false"/>
                <w:bCs w:val="false"/>
                <w:color w:val="0b0b0b"/>
                <w:sz w:val="18"/>
                <w:szCs w:val="18"/>
              </w:rPr>
              <w:t xml:space="preserve">16</w:t>
            </w:r>
          </w:p>
        </w:tc>
        <w:tc>
          <w:tcPr>
            <w:tcW w:type="dxa" w:w="900"/>
            <w:shd w:fill="eef2f7" w:val="clear"/>
            <w:tcMar>
              <w:top w:type="dxa" w:w="40"/>
              <w:left w:type="dxa" w:w="90"/>
              <w:bottom w:type="dxa" w:w="40"/>
              <w:right w:type="dxa" w:w="90"/>
            </w:tcMar>
          </w:tcPr>
          <w:p>
            <w:pPr>
              <w:jc w:val="right"/>
            </w:pPr>
            <w:r>
              <w:rPr>
                <w:b w:val="false"/>
                <w:bCs w:val="false"/>
                <w:color w:val="0b0b0b"/>
                <w:sz w:val="18"/>
                <w:szCs w:val="18"/>
              </w:rPr>
              <w:t xml:space="preserve">14</w:t>
            </w:r>
          </w:p>
        </w:tc>
      </w:tr>
      <w:tr>
        <w:trPr>
          <w:tblHeader w:val="off"/>
        </w:trPr>
        <w:tc>
          <w:tcPr>
            <w:tcW w:type="dxa" w:w="3400"/>
            <w:tcMar>
              <w:top w:type="dxa" w:w="40"/>
              <w:left w:type="dxa" w:w="90"/>
              <w:bottom w:type="dxa" w:w="40"/>
              <w:right w:type="dxa" w:w="90"/>
            </w:tcMar>
          </w:tcPr>
          <w:p>
            <w:pPr>
              <w:jc w:val="left"/>
            </w:pPr>
            <w:r>
              <w:rPr>
                <w:b w:val="false"/>
                <w:bCs w:val="false"/>
                <w:color w:val="0b0b0b"/>
                <w:sz w:val="18"/>
                <w:szCs w:val="18"/>
              </w:rPr>
              <w:t xml:space="preserve">AE with normal C1-inhibitor, bradykinin suspected</w:t>
            </w:r>
          </w:p>
        </w:tc>
        <w:tc>
          <w:tcPr>
            <w:tcW w:type="dxa" w:w="900"/>
            <w:tcMar>
              <w:top w:type="dxa" w:w="40"/>
              <w:left w:type="dxa" w:w="90"/>
              <w:bottom w:type="dxa" w:w="40"/>
              <w:right w:type="dxa" w:w="90"/>
            </w:tcMar>
          </w:tcPr>
          <w:p>
            <w:pPr>
              <w:jc w:val="left"/>
            </w:pPr>
            <w:r>
              <w:rPr>
                <w:b w:val="false"/>
                <w:bCs w:val="false"/>
                <w:color w:val="0b0b0b"/>
                <w:sz w:val="18"/>
                <w:szCs w:val="18"/>
              </w:rPr>
              <w:t xml:space="preserve">AE-BK</w:t>
            </w:r>
          </w:p>
        </w:tc>
        <w:tc>
          <w:tcPr>
            <w:tcW w:type="dxa" w:w="1500"/>
            <w:tcMar>
              <w:top w:type="dxa" w:w="40"/>
              <w:left w:type="dxa" w:w="90"/>
              <w:bottom w:type="dxa" w:w="40"/>
              <w:right w:type="dxa" w:w="90"/>
            </w:tcMar>
          </w:tcPr>
          <w:p>
            <w:pPr>
              <w:jc w:val="left"/>
            </w:pPr>
            <w:r>
              <w:rPr>
                <w:b w:val="false"/>
                <w:bCs w:val="false"/>
                <w:color w:val="0b0b0b"/>
                <w:sz w:val="18"/>
                <w:szCs w:val="18"/>
              </w:rPr>
              <w:t xml:space="preserve">WEAK</w:t>
            </w:r>
          </w:p>
        </w:tc>
        <w:tc>
          <w:tcPr>
            <w:tcW w:type="dxa" w:w="900"/>
            <w:tcMar>
              <w:top w:type="dxa" w:w="40"/>
              <w:left w:type="dxa" w:w="90"/>
              <w:bottom w:type="dxa" w:w="40"/>
              <w:right w:type="dxa" w:w="90"/>
            </w:tcMar>
          </w:tcPr>
          <w:p>
            <w:pPr>
              <w:jc w:val="right"/>
            </w:pPr>
            <w:r>
              <w:rPr>
                <w:b w:val="false"/>
                <w:bCs w:val="false"/>
                <w:color w:val="0b0b0b"/>
                <w:sz w:val="18"/>
                <w:szCs w:val="18"/>
              </w:rPr>
              <w:t xml:space="preserve">11</w:t>
            </w:r>
          </w:p>
        </w:tc>
        <w:tc>
          <w:tcPr>
            <w:tcW w:type="dxa" w:w="900"/>
            <w:tcMar>
              <w:top w:type="dxa" w:w="40"/>
              <w:left w:type="dxa" w:w="90"/>
              <w:bottom w:type="dxa" w:w="40"/>
              <w:right w:type="dxa" w:w="90"/>
            </w:tcMar>
          </w:tcPr>
          <w:p>
            <w:pPr>
              <w:jc w:val="right"/>
            </w:pPr>
            <w:r>
              <w:rPr>
                <w:b w:val="false"/>
                <w:bCs w:val="false"/>
                <w:color w:val="0b0b0b"/>
                <w:sz w:val="18"/>
                <w:szCs w:val="18"/>
              </w:rPr>
              <w:t xml:space="preserve">2</w:t>
            </w:r>
          </w:p>
        </w:tc>
      </w:tr>
      <w:tr>
        <w:trPr>
          <w:tblHeader w:val="off"/>
        </w:trPr>
        <w:tc>
          <w:tcPr>
            <w:tcW w:type="dxa" w:w="3400"/>
            <w:shd w:fill="eef2f7" w:val="clear"/>
            <w:tcMar>
              <w:top w:type="dxa" w:w="40"/>
              <w:left w:type="dxa" w:w="90"/>
              <w:bottom w:type="dxa" w:w="40"/>
              <w:right w:type="dxa" w:w="90"/>
            </w:tcMar>
          </w:tcPr>
          <w:p>
            <w:pPr>
              <w:jc w:val="left"/>
            </w:pPr>
            <w:r>
              <w:rPr>
                <w:b w:val="false"/>
                <w:bCs w:val="false"/>
                <w:color w:val="0b0b0b"/>
                <w:sz w:val="18"/>
                <w:szCs w:val="18"/>
              </w:rPr>
              <w:t xml:space="preserve">Hereditary AE, normal C1-inhibitor, plasminogen mutation</w:t>
            </w:r>
          </w:p>
        </w:tc>
        <w:tc>
          <w:tcPr>
            <w:tcW w:type="dxa" w:w="900"/>
            <w:shd w:fill="eef2f7" w:val="clear"/>
            <w:tcMar>
              <w:top w:type="dxa" w:w="40"/>
              <w:left w:type="dxa" w:w="90"/>
              <w:bottom w:type="dxa" w:w="40"/>
              <w:right w:type="dxa" w:w="90"/>
            </w:tcMar>
          </w:tcPr>
          <w:p>
            <w:pPr>
              <w:jc w:val="left"/>
            </w:pPr>
            <w:r>
              <w:rPr>
                <w:b w:val="false"/>
                <w:bCs w:val="false"/>
                <w:color w:val="0b0b0b"/>
                <w:sz w:val="18"/>
                <w:szCs w:val="18"/>
              </w:rPr>
              <w:t xml:space="preserve">AE-BK</w:t>
            </w:r>
          </w:p>
        </w:tc>
        <w:tc>
          <w:tcPr>
            <w:tcW w:type="dxa" w:w="1500"/>
            <w:shd w:fill="eef2f7" w:val="clear"/>
            <w:tcMar>
              <w:top w:type="dxa" w:w="40"/>
              <w:left w:type="dxa" w:w="90"/>
              <w:bottom w:type="dxa" w:w="40"/>
              <w:right w:type="dxa" w:w="90"/>
            </w:tcMar>
          </w:tcPr>
          <w:p>
            <w:pPr>
              <w:jc w:val="left"/>
            </w:pPr>
            <w:r>
              <w:rPr>
                <w:b w:val="false"/>
                <w:bCs w:val="false"/>
                <w:color w:val="0b0b0b"/>
                <w:sz w:val="18"/>
                <w:szCs w:val="18"/>
              </w:rPr>
              <w:t xml:space="preserve">WEAK</w:t>
            </w:r>
          </w:p>
        </w:tc>
        <w:tc>
          <w:tcPr>
            <w:tcW w:type="dxa" w:w="900"/>
            <w:shd w:fill="eef2f7" w:val="clear"/>
            <w:tcMar>
              <w:top w:type="dxa" w:w="40"/>
              <w:left w:type="dxa" w:w="90"/>
              <w:bottom w:type="dxa" w:w="40"/>
              <w:right w:type="dxa" w:w="90"/>
            </w:tcMar>
          </w:tcPr>
          <w:p>
            <w:pPr>
              <w:jc w:val="right"/>
            </w:pPr>
            <w:r>
              <w:rPr>
                <w:b w:val="false"/>
                <w:bCs w:val="false"/>
                <w:color w:val="0b0b0b"/>
                <w:sz w:val="18"/>
                <w:szCs w:val="18"/>
              </w:rPr>
              <w:t xml:space="preserve">9</w:t>
            </w:r>
          </w:p>
        </w:tc>
        <w:tc>
          <w:tcPr>
            <w:tcW w:type="dxa" w:w="900"/>
            <w:shd w:fill="eef2f7" w:val="clear"/>
            <w:tcMar>
              <w:top w:type="dxa" w:w="40"/>
              <w:left w:type="dxa" w:w="90"/>
              <w:bottom w:type="dxa" w:w="40"/>
              <w:right w:type="dxa" w:w="90"/>
            </w:tcMar>
          </w:tcPr>
          <w:p>
            <w:pPr>
              <w:jc w:val="right"/>
            </w:pPr>
            <w:r>
              <w:rPr>
                <w:b w:val="false"/>
                <w:bCs w:val="false"/>
                <w:color w:val="0b0b0b"/>
                <w:sz w:val="18"/>
                <w:szCs w:val="18"/>
              </w:rPr>
              <w:t xml:space="preserve">9</w:t>
            </w:r>
          </w:p>
        </w:tc>
      </w:tr>
      <w:tr>
        <w:trPr>
          <w:tblHeader w:val="off"/>
        </w:trPr>
        <w:tc>
          <w:tcPr>
            <w:tcW w:type="dxa" w:w="3400"/>
            <w:tcMar>
              <w:top w:type="dxa" w:w="40"/>
              <w:left w:type="dxa" w:w="90"/>
              <w:bottom w:type="dxa" w:w="40"/>
              <w:right w:type="dxa" w:w="90"/>
            </w:tcMar>
          </w:tcPr>
          <w:p>
            <w:pPr>
              <w:jc w:val="left"/>
            </w:pPr>
            <w:r>
              <w:rPr>
                <w:b w:val="false"/>
                <w:bCs w:val="false"/>
                <w:color w:val="0b0b0b"/>
                <w:sz w:val="18"/>
                <w:szCs w:val="18"/>
              </w:rPr>
              <w:t xml:space="preserve">Hereditary AE, normal C1-inhibitor, carboxypeptidase N1 mutation</w:t>
            </w:r>
          </w:p>
        </w:tc>
        <w:tc>
          <w:tcPr>
            <w:tcW w:type="dxa" w:w="900"/>
            <w:tcMar>
              <w:top w:type="dxa" w:w="40"/>
              <w:left w:type="dxa" w:w="90"/>
              <w:bottom w:type="dxa" w:w="40"/>
              <w:right w:type="dxa" w:w="90"/>
            </w:tcMar>
          </w:tcPr>
          <w:p>
            <w:pPr>
              <w:jc w:val="left"/>
            </w:pPr>
            <w:r>
              <w:rPr>
                <w:b w:val="false"/>
                <w:bCs w:val="false"/>
                <w:color w:val="0b0b0b"/>
                <w:sz w:val="18"/>
                <w:szCs w:val="18"/>
              </w:rPr>
              <w:t xml:space="preserve">AE-BK</w:t>
            </w:r>
          </w:p>
        </w:tc>
        <w:tc>
          <w:tcPr>
            <w:tcW w:type="dxa" w:w="1500"/>
            <w:tcMar>
              <w:top w:type="dxa" w:w="40"/>
              <w:left w:type="dxa" w:w="90"/>
              <w:bottom w:type="dxa" w:w="40"/>
              <w:right w:type="dxa" w:w="90"/>
            </w:tcMar>
          </w:tcPr>
          <w:p>
            <w:pPr>
              <w:jc w:val="left"/>
            </w:pPr>
            <w:r>
              <w:rPr>
                <w:b w:val="false"/>
                <w:bCs w:val="false"/>
                <w:color w:val="0b0b0b"/>
                <w:sz w:val="18"/>
                <w:szCs w:val="18"/>
              </w:rPr>
              <w:t xml:space="preserve">WEAK</w:t>
            </w:r>
          </w:p>
        </w:tc>
        <w:tc>
          <w:tcPr>
            <w:tcW w:type="dxa" w:w="900"/>
            <w:tcMar>
              <w:top w:type="dxa" w:w="40"/>
              <w:left w:type="dxa" w:w="90"/>
              <w:bottom w:type="dxa" w:w="40"/>
              <w:right w:type="dxa" w:w="90"/>
            </w:tcMar>
          </w:tcPr>
          <w:p>
            <w:pPr>
              <w:jc w:val="right"/>
            </w:pPr>
            <w:r>
              <w:rPr>
                <w:b w:val="false"/>
                <w:bCs w:val="false"/>
                <w:color w:val="0b0b0b"/>
                <w:sz w:val="18"/>
                <w:szCs w:val="18"/>
              </w:rPr>
              <w:t xml:space="preserve">7</w:t>
            </w:r>
          </w:p>
        </w:tc>
        <w:tc>
          <w:tcPr>
            <w:tcW w:type="dxa" w:w="900"/>
            <w:tcMar>
              <w:top w:type="dxa" w:w="40"/>
              <w:left w:type="dxa" w:w="90"/>
              <w:bottom w:type="dxa" w:w="40"/>
              <w:right w:type="dxa" w:w="90"/>
            </w:tcMar>
          </w:tcPr>
          <w:p>
            <w:pPr>
              <w:jc w:val="right"/>
            </w:pPr>
            <w:r>
              <w:rPr>
                <w:b w:val="false"/>
                <w:bCs w:val="false"/>
                <w:color w:val="0b0b0b"/>
                <w:sz w:val="18"/>
                <w:szCs w:val="18"/>
              </w:rPr>
              <w:t xml:space="preserve">2</w:t>
            </w:r>
          </w:p>
        </w:tc>
      </w:tr>
      <w:tr>
        <w:trPr>
          <w:tblHeader w:val="off"/>
        </w:trPr>
        <w:tc>
          <w:tcPr>
            <w:tcW w:type="dxa" w:w="3400"/>
            <w:shd w:fill="eef2f7" w:val="clear"/>
            <w:tcMar>
              <w:top w:type="dxa" w:w="40"/>
              <w:left w:type="dxa" w:w="90"/>
              <w:bottom w:type="dxa" w:w="40"/>
              <w:right w:type="dxa" w:w="90"/>
            </w:tcMar>
          </w:tcPr>
          <w:p>
            <w:pPr>
              <w:jc w:val="left"/>
            </w:pPr>
            <w:r>
              <w:rPr>
                <w:b w:val="false"/>
                <w:bCs w:val="false"/>
                <w:color w:val="0b0b0b"/>
                <w:sz w:val="18"/>
                <w:szCs w:val="18"/>
              </w:rPr>
              <w:t xml:space="preserve">Thrombolysis-associated AE</w:t>
            </w:r>
          </w:p>
        </w:tc>
        <w:tc>
          <w:tcPr>
            <w:tcW w:type="dxa" w:w="900"/>
            <w:shd w:fill="eef2f7" w:val="clear"/>
            <w:tcMar>
              <w:top w:type="dxa" w:w="40"/>
              <w:left w:type="dxa" w:w="90"/>
              <w:bottom w:type="dxa" w:w="40"/>
              <w:right w:type="dxa" w:w="90"/>
            </w:tcMar>
          </w:tcPr>
          <w:p>
            <w:pPr>
              <w:jc w:val="left"/>
            </w:pPr>
            <w:r>
              <w:rPr>
                <w:b w:val="false"/>
                <w:bCs w:val="false"/>
                <w:color w:val="0b0b0b"/>
                <w:sz w:val="18"/>
                <w:szCs w:val="18"/>
              </w:rPr>
              <w:t xml:space="preserve">AE-DI</w:t>
            </w:r>
          </w:p>
        </w:tc>
        <w:tc>
          <w:tcPr>
            <w:tcW w:type="dxa" w:w="1500"/>
            <w:shd w:fill="eef2f7" w:val="clear"/>
            <w:tcMar>
              <w:top w:type="dxa" w:w="40"/>
              <w:left w:type="dxa" w:w="90"/>
              <w:bottom w:type="dxa" w:w="40"/>
              <w:right w:type="dxa" w:w="90"/>
            </w:tcMar>
          </w:tcPr>
          <w:p>
            <w:pPr>
              <w:jc w:val="left"/>
            </w:pPr>
            <w:r>
              <w:rPr>
                <w:b w:val="false"/>
                <w:bCs w:val="false"/>
                <w:color w:val="0b0b0b"/>
                <w:sz w:val="18"/>
                <w:szCs w:val="18"/>
              </w:rPr>
              <w:t xml:space="preserve">WEAK</w:t>
            </w:r>
          </w:p>
        </w:tc>
        <w:tc>
          <w:tcPr>
            <w:tcW w:type="dxa" w:w="900"/>
            <w:shd w:fill="eef2f7" w:val="clear"/>
            <w:tcMar>
              <w:top w:type="dxa" w:w="40"/>
              <w:left w:type="dxa" w:w="90"/>
              <w:bottom w:type="dxa" w:w="40"/>
              <w:right w:type="dxa" w:w="90"/>
            </w:tcMar>
          </w:tcPr>
          <w:p>
            <w:pPr>
              <w:jc w:val="right"/>
            </w:pPr>
            <w:r>
              <w:rPr>
                <w:b w:val="false"/>
                <w:bCs w:val="false"/>
                <w:color w:val="0b0b0b"/>
                <w:sz w:val="18"/>
                <w:szCs w:val="18"/>
              </w:rPr>
              <w:t xml:space="preserve">7</w:t>
            </w:r>
          </w:p>
        </w:tc>
        <w:tc>
          <w:tcPr>
            <w:tcW w:type="dxa" w:w="900"/>
            <w:shd w:fill="eef2f7" w:val="clear"/>
            <w:tcMar>
              <w:top w:type="dxa" w:w="40"/>
              <w:left w:type="dxa" w:w="90"/>
              <w:bottom w:type="dxa" w:w="40"/>
              <w:right w:type="dxa" w:w="90"/>
            </w:tcMar>
          </w:tcPr>
          <w:p>
            <w:pPr>
              <w:jc w:val="right"/>
            </w:pPr>
            <w:r>
              <w:rPr>
                <w:b w:val="false"/>
                <w:bCs w:val="false"/>
                <w:color w:val="0b0b0b"/>
                <w:sz w:val="18"/>
                <w:szCs w:val="18"/>
              </w:rPr>
              <w:t xml:space="preserve">4</w:t>
            </w:r>
          </w:p>
        </w:tc>
      </w:tr>
      <w:tr>
        <w:trPr>
          <w:tblHeader w:val="off"/>
        </w:trPr>
        <w:tc>
          <w:tcPr>
            <w:tcW w:type="dxa" w:w="3400"/>
            <w:tcMar>
              <w:top w:type="dxa" w:w="40"/>
              <w:left w:type="dxa" w:w="90"/>
              <w:bottom w:type="dxa" w:w="40"/>
              <w:right w:type="dxa" w:w="90"/>
            </w:tcMar>
          </w:tcPr>
          <w:p>
            <w:pPr>
              <w:jc w:val="left"/>
            </w:pPr>
            <w:r>
              <w:rPr>
                <w:b w:val="false"/>
                <w:bCs w:val="false"/>
                <w:color w:val="0b0b0b"/>
                <w:sz w:val="18"/>
                <w:szCs w:val="18"/>
              </w:rPr>
              <w:t xml:space="preserve">Mixed C1-inhibitor deficiency (hereditary and acquired)</w:t>
            </w:r>
          </w:p>
        </w:tc>
        <w:tc>
          <w:tcPr>
            <w:tcW w:type="dxa" w:w="900"/>
            <w:tcMar>
              <w:top w:type="dxa" w:w="40"/>
              <w:left w:type="dxa" w:w="90"/>
              <w:bottom w:type="dxa" w:w="40"/>
              <w:right w:type="dxa" w:w="90"/>
            </w:tcMar>
          </w:tcPr>
          <w:p>
            <w:pPr>
              <w:jc w:val="left"/>
            </w:pPr>
            <w:r>
              <w:rPr>
                <w:b w:val="false"/>
                <w:bCs w:val="false"/>
                <w:color w:val="0b0b0b"/>
                <w:sz w:val="18"/>
                <w:szCs w:val="18"/>
              </w:rPr>
              <w:t xml:space="preserve">AE-BK</w:t>
            </w:r>
          </w:p>
        </w:tc>
        <w:tc>
          <w:tcPr>
            <w:tcW w:type="dxa" w:w="1500"/>
            <w:tcMar>
              <w:top w:type="dxa" w:w="40"/>
              <w:left w:type="dxa" w:w="90"/>
              <w:bottom w:type="dxa" w:w="40"/>
              <w:right w:type="dxa" w:w="90"/>
            </w:tcMar>
          </w:tcPr>
          <w:p>
            <w:pPr>
              <w:jc w:val="left"/>
            </w:pPr>
            <w:r>
              <w:rPr>
                <w:b w:val="false"/>
                <w:bCs w:val="false"/>
                <w:color w:val="0b0b0b"/>
                <w:sz w:val="18"/>
                <w:szCs w:val="18"/>
              </w:rPr>
              <w:t xml:space="preserve">WEAK</w:t>
            </w:r>
          </w:p>
        </w:tc>
        <w:tc>
          <w:tcPr>
            <w:tcW w:type="dxa" w:w="900"/>
            <w:tcMar>
              <w:top w:type="dxa" w:w="40"/>
              <w:left w:type="dxa" w:w="90"/>
              <w:bottom w:type="dxa" w:w="40"/>
              <w:right w:type="dxa" w:w="90"/>
            </w:tcMar>
          </w:tcPr>
          <w:p>
            <w:pPr>
              <w:jc w:val="right"/>
            </w:pPr>
            <w:r>
              <w:rPr>
                <w:b w:val="false"/>
                <w:bCs w:val="false"/>
                <w:color w:val="0b0b0b"/>
                <w:sz w:val="18"/>
                <w:szCs w:val="18"/>
              </w:rPr>
              <w:t xml:space="preserve">5</w:t>
            </w:r>
          </w:p>
        </w:tc>
        <w:tc>
          <w:tcPr>
            <w:tcW w:type="dxa" w:w="900"/>
            <w:tcMar>
              <w:top w:type="dxa" w:w="40"/>
              <w:left w:type="dxa" w:w="90"/>
              <w:bottom w:type="dxa" w:w="40"/>
              <w:right w:type="dxa" w:w="90"/>
            </w:tcMar>
          </w:tcPr>
          <w:p>
            <w:pPr>
              <w:jc w:val="right"/>
            </w:pPr>
            <w:r>
              <w:rPr>
                <w:b w:val="false"/>
                <w:bCs w:val="false"/>
                <w:color w:val="0b0b0b"/>
                <w:sz w:val="18"/>
                <w:szCs w:val="18"/>
              </w:rPr>
              <w:t xml:space="preserve">2</w:t>
            </w:r>
          </w:p>
        </w:tc>
      </w:tr>
      <w:tr>
        <w:trPr>
          <w:tblHeader w:val="off"/>
        </w:trPr>
        <w:tc>
          <w:tcPr>
            <w:tcW w:type="dxa" w:w="3400"/>
            <w:shd w:fill="eef2f7" w:val="clear"/>
            <w:tcMar>
              <w:top w:type="dxa" w:w="40"/>
              <w:left w:type="dxa" w:w="90"/>
              <w:bottom w:type="dxa" w:w="40"/>
              <w:right w:type="dxa" w:w="90"/>
            </w:tcMar>
          </w:tcPr>
          <w:p>
            <w:pPr>
              <w:jc w:val="left"/>
            </w:pPr>
            <w:r>
              <w:rPr>
                <w:b w:val="false"/>
                <w:bCs w:val="false"/>
                <w:color w:val="0b0b0b"/>
                <w:sz w:val="18"/>
                <w:szCs w:val="18"/>
              </w:rPr>
              <w:t xml:space="preserve">Hereditary AE, normal C1-inhibitor, angiopoietin-1 mutation</w:t>
            </w:r>
          </w:p>
        </w:tc>
        <w:tc>
          <w:tcPr>
            <w:tcW w:type="dxa" w:w="900"/>
            <w:shd w:fill="eef2f7" w:val="clear"/>
            <w:tcMar>
              <w:top w:type="dxa" w:w="40"/>
              <w:left w:type="dxa" w:w="90"/>
              <w:bottom w:type="dxa" w:w="40"/>
              <w:right w:type="dxa" w:w="90"/>
            </w:tcMar>
          </w:tcPr>
          <w:p>
            <w:pPr>
              <w:jc w:val="left"/>
            </w:pPr>
            <w:r>
              <w:rPr>
                <w:b w:val="false"/>
                <w:bCs w:val="false"/>
                <w:color w:val="0b0b0b"/>
                <w:sz w:val="18"/>
                <w:szCs w:val="18"/>
              </w:rPr>
              <w:t xml:space="preserve">AE-VE</w:t>
            </w:r>
          </w:p>
        </w:tc>
        <w:tc>
          <w:tcPr>
            <w:tcW w:type="dxa" w:w="1500"/>
            <w:shd w:fill="eef2f7" w:val="clear"/>
            <w:tcMar>
              <w:top w:type="dxa" w:w="40"/>
              <w:left w:type="dxa" w:w="90"/>
              <w:bottom w:type="dxa" w:w="40"/>
              <w:right w:type="dxa" w:w="90"/>
            </w:tcMar>
          </w:tcPr>
          <w:p>
            <w:pPr>
              <w:jc w:val="left"/>
            </w:pPr>
            <w:r>
              <w:rPr>
                <w:b w:val="false"/>
                <w:bCs w:val="false"/>
                <w:color w:val="0b0b0b"/>
                <w:sz w:val="18"/>
                <w:szCs w:val="18"/>
              </w:rPr>
              <w:t xml:space="preserve">WEAK</w:t>
            </w:r>
          </w:p>
        </w:tc>
        <w:tc>
          <w:tcPr>
            <w:tcW w:type="dxa" w:w="900"/>
            <w:shd w:fill="eef2f7" w:val="clear"/>
            <w:tcMar>
              <w:top w:type="dxa" w:w="40"/>
              <w:left w:type="dxa" w:w="90"/>
              <w:bottom w:type="dxa" w:w="40"/>
              <w:right w:type="dxa" w:w="90"/>
            </w:tcMar>
          </w:tcPr>
          <w:p>
            <w:pPr>
              <w:jc w:val="right"/>
            </w:pPr>
            <w:r>
              <w:rPr>
                <w:b w:val="false"/>
                <w:bCs w:val="false"/>
                <w:color w:val="0b0b0b"/>
                <w:sz w:val="18"/>
                <w:szCs w:val="18"/>
              </w:rPr>
              <w:t xml:space="preserve">1</w:t>
            </w:r>
          </w:p>
        </w:tc>
        <w:tc>
          <w:tcPr>
            <w:tcW w:type="dxa" w:w="900"/>
            <w:shd w:fill="eef2f7" w:val="clear"/>
            <w:tcMar>
              <w:top w:type="dxa" w:w="40"/>
              <w:left w:type="dxa" w:w="90"/>
              <w:bottom w:type="dxa" w:w="40"/>
              <w:right w:type="dxa" w:w="90"/>
            </w:tcMar>
          </w:tcPr>
          <w:p>
            <w:pPr>
              <w:jc w:val="right"/>
            </w:pPr>
            <w:r>
              <w:rPr>
                <w:b w:val="false"/>
                <w:bCs w:val="false"/>
                <w:color w:val="0b0b0b"/>
                <w:sz w:val="18"/>
                <w:szCs w:val="18"/>
              </w:rPr>
              <w:t xml:space="preserve">3</w:t>
            </w:r>
          </w:p>
        </w:tc>
      </w:tr>
      <w:tr>
        <w:trPr>
          <w:tblHeader w:val="off"/>
        </w:trPr>
        <w:tc>
          <w:tcPr>
            <w:tcW w:type="dxa" w:w="3400"/>
            <w:tcMar>
              <w:top w:type="dxa" w:w="40"/>
              <w:left w:type="dxa" w:w="90"/>
              <w:bottom w:type="dxa" w:w="40"/>
              <w:right w:type="dxa" w:w="90"/>
            </w:tcMar>
          </w:tcPr>
          <w:p>
            <w:pPr>
              <w:jc w:val="left"/>
            </w:pPr>
            <w:r>
              <w:rPr>
                <w:b w:val="false"/>
                <w:bCs w:val="false"/>
                <w:color w:val="0b0b0b"/>
                <w:sz w:val="18"/>
                <w:szCs w:val="18"/>
              </w:rPr>
              <w:t xml:space="preserve">Hereditary AE, normal C1-inhibitor, kininogen-1 mutation</w:t>
            </w:r>
          </w:p>
        </w:tc>
        <w:tc>
          <w:tcPr>
            <w:tcW w:type="dxa" w:w="900"/>
            <w:tcMar>
              <w:top w:type="dxa" w:w="40"/>
              <w:left w:type="dxa" w:w="90"/>
              <w:bottom w:type="dxa" w:w="40"/>
              <w:right w:type="dxa" w:w="90"/>
            </w:tcMar>
          </w:tcPr>
          <w:p>
            <w:pPr>
              <w:jc w:val="left"/>
            </w:pPr>
            <w:r>
              <w:rPr>
                <w:b w:val="false"/>
                <w:bCs w:val="false"/>
                <w:color w:val="0b0b0b"/>
                <w:sz w:val="18"/>
                <w:szCs w:val="18"/>
              </w:rPr>
              <w:t xml:space="preserve">AE-BK</w:t>
            </w:r>
          </w:p>
        </w:tc>
        <w:tc>
          <w:tcPr>
            <w:tcW w:type="dxa" w:w="1500"/>
            <w:tcMar>
              <w:top w:type="dxa" w:w="40"/>
              <w:left w:type="dxa" w:w="90"/>
              <w:bottom w:type="dxa" w:w="40"/>
              <w:right w:type="dxa" w:w="90"/>
            </w:tcMar>
          </w:tcPr>
          <w:p>
            <w:pPr>
              <w:jc w:val="left"/>
            </w:pPr>
            <w:r>
              <w:rPr>
                <w:b w:val="false"/>
                <w:bCs w:val="false"/>
                <w:color w:val="0b0b0b"/>
                <w:sz w:val="18"/>
                <w:szCs w:val="18"/>
              </w:rPr>
              <w:t xml:space="preserve">WEAK</w:t>
            </w:r>
          </w:p>
        </w:tc>
        <w:tc>
          <w:tcPr>
            <w:tcW w:type="dxa" w:w="900"/>
            <w:tcMar>
              <w:top w:type="dxa" w:w="40"/>
              <w:left w:type="dxa" w:w="90"/>
              <w:bottom w:type="dxa" w:w="40"/>
              <w:right w:type="dxa" w:w="90"/>
            </w:tcMar>
          </w:tcPr>
          <w:p>
            <w:pPr>
              <w:jc w:val="right"/>
            </w:pPr>
            <w:r>
              <w:rPr>
                <w:b w:val="false"/>
                <w:bCs w:val="false"/>
                <w:color w:val="0b0b0b"/>
                <w:sz w:val="18"/>
                <w:szCs w:val="18"/>
              </w:rPr>
              <w:t xml:space="preserve">1</w:t>
            </w:r>
          </w:p>
        </w:tc>
        <w:tc>
          <w:tcPr>
            <w:tcW w:type="dxa" w:w="900"/>
            <w:tcMar>
              <w:top w:type="dxa" w:w="40"/>
              <w:left w:type="dxa" w:w="90"/>
              <w:bottom w:type="dxa" w:w="40"/>
              <w:right w:type="dxa" w:w="90"/>
            </w:tcMar>
          </w:tcPr>
          <w:p>
            <w:pPr>
              <w:jc w:val="right"/>
            </w:pPr>
            <w:r>
              <w:rPr>
                <w:b w:val="false"/>
                <w:bCs w:val="false"/>
                <w:color w:val="0b0b0b"/>
                <w:sz w:val="18"/>
                <w:szCs w:val="18"/>
              </w:rPr>
              <w:t xml:space="preserve">3</w:t>
            </w:r>
          </w:p>
        </w:tc>
      </w:tr>
    </w:tbl>
    <w:p>
      <w:pPr>
        <w:spacing w:after="200" w:before="60"/>
        <w:jc w:val="center"/>
      </w:pPr>
      <w:r>
        <w:rPr>
          <w:i/>
          <w:iCs/>
          <w:color w:val="52514e"/>
          <w:sz w:val="17"/>
          <w:szCs w:val="17"/>
        </w:rPr>
        <w:t xml:space="preserve">Table 2. Full bradykinin-causation verdicts per subtype, with the evidence volume behind each.</w:t>
      </w:r>
    </w:p>
    <w:tbl>
      <w:tblPr>
        <w:tblW w:type="dxa" w:w="8600"/>
        <w:tblBorders>
          <w:top w:val="single" w:color="c9d2de" w:sz="2"/>
          <w:left w:val="none"/>
          <w:bottom w:val="single" w:color="c9d2de" w:sz="2"/>
          <w:right w:val="none"/>
          <w:insideH w:val="single" w:color="c9d2de" w:sz="1"/>
          <w:insideV w:val="none"/>
        </w:tblBorders>
      </w:tblPr>
      <w:tblGrid>
        <w:gridCol w:w="2200"/>
        <w:gridCol w:w="1150"/>
        <w:gridCol w:w="1150"/>
        <w:gridCol w:w="900"/>
        <w:gridCol w:w="1250"/>
        <w:gridCol w:w="900"/>
        <w:gridCol w:w="1050"/>
      </w:tblGrid>
      <w:tr>
        <w:trPr>
          <w:tblHeader/>
        </w:trPr>
        <w:tc>
          <w:tcPr>
            <w:tcW w:type="dxa" w:w="2200"/>
            <w:shd w:fill="1f3b63" w:val="clear"/>
            <w:tcMar>
              <w:top w:type="dxa" w:w="40"/>
              <w:left w:type="dxa" w:w="90"/>
              <w:bottom w:type="dxa" w:w="40"/>
              <w:right w:type="dxa" w:w="90"/>
            </w:tcMar>
          </w:tcPr>
          <w:p>
            <w:pPr>
              <w:jc w:val="left"/>
            </w:pPr>
            <w:r>
              <w:rPr>
                <w:b/>
                <w:bCs/>
                <w:color w:val="ffffff"/>
                <w:sz w:val="18"/>
                <w:szCs w:val="18"/>
              </w:rPr>
              <w:t xml:space="preserve">table</w:t>
            </w:r>
          </w:p>
        </w:tc>
        <w:tc>
          <w:tcPr>
            <w:tcW w:type="dxa" w:w="1150"/>
            <w:shd w:fill="1f3b63" w:val="clear"/>
            <w:tcMar>
              <w:top w:type="dxa" w:w="40"/>
              <w:left w:type="dxa" w:w="90"/>
              <w:bottom w:type="dxa" w:w="40"/>
              <w:right w:type="dxa" w:w="90"/>
            </w:tcMar>
          </w:tcPr>
          <w:p>
            <w:pPr>
              <w:jc w:val="right"/>
            </w:pPr>
            <w:r>
              <w:rPr>
                <w:b/>
                <w:bCs/>
                <w:color w:val="ffffff"/>
                <w:sz w:val="18"/>
                <w:szCs w:val="18"/>
              </w:rPr>
              <w:t xml:space="preserve">PASS_AUTO</w:t>
            </w:r>
          </w:p>
        </w:tc>
        <w:tc>
          <w:tcPr>
            <w:tcW w:type="dxa" w:w="1150"/>
            <w:shd w:fill="1f3b63" w:val="clear"/>
            <w:tcMar>
              <w:top w:type="dxa" w:w="40"/>
              <w:left w:type="dxa" w:w="90"/>
              <w:bottom w:type="dxa" w:w="40"/>
              <w:right w:type="dxa" w:w="90"/>
            </w:tcMar>
          </w:tcPr>
          <w:p>
            <w:pPr>
              <w:jc w:val="right"/>
            </w:pPr>
            <w:r>
              <w:rPr>
                <w:b/>
                <w:bCs/>
                <w:color w:val="ffffff"/>
                <w:sz w:val="18"/>
                <w:szCs w:val="18"/>
              </w:rPr>
              <w:t xml:space="preserve">CONFIRMED</w:t>
            </w:r>
          </w:p>
        </w:tc>
        <w:tc>
          <w:tcPr>
            <w:tcW w:type="dxa" w:w="900"/>
            <w:shd w:fill="1f3b63" w:val="clear"/>
            <w:tcMar>
              <w:top w:type="dxa" w:w="40"/>
              <w:left w:type="dxa" w:w="90"/>
              <w:bottom w:type="dxa" w:w="40"/>
              <w:right w:type="dxa" w:w="90"/>
            </w:tcMar>
          </w:tcPr>
          <w:p>
            <w:pPr>
              <w:jc w:val="right"/>
            </w:pPr>
            <w:r>
              <w:rPr>
                <w:b/>
                <w:bCs/>
                <w:color w:val="ffffff"/>
                <w:sz w:val="18"/>
                <w:szCs w:val="18"/>
              </w:rPr>
              <w:t xml:space="preserve">DERIVED</w:t>
            </w:r>
          </w:p>
        </w:tc>
        <w:tc>
          <w:tcPr>
            <w:tcW w:type="dxa" w:w="1250"/>
            <w:shd w:fill="1f3b63" w:val="clear"/>
            <w:tcMar>
              <w:top w:type="dxa" w:w="40"/>
              <w:left w:type="dxa" w:w="90"/>
              <w:bottom w:type="dxa" w:w="40"/>
              <w:right w:type="dxa" w:w="90"/>
            </w:tcMar>
          </w:tcPr>
          <w:p>
            <w:pPr>
              <w:jc w:val="right"/>
            </w:pPr>
            <w:r>
              <w:rPr>
                <w:b/>
                <w:bCs/>
                <w:color w:val="ffffff"/>
                <w:sz w:val="18"/>
                <w:szCs w:val="18"/>
              </w:rPr>
              <w:t xml:space="preserve">UNVERIFIABLE</w:t>
            </w:r>
          </w:p>
        </w:tc>
        <w:tc>
          <w:tcPr>
            <w:tcW w:type="dxa" w:w="900"/>
            <w:shd w:fill="1f3b63" w:val="clear"/>
            <w:tcMar>
              <w:top w:type="dxa" w:w="40"/>
              <w:left w:type="dxa" w:w="90"/>
              <w:bottom w:type="dxa" w:w="40"/>
              <w:right w:type="dxa" w:w="90"/>
            </w:tcMar>
          </w:tcPr>
          <w:p>
            <w:pPr>
              <w:jc w:val="right"/>
            </w:pPr>
            <w:r>
              <w:rPr>
                <w:b/>
                <w:bCs/>
                <w:color w:val="ffffff"/>
                <w:sz w:val="18"/>
                <w:szCs w:val="18"/>
              </w:rPr>
              <w:t xml:space="preserve">WRONG</w:t>
            </w:r>
          </w:p>
        </w:tc>
        <w:tc>
          <w:tcPr>
            <w:tcW w:type="dxa" w:w="1050"/>
            <w:shd w:fill="1f3b63" w:val="clear"/>
            <w:tcMar>
              <w:top w:type="dxa" w:w="40"/>
              <w:left w:type="dxa" w:w="90"/>
              <w:bottom w:type="dxa" w:w="40"/>
              <w:right w:type="dxa" w:w="90"/>
            </w:tcMar>
          </w:tcPr>
          <w:p>
            <w:pPr>
              <w:jc w:val="right"/>
            </w:pPr>
            <w:r>
              <w:rPr>
                <w:b/>
                <w:bCs/>
                <w:color w:val="ffffff"/>
                <w:sz w:val="18"/>
                <w:szCs w:val="18"/>
              </w:rPr>
              <w:t xml:space="preserve">NA_QUALITATIVE</w:t>
            </w:r>
          </w:p>
        </w:tc>
      </w:tr>
      <w:tr>
        <w:trPr>
          <w:tblHeader w:val="off"/>
        </w:trPr>
        <w:tc>
          <w:tcPr>
            <w:tcW w:type="dxa" w:w="2200"/>
            <w:tcMar>
              <w:top w:type="dxa" w:w="40"/>
              <w:left w:type="dxa" w:w="90"/>
              <w:bottom w:type="dxa" w:w="40"/>
              <w:right w:type="dxa" w:w="90"/>
            </w:tcMar>
          </w:tcPr>
          <w:p>
            <w:pPr>
              <w:jc w:val="left"/>
            </w:pPr>
            <w:r>
              <w:rPr>
                <w:b w:val="false"/>
                <w:bCs w:val="false"/>
                <w:color w:val="0b0b0b"/>
                <w:sz w:val="18"/>
                <w:szCs w:val="18"/>
              </w:rPr>
              <w:t xml:space="preserve">clinical_outcomes</w:t>
            </w:r>
          </w:p>
        </w:tc>
        <w:tc>
          <w:tcPr>
            <w:tcW w:type="dxa" w:w="1150"/>
            <w:tcMar>
              <w:top w:type="dxa" w:w="40"/>
              <w:left w:type="dxa" w:w="90"/>
              <w:bottom w:type="dxa" w:w="40"/>
              <w:right w:type="dxa" w:w="90"/>
            </w:tcMar>
          </w:tcPr>
          <w:p>
            <w:pPr>
              <w:jc w:val="right"/>
            </w:pPr>
            <w:r>
              <w:rPr>
                <w:b w:val="false"/>
                <w:bCs w:val="false"/>
                <w:color w:val="0b0b0b"/>
                <w:sz w:val="18"/>
                <w:szCs w:val="18"/>
              </w:rPr>
              <w:t xml:space="preserve">1295</w:t>
            </w:r>
          </w:p>
        </w:tc>
        <w:tc>
          <w:tcPr>
            <w:tcW w:type="dxa" w:w="1150"/>
            <w:tcMar>
              <w:top w:type="dxa" w:w="40"/>
              <w:left w:type="dxa" w:w="90"/>
              <w:bottom w:type="dxa" w:w="40"/>
              <w:right w:type="dxa" w:w="90"/>
            </w:tcMar>
          </w:tcPr>
          <w:p>
            <w:pPr>
              <w:jc w:val="right"/>
            </w:pPr>
            <w:r>
              <w:rPr>
                <w:b w:val="false"/>
                <w:bCs w:val="false"/>
                <w:color w:val="0b0b0b"/>
                <w:sz w:val="18"/>
                <w:szCs w:val="18"/>
              </w:rPr>
              <w:t xml:space="preserve">253</w:t>
            </w:r>
          </w:p>
        </w:tc>
        <w:tc>
          <w:tcPr>
            <w:tcW w:type="dxa" w:w="900"/>
            <w:tcMar>
              <w:top w:type="dxa" w:w="40"/>
              <w:left w:type="dxa" w:w="90"/>
              <w:bottom w:type="dxa" w:w="40"/>
              <w:right w:type="dxa" w:w="90"/>
            </w:tcMar>
          </w:tcPr>
          <w:p>
            <w:pPr>
              <w:jc w:val="right"/>
            </w:pPr>
            <w:r>
              <w:rPr>
                <w:b w:val="false"/>
                <w:bCs w:val="false"/>
                <w:color w:val="0b0b0b"/>
                <w:sz w:val="18"/>
                <w:szCs w:val="18"/>
              </w:rPr>
              <w:t xml:space="preserve">30</w:t>
            </w:r>
          </w:p>
        </w:tc>
        <w:tc>
          <w:tcPr>
            <w:tcW w:type="dxa" w:w="1250"/>
            <w:tcMar>
              <w:top w:type="dxa" w:w="40"/>
              <w:left w:type="dxa" w:w="90"/>
              <w:bottom w:type="dxa" w:w="40"/>
              <w:right w:type="dxa" w:w="90"/>
            </w:tcMar>
          </w:tcPr>
          <w:p>
            <w:pPr>
              <w:jc w:val="right"/>
            </w:pPr>
            <w:r>
              <w:rPr>
                <w:b w:val="false"/>
                <w:bCs w:val="false"/>
                <w:color w:val="0b0b0b"/>
                <w:sz w:val="18"/>
                <w:szCs w:val="18"/>
              </w:rPr>
              <w:t xml:space="preserve">81</w:t>
            </w:r>
          </w:p>
        </w:tc>
        <w:tc>
          <w:tcPr>
            <w:tcW w:type="dxa" w:w="900"/>
            <w:tcMar>
              <w:top w:type="dxa" w:w="40"/>
              <w:left w:type="dxa" w:w="90"/>
              <w:bottom w:type="dxa" w:w="40"/>
              <w:right w:type="dxa" w:w="90"/>
            </w:tcMar>
          </w:tcPr>
          <w:p>
            <w:pPr>
              <w:jc w:val="right"/>
            </w:pPr>
            <w:r>
              <w:rPr>
                <w:b w:val="false"/>
                <w:bCs w:val="false"/>
                <w:color w:val="0b0b0b"/>
                <w:sz w:val="18"/>
                <w:szCs w:val="18"/>
              </w:rPr>
              <w:t xml:space="preserve">6</w:t>
            </w:r>
          </w:p>
        </w:tc>
        <w:tc>
          <w:tcPr>
            <w:tcW w:type="dxa" w:w="1050"/>
            <w:tcMar>
              <w:top w:type="dxa" w:w="40"/>
              <w:left w:type="dxa" w:w="90"/>
              <w:bottom w:type="dxa" w:w="40"/>
              <w:right w:type="dxa" w:w="90"/>
            </w:tcMar>
          </w:tcPr>
          <w:p>
            <w:pPr>
              <w:jc w:val="right"/>
            </w:pPr>
            <w:r>
              <w:rPr>
                <w:b w:val="false"/>
                <w:bCs w:val="false"/>
                <w:color w:val="0b0b0b"/>
                <w:sz w:val="18"/>
                <w:szCs w:val="18"/>
              </w:rPr>
              <w:t xml:space="preserve">50</w:t>
            </w:r>
          </w:p>
        </w:tc>
      </w:tr>
      <w:tr>
        <w:trPr>
          <w:tblHeader w:val="off"/>
        </w:trPr>
        <w:tc>
          <w:tcPr>
            <w:tcW w:type="dxa" w:w="2200"/>
            <w:shd w:fill="eef2f7" w:val="clear"/>
            <w:tcMar>
              <w:top w:type="dxa" w:w="40"/>
              <w:left w:type="dxa" w:w="90"/>
              <w:bottom w:type="dxa" w:w="40"/>
              <w:right w:type="dxa" w:w="90"/>
            </w:tcMar>
          </w:tcPr>
          <w:p>
            <w:pPr>
              <w:jc w:val="left"/>
            </w:pPr>
            <w:r>
              <w:rPr>
                <w:b w:val="false"/>
                <w:bCs w:val="false"/>
                <w:color w:val="0b0b0b"/>
                <w:sz w:val="18"/>
                <w:szCs w:val="18"/>
              </w:rPr>
              <w:t xml:space="preserve">diagnostic_accuracy</w:t>
            </w:r>
          </w:p>
        </w:tc>
        <w:tc>
          <w:tcPr>
            <w:tcW w:type="dxa" w:w="1150"/>
            <w:shd w:fill="eef2f7" w:val="clear"/>
            <w:tcMar>
              <w:top w:type="dxa" w:w="40"/>
              <w:left w:type="dxa" w:w="90"/>
              <w:bottom w:type="dxa" w:w="40"/>
              <w:right w:type="dxa" w:w="90"/>
            </w:tcMar>
          </w:tcPr>
          <w:p>
            <w:pPr>
              <w:jc w:val="right"/>
            </w:pPr>
            <w:r>
              <w:rPr>
                <w:b w:val="false"/>
                <w:bCs w:val="false"/>
                <w:color w:val="0b0b0b"/>
                <w:sz w:val="18"/>
                <w:szCs w:val="18"/>
              </w:rPr>
              <w:t xml:space="preserve">38</w:t>
            </w:r>
          </w:p>
        </w:tc>
        <w:tc>
          <w:tcPr>
            <w:tcW w:type="dxa" w:w="1150"/>
            <w:shd w:fill="eef2f7" w:val="clear"/>
            <w:tcMar>
              <w:top w:type="dxa" w:w="40"/>
              <w:left w:type="dxa" w:w="90"/>
              <w:bottom w:type="dxa" w:w="40"/>
              <w:right w:type="dxa" w:w="90"/>
            </w:tcMar>
          </w:tcPr>
          <w:p>
            <w:pPr>
              <w:jc w:val="right"/>
            </w:pPr>
            <w:r>
              <w:rPr>
                <w:b w:val="false"/>
                <w:bCs w:val="false"/>
                <w:color w:val="0b0b0b"/>
                <w:sz w:val="18"/>
                <w:szCs w:val="18"/>
              </w:rPr>
              <w:t xml:space="preserve">4</w:t>
            </w:r>
          </w:p>
        </w:tc>
        <w:tc>
          <w:tcPr>
            <w:tcW w:type="dxa" w:w="900"/>
            <w:shd w:fill="eef2f7" w:val="clear"/>
            <w:tcMar>
              <w:top w:type="dxa" w:w="40"/>
              <w:left w:type="dxa" w:w="90"/>
              <w:bottom w:type="dxa" w:w="40"/>
              <w:right w:type="dxa" w:w="90"/>
            </w:tcMar>
          </w:tcPr>
          <w:p>
            <w:pPr>
              <w:jc w:val="right"/>
            </w:pPr>
            <w:r>
              <w:rPr>
                <w:b w:val="false"/>
                <w:bCs w:val="false"/>
                <w:color w:val="0b0b0b"/>
                <w:sz w:val="18"/>
                <w:szCs w:val="18"/>
              </w:rPr>
              <w:t xml:space="preserve">1</w:t>
            </w:r>
          </w:p>
        </w:tc>
        <w:tc>
          <w:tcPr>
            <w:tcW w:type="dxa" w:w="1250"/>
            <w:shd w:fill="eef2f7" w:val="clear"/>
            <w:tcMar>
              <w:top w:type="dxa" w:w="40"/>
              <w:left w:type="dxa" w:w="90"/>
              <w:bottom w:type="dxa" w:w="40"/>
              <w:right w:type="dxa" w:w="90"/>
            </w:tcMar>
          </w:tcPr>
          <w:p>
            <w:pPr>
              <w:jc w:val="right"/>
            </w:pPr>
            <w:r>
              <w:rPr>
                <w:b w:val="false"/>
                <w:bCs w:val="false"/>
                <w:color w:val="0b0b0b"/>
                <w:sz w:val="18"/>
                <w:szCs w:val="18"/>
              </w:rPr>
              <w:t xml:space="preserve">8</w:t>
            </w:r>
          </w:p>
        </w:tc>
        <w:tc>
          <w:tcPr>
            <w:tcW w:type="dxa" w:w="900"/>
            <w:shd w:fill="eef2f7" w:val="clear"/>
            <w:tcMar>
              <w:top w:type="dxa" w:w="40"/>
              <w:left w:type="dxa" w:w="90"/>
              <w:bottom w:type="dxa" w:w="40"/>
              <w:right w:type="dxa" w:w="90"/>
            </w:tcMar>
          </w:tcPr>
          <w:p>
            <w:pPr>
              <w:jc w:val="right"/>
            </w:pPr>
            <w:r>
              <w:rPr>
                <w:b w:val="false"/>
                <w:bCs w:val="false"/>
                <w:color w:val="0b0b0b"/>
                <w:sz w:val="18"/>
                <w:szCs w:val="18"/>
              </w:rPr>
              <w:t xml:space="preserve">1</w:t>
            </w:r>
          </w:p>
        </w:tc>
        <w:tc>
          <w:tcPr>
            <w:tcW w:type="dxa" w:w="1050"/>
            <w:shd w:fill="eef2f7" w:val="clear"/>
            <w:tcMar>
              <w:top w:type="dxa" w:w="40"/>
              <w:left w:type="dxa" w:w="90"/>
              <w:bottom w:type="dxa" w:w="40"/>
              <w:right w:type="dxa" w:w="90"/>
            </w:tcMar>
          </w:tcPr>
          <w:p>
            <w:pPr>
              <w:jc w:val="right"/>
            </w:pPr>
            <w:r>
              <w:rPr>
                <w:b w:val="false"/>
                <w:bCs w:val="false"/>
                <w:color w:val="0b0b0b"/>
                <w:sz w:val="18"/>
                <w:szCs w:val="18"/>
              </w:rPr>
              <w:t xml:space="preserve">94</w:t>
            </w:r>
          </w:p>
        </w:tc>
      </w:tr>
      <w:tr>
        <w:trPr>
          <w:tblHeader w:val="off"/>
        </w:trPr>
        <w:tc>
          <w:tcPr>
            <w:tcW w:type="dxa" w:w="2200"/>
            <w:tcMar>
              <w:top w:type="dxa" w:w="40"/>
              <w:left w:type="dxa" w:w="90"/>
              <w:bottom w:type="dxa" w:w="40"/>
              <w:right w:type="dxa" w:w="90"/>
            </w:tcMar>
          </w:tcPr>
          <w:p>
            <w:pPr>
              <w:jc w:val="left"/>
            </w:pPr>
            <w:r>
              <w:rPr>
                <w:b w:val="false"/>
                <w:bCs w:val="false"/>
                <w:color w:val="0b0b0b"/>
                <w:sz w:val="18"/>
                <w:szCs w:val="18"/>
              </w:rPr>
              <w:t xml:space="preserve">genetic_findings</w:t>
            </w:r>
          </w:p>
        </w:tc>
        <w:tc>
          <w:tcPr>
            <w:tcW w:type="dxa" w:w="1150"/>
            <w:tcMar>
              <w:top w:type="dxa" w:w="40"/>
              <w:left w:type="dxa" w:w="90"/>
              <w:bottom w:type="dxa" w:w="40"/>
              <w:right w:type="dxa" w:w="90"/>
            </w:tcMar>
          </w:tcPr>
          <w:p>
            <w:pPr>
              <w:jc w:val="right"/>
            </w:pPr>
            <w:r>
              <w:rPr>
                <w:b w:val="false"/>
                <w:bCs w:val="false"/>
                <w:color w:val="0b0b0b"/>
                <w:sz w:val="18"/>
                <w:szCs w:val="18"/>
              </w:rPr>
              <w:t xml:space="preserve">184</w:t>
            </w:r>
          </w:p>
        </w:tc>
        <w:tc>
          <w:tcPr>
            <w:tcW w:type="dxa" w:w="1150"/>
            <w:tcMar>
              <w:top w:type="dxa" w:w="40"/>
              <w:left w:type="dxa" w:w="90"/>
              <w:bottom w:type="dxa" w:w="40"/>
              <w:right w:type="dxa" w:w="90"/>
            </w:tcMar>
          </w:tcPr>
          <w:p>
            <w:pPr>
              <w:jc w:val="right"/>
            </w:pPr>
            <w:r>
              <w:rPr>
                <w:b w:val="false"/>
                <w:bCs w:val="false"/>
                <w:color w:val="0b0b0b"/>
                <w:sz w:val="18"/>
                <w:szCs w:val="18"/>
              </w:rPr>
              <w:t xml:space="preserve">50</w:t>
            </w:r>
          </w:p>
        </w:tc>
        <w:tc>
          <w:tcPr>
            <w:tcW w:type="dxa" w:w="900"/>
            <w:tcMar>
              <w:top w:type="dxa" w:w="40"/>
              <w:left w:type="dxa" w:w="90"/>
              <w:bottom w:type="dxa" w:w="40"/>
              <w:right w:type="dxa" w:w="90"/>
            </w:tcMar>
          </w:tcPr>
          <w:p>
            <w:pPr>
              <w:jc w:val="right"/>
            </w:pPr>
            <w:r>
              <w:rPr>
                <w:b w:val="false"/>
                <w:bCs w:val="false"/>
                <w:color w:val="0b0b0b"/>
                <w:sz w:val="18"/>
                <w:szCs w:val="18"/>
              </w:rPr>
              <w:t xml:space="preserve">8</w:t>
            </w:r>
          </w:p>
        </w:tc>
        <w:tc>
          <w:tcPr>
            <w:tcW w:type="dxa" w:w="1250"/>
            <w:tcMar>
              <w:top w:type="dxa" w:w="40"/>
              <w:left w:type="dxa" w:w="90"/>
              <w:bottom w:type="dxa" w:w="40"/>
              <w:right w:type="dxa" w:w="90"/>
            </w:tcMar>
          </w:tcPr>
          <w:p>
            <w:pPr>
              <w:jc w:val="right"/>
            </w:pPr>
            <w:r>
              <w:rPr>
                <w:b w:val="false"/>
                <w:bCs w:val="false"/>
                <w:color w:val="0b0b0b"/>
                <w:sz w:val="18"/>
                <w:szCs w:val="18"/>
              </w:rPr>
              <w:t xml:space="preserve">15</w:t>
            </w:r>
          </w:p>
        </w:tc>
        <w:tc>
          <w:tcPr>
            <w:tcW w:type="dxa" w:w="900"/>
            <w:tcMar>
              <w:top w:type="dxa" w:w="40"/>
              <w:left w:type="dxa" w:w="90"/>
              <w:bottom w:type="dxa" w:w="40"/>
              <w:right w:type="dxa" w:w="90"/>
            </w:tcMar>
          </w:tcPr>
          <w:p>
            <w:pPr>
              <w:jc w:val="right"/>
            </w:pPr>
            <w:r>
              <w:rPr>
                <w:b w:val="false"/>
                <w:bCs w:val="false"/>
                <w:color w:val="0b0b0b"/>
                <w:sz w:val="18"/>
                <w:szCs w:val="18"/>
              </w:rPr>
              <w:t xml:space="preserve">14</w:t>
            </w:r>
          </w:p>
        </w:tc>
        <w:tc>
          <w:tcPr>
            <w:tcW w:type="dxa" w:w="1050"/>
            <w:tcMar>
              <w:top w:type="dxa" w:w="40"/>
              <w:left w:type="dxa" w:w="90"/>
              <w:bottom w:type="dxa" w:w="40"/>
              <w:right w:type="dxa" w:w="90"/>
            </w:tcMar>
          </w:tcPr>
          <w:p>
            <w:pPr>
              <w:jc w:val="right"/>
            </w:pPr>
            <w:r>
              <w:rPr>
                <w:b w:val="false"/>
                <w:bCs w:val="false"/>
                <w:color w:val="0b0b0b"/>
                <w:sz w:val="18"/>
                <w:szCs w:val="18"/>
              </w:rPr>
              <w:t xml:space="preserve">123</w:t>
            </w:r>
          </w:p>
        </w:tc>
      </w:tr>
      <w:tr>
        <w:trPr>
          <w:tblHeader w:val="off"/>
        </w:trPr>
        <w:tc>
          <w:tcPr>
            <w:tcW w:type="dxa" w:w="2200"/>
            <w:shd w:fill="eef2f7" w:val="clear"/>
            <w:tcMar>
              <w:top w:type="dxa" w:w="40"/>
              <w:left w:type="dxa" w:w="90"/>
              <w:bottom w:type="dxa" w:w="40"/>
              <w:right w:type="dxa" w:w="90"/>
            </w:tcMar>
          </w:tcPr>
          <w:p>
            <w:pPr>
              <w:jc w:val="left"/>
            </w:pPr>
            <w:r>
              <w:rPr>
                <w:b w:val="false"/>
                <w:bCs w:val="false"/>
                <w:color w:val="0b0b0b"/>
                <w:sz w:val="18"/>
                <w:szCs w:val="18"/>
              </w:rPr>
              <w:t xml:space="preserve">lab_results</w:t>
            </w:r>
          </w:p>
        </w:tc>
        <w:tc>
          <w:tcPr>
            <w:tcW w:type="dxa" w:w="1150"/>
            <w:shd w:fill="eef2f7" w:val="clear"/>
            <w:tcMar>
              <w:top w:type="dxa" w:w="40"/>
              <w:left w:type="dxa" w:w="90"/>
              <w:bottom w:type="dxa" w:w="40"/>
              <w:right w:type="dxa" w:w="90"/>
            </w:tcMar>
          </w:tcPr>
          <w:p>
            <w:pPr>
              <w:jc w:val="right"/>
            </w:pPr>
            <w:r>
              <w:rPr>
                <w:b w:val="false"/>
                <w:bCs w:val="false"/>
                <w:color w:val="0b0b0b"/>
                <w:sz w:val="18"/>
                <w:szCs w:val="18"/>
              </w:rPr>
              <w:t xml:space="preserve">892</w:t>
            </w:r>
          </w:p>
        </w:tc>
        <w:tc>
          <w:tcPr>
            <w:tcW w:type="dxa" w:w="1150"/>
            <w:shd w:fill="eef2f7" w:val="clear"/>
            <w:tcMar>
              <w:top w:type="dxa" w:w="40"/>
              <w:left w:type="dxa" w:w="90"/>
              <w:bottom w:type="dxa" w:w="40"/>
              <w:right w:type="dxa" w:w="90"/>
            </w:tcMar>
          </w:tcPr>
          <w:p>
            <w:pPr>
              <w:jc w:val="right"/>
            </w:pPr>
            <w:r>
              <w:rPr>
                <w:b w:val="false"/>
                <w:bCs w:val="false"/>
                <w:color w:val="0b0b0b"/>
                <w:sz w:val="18"/>
                <w:szCs w:val="18"/>
              </w:rPr>
              <w:t xml:space="preserve">172</w:t>
            </w:r>
          </w:p>
        </w:tc>
        <w:tc>
          <w:tcPr>
            <w:tcW w:type="dxa" w:w="900"/>
            <w:shd w:fill="eef2f7" w:val="clear"/>
            <w:tcMar>
              <w:top w:type="dxa" w:w="40"/>
              <w:left w:type="dxa" w:w="90"/>
              <w:bottom w:type="dxa" w:w="40"/>
              <w:right w:type="dxa" w:w="90"/>
            </w:tcMar>
          </w:tcPr>
          <w:p>
            <w:pPr>
              <w:jc w:val="right"/>
            </w:pPr>
            <w:r>
              <w:rPr>
                <w:b w:val="false"/>
                <w:bCs w:val="false"/>
                <w:color w:val="0b0b0b"/>
                <w:sz w:val="18"/>
                <w:szCs w:val="18"/>
              </w:rPr>
              <w:t xml:space="preserve">12</w:t>
            </w:r>
          </w:p>
        </w:tc>
        <w:tc>
          <w:tcPr>
            <w:tcW w:type="dxa" w:w="1250"/>
            <w:shd w:fill="eef2f7" w:val="clear"/>
            <w:tcMar>
              <w:top w:type="dxa" w:w="40"/>
              <w:left w:type="dxa" w:w="90"/>
              <w:bottom w:type="dxa" w:w="40"/>
              <w:right w:type="dxa" w:w="90"/>
            </w:tcMar>
          </w:tcPr>
          <w:p>
            <w:pPr>
              <w:jc w:val="right"/>
            </w:pPr>
            <w:r>
              <w:rPr>
                <w:b w:val="false"/>
                <w:bCs w:val="false"/>
                <w:color w:val="0b0b0b"/>
                <w:sz w:val="18"/>
                <w:szCs w:val="18"/>
              </w:rPr>
              <w:t xml:space="preserve">55</w:t>
            </w:r>
          </w:p>
        </w:tc>
        <w:tc>
          <w:tcPr>
            <w:tcW w:type="dxa" w:w="900"/>
            <w:shd w:fill="eef2f7" w:val="clear"/>
            <w:tcMar>
              <w:top w:type="dxa" w:w="40"/>
              <w:left w:type="dxa" w:w="90"/>
              <w:bottom w:type="dxa" w:w="40"/>
              <w:right w:type="dxa" w:w="90"/>
            </w:tcMar>
          </w:tcPr>
          <w:p>
            <w:pPr>
              <w:jc w:val="right"/>
            </w:pPr>
            <w:r>
              <w:rPr>
                <w:b w:val="false"/>
                <w:bCs w:val="false"/>
                <w:color w:val="0b0b0b"/>
                <w:sz w:val="18"/>
                <w:szCs w:val="18"/>
              </w:rPr>
              <w:t xml:space="preserve">1</w:t>
            </w:r>
          </w:p>
        </w:tc>
        <w:tc>
          <w:tcPr>
            <w:tcW w:type="dxa" w:w="1050"/>
            <w:shd w:fill="eef2f7" w:val="clear"/>
            <w:tcMar>
              <w:top w:type="dxa" w:w="40"/>
              <w:left w:type="dxa" w:w="90"/>
              <w:bottom w:type="dxa" w:w="40"/>
              <w:right w:type="dxa" w:w="90"/>
            </w:tcMar>
          </w:tcPr>
          <w:p>
            <w:pPr>
              <w:jc w:val="right"/>
            </w:pPr>
            <w:r>
              <w:rPr>
                <w:b w:val="false"/>
                <w:bCs w:val="false"/>
                <w:color w:val="0b0b0b"/>
                <w:sz w:val="18"/>
                <w:szCs w:val="18"/>
              </w:rPr>
              <w:t xml:space="preserve">44</w:t>
            </w:r>
          </w:p>
        </w:tc>
      </w:tr>
    </w:tbl>
    <w:p>
      <w:pPr>
        <w:spacing w:after="200" w:before="60"/>
        <w:jc w:val="center"/>
      </w:pPr>
      <w:r>
        <w:rPr>
          <w:i/>
          <w:iCs/>
          <w:color w:val="52514e"/>
          <w:sz w:val="17"/>
          <w:szCs w:val="17"/>
        </w:rPr>
        <w:t xml:space="preserve">Table 3. Quality-control status by table. Note the 14 corrected values concentrated in genetic findings.</w:t>
      </w:r>
    </w:p>
    <w:p>
      <w:r>
        <w:br w:type="page"/>
      </w:r>
    </w:p>
    <w:p>
      <w:pPr>
        <w:pStyle w:val="Heading1"/>
        <w:spacing w:after="120" w:before="300"/>
      </w:pPr>
      <w:r>
        <w:rPr>
          <w:b/>
          <w:bCs/>
          <w:color w:val="1f3b63"/>
          <w:sz w:val="30"/>
          <w:szCs w:val="30"/>
        </w:rPr>
        <w:t xml:space="preserve">9.  Where the evidence is thinnest, and why that is the opportunity</w:t>
      </w:r>
    </w:p>
    <w:p>
      <w:pPr>
        <w:spacing w:after="140" w:line="276"/>
        <w:jc w:val="both"/>
      </w:pPr>
      <w:r>
        <w:rPr>
          <w:sz w:val="21"/>
          <w:szCs w:val="21"/>
        </w:rPr>
        <w:t xml:space="preserve">The vascular-endothelial bin is almost empty (one group), which tells you it is a category defined ahead of its evidence. The unknown-cause bin is large and genuinely unknown rather than lazily labelled. Across the whole set the pattern is consistent: the volume of literature tracks the availability of a test, not the prevalence of the disease. HAE with C1-inhibitor deficiency is over-represented because C4 and C1-INH assays made it studyable decades ago (Figures 10 and 13). The conditions without a cheap mediator assay are under-studied.</w:t>
      </w:r>
    </w:p>
    <w:p>
      <w:pPr>
        <w:spacing w:after="40" w:before="120"/>
        <w:jc w:val="center"/>
      </w:pPr>
      <w:r>
        <w:drawing>
          <wp:inline distT="0" distB="0" distL="0" distR="0">
            <wp:extent cx="5334000" cy="22669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266950"/>
                    </a:xfrm>
                    <a:prstGeom prst="rect">
                      <a:avLst/>
                    </a:prstGeom>
                  </pic:spPr>
                </pic:pic>
              </a:graphicData>
            </a:graphic>
          </wp:inline>
        </w:drawing>
      </w:r>
    </w:p>
    <w:p>
      <w:pPr>
        <w:spacing w:after="200"/>
        <w:jc w:val="center"/>
      </w:pPr>
      <w:r>
        <w:rPr>
          <w:i/>
          <w:iCs/>
          <w:color w:val="52514e"/>
          <w:sz w:val="17"/>
          <w:szCs w:val="17"/>
        </w:rPr>
        <w:t xml:space="preserve">Figure 10. Publication years. The literature grows with assay availability and drug development, not with disease burden.</w:t>
      </w:r>
    </w:p>
    <w:p>
      <w:pPr>
        <w:spacing w:after="40" w:before="120"/>
        <w:jc w:val="center"/>
      </w:pPr>
      <w:r>
        <w:drawing>
          <wp:inline distT="0" distB="0" distL="0" distR="0">
            <wp:extent cx="5334000" cy="29813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981325"/>
                    </a:xfrm>
                    <a:prstGeom prst="rect">
                      <a:avLst/>
                    </a:prstGeom>
                  </pic:spPr>
                </pic:pic>
              </a:graphicData>
            </a:graphic>
          </wp:inline>
        </w:drawing>
      </w:r>
    </w:p>
    <w:p>
      <w:pPr>
        <w:spacing w:after="200"/>
        <w:jc w:val="center"/>
      </w:pPr>
      <w:r>
        <w:rPr>
          <w:i/>
          <w:iCs/>
          <w:color w:val="52514e"/>
          <w:sz w:val="17"/>
          <w:szCs w:val="17"/>
        </w:rPr>
        <w:t xml:space="preserve">Figure 13. What the literature actually measures. Complement and C1-inhibitor assays dominate; direct mediator measurement is comparatively rare.</w:t>
      </w:r>
    </w:p>
    <w:p>
      <w:pPr>
        <w:spacing w:after="140" w:line="276"/>
        <w:jc w:val="both"/>
      </w:pPr>
      <w:r>
        <w:rPr>
          <w:sz w:val="21"/>
          <w:szCs w:val="21"/>
        </w:rPr>
        <w:t xml:space="preserve">The individual-patient records tell the same story of concentration: 367 of 433 patients sit in the bradykinin bin (Figure 11). Where age at onset is recorded, the bradykinin and drug-induced groups separate in the expected direction, with drug-induced onset shifted markedly later into adulthood, consistent with exposure-driven disease (Figure 12). The diagnostic-accuracy literature, where it exists, clusters at high specificity but variable sensitivity, which fits a field built around confirmatory complement tests rather than screening ones (Figure 14).</w:t>
      </w:r>
    </w:p>
    <w:p>
      <w:pPr>
        <w:spacing w:after="40" w:before="120"/>
        <w:jc w:val="center"/>
      </w:pPr>
      <w:r>
        <w:drawing>
          <wp:inline distT="0" distB="0" distL="0" distR="0">
            <wp:extent cx="5334000" cy="24003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400300"/>
                    </a:xfrm>
                    <a:prstGeom prst="rect">
                      <a:avLst/>
                    </a:prstGeom>
                  </pic:spPr>
                </pic:pic>
              </a:graphicData>
            </a:graphic>
          </wp:inline>
        </w:drawing>
      </w:r>
    </w:p>
    <w:p>
      <w:pPr>
        <w:spacing w:after="200"/>
        <w:jc w:val="center"/>
      </w:pPr>
      <w:r>
        <w:rPr>
          <w:i/>
          <w:iCs/>
          <w:color w:val="52514e"/>
          <w:sz w:val="17"/>
          <w:szCs w:val="17"/>
        </w:rPr>
        <w:t xml:space="preserve">Figure 11. Individual-patient records by category. The IPD is even more concentrated in bradykinin disease than the group-level data.</w:t>
      </w:r>
    </w:p>
    <w:p>
      <w:pPr>
        <w:spacing w:after="40" w:before="120"/>
        <w:jc w:val="center"/>
      </w:pPr>
      <w:r>
        <w:drawing>
          <wp:inline distT="0" distB="0" distL="0" distR="0">
            <wp:extent cx="5334000" cy="24955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495550"/>
                    </a:xfrm>
                    <a:prstGeom prst="rect">
                      <a:avLst/>
                    </a:prstGeom>
                  </pic:spPr>
                </pic:pic>
              </a:graphicData>
            </a:graphic>
          </wp:inline>
        </w:drawing>
      </w:r>
    </w:p>
    <w:p>
      <w:pPr>
        <w:spacing w:after="200"/>
        <w:jc w:val="center"/>
      </w:pPr>
      <w:r>
        <w:rPr>
          <w:i/>
          <w:iCs/>
          <w:color w:val="52514e"/>
          <w:sz w:val="17"/>
          <w:szCs w:val="17"/>
        </w:rPr>
        <w:t xml:space="preserve">Figure 12. Age at first symptoms in the IPD. Drug-induced angioedema onsets later, as an exposure-driven condition should.</w:t>
      </w:r>
    </w:p>
    <w:p>
      <w:pPr>
        <w:spacing w:after="40" w:before="120"/>
        <w:jc w:val="center"/>
      </w:pPr>
      <w:r>
        <w:drawing>
          <wp:inline distT="0" distB="0" distL="0" distR="0">
            <wp:extent cx="5334000" cy="46482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4648200"/>
                    </a:xfrm>
                    <a:prstGeom prst="rect">
                      <a:avLst/>
                    </a:prstGeom>
                  </pic:spPr>
                </pic:pic>
              </a:graphicData>
            </a:graphic>
          </wp:inline>
        </w:drawing>
      </w:r>
    </w:p>
    <w:p>
      <w:pPr>
        <w:spacing w:after="200"/>
        <w:jc w:val="center"/>
      </w:pPr>
      <w:r>
        <w:rPr>
          <w:i/>
          <w:iCs/>
          <w:color w:val="52514e"/>
          <w:sz w:val="17"/>
          <w:szCs w:val="17"/>
        </w:rPr>
        <w:t xml:space="preserve">Figure 14. Diagnostic-test performance from 32 reconstructed 2x2 tables. Points cluster towards high specificity; sensitivity is more variable.</w:t>
      </w:r>
    </w:p>
    <w:p>
      <w:pPr>
        <w:pStyle w:val="Heading1"/>
        <w:spacing w:after="120" w:before="300"/>
      </w:pPr>
      <w:r>
        <w:rPr>
          <w:b/>
          <w:bCs/>
          <w:color w:val="1f3b63"/>
          <w:sz w:val="30"/>
          <w:szCs w:val="30"/>
        </w:rPr>
        <w:t xml:space="preserve">10.  Hypotheses the data most clearly licence</w:t>
      </w:r>
    </w:p>
    <w:p>
      <w:pPr>
        <w:spacing w:after="140" w:line="276"/>
        <w:jc w:val="both"/>
      </w:pPr>
      <w:r>
        <w:rPr>
          <w:sz w:val="21"/>
          <w:szCs w:val="21"/>
        </w:rPr>
        <w:t xml:space="preserve">Three hypotheses follow directly from the patterns above, and the first is testable now on the quality-controlled subset you already hold.</w:t>
      </w:r>
    </w:p>
    <w:p>
      <w:pPr>
        <w:pStyle w:val="ListParagraph"/>
        <w:numPr>
          <w:ilvl w:val="0"/>
          <w:numId w:val="1"/>
        </w:numPr>
        <w:spacing w:after="40"/>
      </w:pPr>
      <w:r>
        <w:rPr>
          <w:b/>
          <w:bCs/>
          <w:sz w:val="21"/>
          <w:szCs w:val="21"/>
        </w:rPr>
        <w:t xml:space="preserve">Cross-sectional contact-system markers will fail to discriminate.  </w:t>
      </w:r>
      <w:r>
        <w:rPr>
          <w:sz w:val="21"/>
          <w:szCs w:val="21"/>
        </w:rPr>
        <w:t xml:space="preserve">Paired attack-versus-remission sampling, not a single cleaved-kininogen level, is what will separate bradykinin from mast-cell angioedema. The atlas cannot currently show the cross-sectional marker discriminates, and that absence is itself the finding.</w:t>
      </w:r>
    </w:p>
    <w:p>
      <w:pPr>
        <w:pStyle w:val="ListParagraph"/>
        <w:numPr>
          <w:ilvl w:val="0"/>
          <w:numId w:val="1"/>
        </w:numPr>
        <w:spacing w:after="40"/>
      </w:pPr>
      <w:r>
        <w:rPr>
          <w:b/>
          <w:bCs/>
          <w:sz w:val="21"/>
          <w:szCs w:val="21"/>
        </w:rPr>
        <w:t xml:space="preserve">Many normal-C1INH bradykinin diagnoses rest on treatment response alone.  </w:t>
      </w:r>
      <w:r>
        <w:rPr>
          <w:sz w:val="21"/>
          <w:szCs w:val="21"/>
        </w:rPr>
        <w:t xml:space="preserve">A meaningful fraction would not survive attack-time measurement. These are the subtypes sitting at weak or plausible in Figure 2 with no green at L4.</w:t>
      </w:r>
    </w:p>
    <w:p>
      <w:pPr>
        <w:pStyle w:val="ListParagraph"/>
        <w:numPr>
          <w:ilvl w:val="0"/>
          <w:numId w:val="1"/>
        </w:numPr>
        <w:spacing w:after="40"/>
      </w:pPr>
      <w:r>
        <w:rPr>
          <w:b/>
          <w:bCs/>
          <w:sz w:val="21"/>
          <w:szCs w:val="21"/>
        </w:rPr>
        <w:t xml:space="preserve">The DANCE clinical criteria cannot be mechanistically validated against the current literature.  </w:t>
      </w:r>
      <w:r>
        <w:rPr>
          <w:sz w:val="21"/>
          <w:szCs w:val="21"/>
        </w:rPr>
        <w:t xml:space="preserve">Definitional circularity, not missing data, is the obstacle. New prospective sampling designed to break the circularity is the only way through.</w:t>
      </w:r>
    </w:p>
    <w:p>
      <w:pPr>
        <w:spacing w:after="140" w:before="120"/>
        <w:jc w:val="both"/>
      </w:pPr>
      <w:r>
        <w:rPr>
          <w:i/>
          <w:iCs/>
          <w:sz w:val="21"/>
          <w:szCs w:val="21"/>
        </w:rPr>
        <w:t xml:space="preserve">The honest summary: the dataset confirms one mechanism securely, exposes that most of the others are inferred rather than demonstrated, and points to a specific, achievable study, paired attack-versus-remission cleaved kininogen and bradykinin across subtypes, that the existing literature has conspicuously failed to do.</w:t>
      </w:r>
    </w:p>
    <w:p>
      <w:pPr>
        <w:pBdr>
          <w:top w:val="single" w:color="c9d2de" w:sz="4"/>
        </w:pBdr>
        <w:spacing w:before="260"/>
      </w:pPr>
    </w:p>
    <w:p>
      <w:pPr>
        <w:spacing w:before="80"/>
      </w:pPr>
      <w:r>
        <w:rPr>
          <w:b/>
          <w:bCs/>
          <w:color w:val="52514e"/>
          <w:sz w:val="17"/>
          <w:szCs w:val="17"/>
        </w:rPr>
        <w:t xml:space="preserve">Methods in brief. </w:t>
      </w:r>
      <w:r>
        <w:rPr>
          <w:color w:val="52514e"/>
          <w:sz w:val="17"/>
          <w:szCs w:val="17"/>
        </w:rPr>
        <w:t xml:space="preserve">Studies were migrated to a relational model (studies &gt; cohorts &gt; groups &gt; result tables) preserving the reported-versus-mapped diagnosis split. Diagnoses were mapped to DANCE categories via an editable codebook. The bradykinin verdict is derived by a fixed eight-link causal-chain rubric that privileges direct attack-time measurement over treatment inference and treats a controlled efficacy failure of a mechanism-targeting drug as contradicting. Numeric values were checked against their verbatim source quotes, deterministically and then by adjudication; wrong values are corrected in the analysis tables and unverifiable ones isolated. Figures are generated directly from the analysis tables.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0b0b"/>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b63"/>
      <w:sz w:val="30"/>
      <w:szCs w:val="30"/>
    </w:rPr>
  </w:style>
  <w:style w:type="paragraph" w:styleId="Heading2">
    <w:name w:val="Heading 2"/>
    <w:basedOn w:val="Normal"/>
    <w:next w:val="Normal"/>
    <w:qFormat/>
    <w:rPr>
      <w:rFonts w:ascii="Calibri" w:cs="Calibri" w:eastAsia="Calibri" w:hAnsi="Calibri"/>
      <w:b/>
      <w:bCs/>
      <w:color w:val="1f3b63"/>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73cc3875c825768008e0ea78385e571d203ea85e.png"/><Relationship Id="rId8" Type="http://schemas.openxmlformats.org/officeDocument/2006/relationships/image" Target="media/dfb66758fd966707fcde4efe5288e904e1e41e45.png"/><Relationship Id="rId9" Type="http://schemas.openxmlformats.org/officeDocument/2006/relationships/image" Target="media/9484fcfdab746808ac177d0d3798aaef62ae5cb3.png"/><Relationship Id="rId10" Type="http://schemas.openxmlformats.org/officeDocument/2006/relationships/image" Target="media/a96d239b647847e331070b68393185b20378e288.png"/><Relationship Id="rId11" Type="http://schemas.openxmlformats.org/officeDocument/2006/relationships/image" Target="media/f2c667e394b1b95c5db7bfc4ef28f702790510b2.png"/><Relationship Id="rId12" Type="http://schemas.openxmlformats.org/officeDocument/2006/relationships/image" Target="media/49abfe42ac76f08ad6afdb539f694c452c700d48.png"/><Relationship Id="rId13" Type="http://schemas.openxmlformats.org/officeDocument/2006/relationships/image" Target="media/57217c5734f1dcc566a1bd1603e50ad7577fa1c6.png"/><Relationship Id="rId14" Type="http://schemas.openxmlformats.org/officeDocument/2006/relationships/image" Target="media/e63dec365c6ba2823107a2e53420aded2ef7dbd8.png"/><Relationship Id="rId15" Type="http://schemas.openxmlformats.org/officeDocument/2006/relationships/image" Target="media/f68ec01d146dfc33d832f5caf7f75c00b68c5ac3.png"/><Relationship Id="rId16" Type="http://schemas.openxmlformats.org/officeDocument/2006/relationships/image" Target="media/0e8c11f2919934decb99acbd450ac6a25987e65e.png"/><Relationship Id="rId17" Type="http://schemas.openxmlformats.org/officeDocument/2006/relationships/image" Target="media/be90020a453b1da4bb073ff65403490413c16d10.png"/><Relationship Id="rId18" Type="http://schemas.openxmlformats.org/officeDocument/2006/relationships/image" Target="media/b6d6f6ec975cf4c69a8f34e1e1eec89ffc11b7a0.png"/><Relationship Id="rId19" Type="http://schemas.openxmlformats.org/officeDocument/2006/relationships/image" Target="media/3e416256a385d6816b978238a22fa7c299981b01.png"/><Relationship Id="rId20" Type="http://schemas.openxmlformats.org/officeDocument/2006/relationships/image" Target="media/7d815170bc3e13e56585b00e622a9c26c088f6e9.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Angioedema Evidence Atlas report</dc:title>
  <dc:creator>Angioedema Evidence Atlas</dc:creator>
  <cp:lastModifiedBy>Un-named</cp:lastModifiedBy>
  <cp:revision>1</cp:revision>
  <dcterms:created xsi:type="dcterms:W3CDTF">2026-10-02T05:21:08.122Z</dcterms:created>
  <dcterms:modified xsi:type="dcterms:W3CDTF">2026-10-02T05:21:08.123Z</dcterms:modified>
</cp:coreProperties>
</file>

<file path=docProps/custom.xml><?xml version="1.0" encoding="utf-8"?>
<Properties xmlns="http://schemas.openxmlformats.org/officeDocument/2006/custom-properties" xmlns:vt="http://schemas.openxmlformats.org/officeDocument/2006/docPropsVTypes"/>
</file>