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135A2" w14:textId="77777777" w:rsidR="00D00B16" w:rsidRDefault="00365F6D">
      <w:pPr>
        <w:jc w:val="center"/>
        <w:rPr>
          <w:sz w:val="22"/>
          <w:szCs w:val="22"/>
        </w:rPr>
      </w:pPr>
      <w:r>
        <w:rPr>
          <w:sz w:val="22"/>
          <w:szCs w:val="22"/>
        </w:rPr>
        <w:t>Community Foundations as Advocates: Social Change Discourse in the Philanthropic Sector.</w:t>
      </w:r>
    </w:p>
    <w:p w14:paraId="02136B23" w14:textId="77777777" w:rsidR="00D00B16" w:rsidRDefault="00D00B16">
      <w:pPr>
        <w:rPr>
          <w:sz w:val="22"/>
          <w:szCs w:val="22"/>
        </w:rPr>
      </w:pPr>
    </w:p>
    <w:p w14:paraId="3E01C4AE" w14:textId="77777777" w:rsidR="00D00B16" w:rsidRDefault="00D00B16">
      <w:pPr>
        <w:rPr>
          <w:sz w:val="22"/>
          <w:szCs w:val="22"/>
        </w:rPr>
      </w:pPr>
    </w:p>
    <w:p w14:paraId="64E30C12" w14:textId="77777777" w:rsidR="00D00B16" w:rsidRDefault="00365F6D">
      <w:pPr>
        <w:rPr>
          <w:sz w:val="22"/>
          <w:szCs w:val="22"/>
        </w:rPr>
      </w:pPr>
      <w:r>
        <w:rPr>
          <w:sz w:val="22"/>
          <w:szCs w:val="22"/>
        </w:rPr>
        <w:t>David F Suárez</w:t>
      </w:r>
    </w:p>
    <w:p w14:paraId="7552FC9B" w14:textId="77777777" w:rsidR="00D00B16" w:rsidRDefault="00365F6D">
      <w:pPr>
        <w:rPr>
          <w:sz w:val="22"/>
          <w:szCs w:val="22"/>
        </w:rPr>
      </w:pPr>
      <w:r>
        <w:rPr>
          <w:sz w:val="22"/>
          <w:szCs w:val="22"/>
        </w:rPr>
        <w:t>Evans School of Public Policy &amp; Governance</w:t>
      </w:r>
    </w:p>
    <w:p w14:paraId="0BB1BFFF" w14:textId="77777777" w:rsidR="00D00B16" w:rsidRDefault="00365F6D">
      <w:pPr>
        <w:rPr>
          <w:sz w:val="22"/>
          <w:szCs w:val="22"/>
        </w:rPr>
      </w:pPr>
      <w:r>
        <w:rPr>
          <w:sz w:val="22"/>
          <w:szCs w:val="22"/>
        </w:rPr>
        <w:t>University of Washington</w:t>
      </w:r>
    </w:p>
    <w:p w14:paraId="3D1F4C83" w14:textId="77777777" w:rsidR="00D00B16" w:rsidRDefault="00D00B16">
      <w:pPr>
        <w:rPr>
          <w:sz w:val="22"/>
          <w:szCs w:val="22"/>
        </w:rPr>
      </w:pPr>
    </w:p>
    <w:p w14:paraId="74C7243D" w14:textId="77777777" w:rsidR="00D00B16" w:rsidRDefault="00365F6D">
      <w:pPr>
        <w:rPr>
          <w:sz w:val="22"/>
          <w:szCs w:val="22"/>
        </w:rPr>
      </w:pPr>
      <w:r>
        <w:rPr>
          <w:sz w:val="22"/>
          <w:szCs w:val="22"/>
        </w:rPr>
        <w:t>Kelly Husted</w:t>
      </w:r>
    </w:p>
    <w:p w14:paraId="16C63285" w14:textId="77777777" w:rsidR="00D00B16" w:rsidRDefault="00365F6D">
      <w:pPr>
        <w:rPr>
          <w:sz w:val="22"/>
          <w:szCs w:val="22"/>
        </w:rPr>
      </w:pPr>
      <w:r>
        <w:rPr>
          <w:sz w:val="22"/>
          <w:szCs w:val="22"/>
        </w:rPr>
        <w:t>Evans School of Public Policy &amp; Governance</w:t>
      </w:r>
    </w:p>
    <w:p w14:paraId="4C8CE39E" w14:textId="77777777" w:rsidR="00D00B16" w:rsidRDefault="00365F6D">
      <w:pPr>
        <w:rPr>
          <w:sz w:val="22"/>
          <w:szCs w:val="22"/>
        </w:rPr>
      </w:pPr>
      <w:r>
        <w:rPr>
          <w:sz w:val="22"/>
          <w:szCs w:val="22"/>
        </w:rPr>
        <w:t>University of Washington</w:t>
      </w:r>
    </w:p>
    <w:p w14:paraId="5405134B" w14:textId="77777777" w:rsidR="00D00B16" w:rsidRDefault="00D00B16">
      <w:pPr>
        <w:rPr>
          <w:sz w:val="22"/>
          <w:szCs w:val="22"/>
        </w:rPr>
      </w:pPr>
    </w:p>
    <w:p w14:paraId="61C1F77D" w14:textId="77777777" w:rsidR="00D00B16" w:rsidRDefault="00365F6D">
      <w:pPr>
        <w:rPr>
          <w:sz w:val="22"/>
          <w:szCs w:val="22"/>
        </w:rPr>
      </w:pPr>
      <w:r>
        <w:rPr>
          <w:sz w:val="22"/>
          <w:szCs w:val="22"/>
        </w:rPr>
        <w:t>Andreu Casas</w:t>
      </w:r>
    </w:p>
    <w:p w14:paraId="69406F0B" w14:textId="77777777" w:rsidR="00D00B16" w:rsidRDefault="00365F6D">
      <w:pPr>
        <w:rPr>
          <w:sz w:val="22"/>
          <w:szCs w:val="22"/>
        </w:rPr>
      </w:pPr>
      <w:r>
        <w:rPr>
          <w:sz w:val="22"/>
          <w:szCs w:val="22"/>
        </w:rPr>
        <w:t>Center for Data Science</w:t>
      </w:r>
    </w:p>
    <w:p w14:paraId="67F0E3C4" w14:textId="77777777" w:rsidR="00D00B16" w:rsidRDefault="00365F6D">
      <w:pPr>
        <w:rPr>
          <w:sz w:val="22"/>
          <w:szCs w:val="22"/>
        </w:rPr>
      </w:pPr>
      <w:r>
        <w:rPr>
          <w:sz w:val="22"/>
          <w:szCs w:val="22"/>
        </w:rPr>
        <w:t>New York University</w:t>
      </w:r>
    </w:p>
    <w:p w14:paraId="1F5ED030" w14:textId="77777777" w:rsidR="00D00B16" w:rsidRDefault="00D00B16">
      <w:pPr>
        <w:rPr>
          <w:sz w:val="22"/>
          <w:szCs w:val="22"/>
        </w:rPr>
      </w:pPr>
    </w:p>
    <w:p w14:paraId="13659031" w14:textId="77777777" w:rsidR="00D00B16" w:rsidRDefault="00D00B16">
      <w:pPr>
        <w:rPr>
          <w:sz w:val="22"/>
          <w:szCs w:val="22"/>
        </w:rPr>
      </w:pPr>
    </w:p>
    <w:p w14:paraId="3A59579B" w14:textId="77777777" w:rsidR="00D00B16" w:rsidRDefault="00365F6D">
      <w:pPr>
        <w:rPr>
          <w:sz w:val="22"/>
          <w:szCs w:val="22"/>
          <w:u w:val="single"/>
        </w:rPr>
      </w:pPr>
      <w:r>
        <w:rPr>
          <w:sz w:val="22"/>
          <w:szCs w:val="22"/>
          <w:u w:val="single"/>
        </w:rPr>
        <w:t>Abstract</w:t>
      </w:r>
    </w:p>
    <w:p w14:paraId="1082AACE" w14:textId="77777777" w:rsidR="00D00B16" w:rsidRDefault="00365F6D">
      <w:pPr>
        <w:rPr>
          <w:sz w:val="22"/>
          <w:szCs w:val="22"/>
        </w:rPr>
      </w:pPr>
      <w:r>
        <w:rPr>
          <w:sz w:val="22"/>
          <w:szCs w:val="22"/>
        </w:rPr>
        <w:t>Foundations are much more than disinterested philanthropic institutions that award grants to service-providing nonprofits. Foundations are political actors that seek to produce social change, not only by donating resources to nonprofits that promote causes but also by supporting policy reform in a more direct manner. We investigate engagement in advocacy among community foundations in the United States, which we define as the effort to influence public policy by proposing or endorsing ideas and by mobilizing stakeholders for social change. Drawing primarily on organizational sociology, we posit that the environmental context in which community foundations are situated and particular structural characteristics or operational features of community foundations (institutional logics, identity and embeddedness, and managerialism) will be associated with advocacy. We utilize machine learning techniques to establish an outcome measure of advocacy discourse on community foundation websites and ordinary least squares (OLS) regression to model that outcome with a cross-sectional dataset compiled from multiple sources. We find considerable support for our conceptual frame, and we conclude by offering an agenda for future research on foundations as interest groups.</w:t>
      </w:r>
    </w:p>
    <w:p w14:paraId="7FDF5DF9" w14:textId="77777777" w:rsidR="00D00B16" w:rsidRDefault="00D00B16">
      <w:pPr>
        <w:rPr>
          <w:sz w:val="22"/>
          <w:szCs w:val="22"/>
        </w:rPr>
      </w:pPr>
    </w:p>
    <w:p w14:paraId="3725220D" w14:textId="77777777" w:rsidR="00D00B16" w:rsidRDefault="00365F6D">
      <w:r>
        <w:rPr>
          <w:sz w:val="22"/>
          <w:szCs w:val="22"/>
        </w:rPr>
        <w:t xml:space="preserve">The authors would like to thank the two anonymous reviewers, Jeffrey Berry, Christof </w:t>
      </w:r>
      <w:proofErr w:type="spellStart"/>
      <w:r>
        <w:rPr>
          <w:sz w:val="22"/>
          <w:szCs w:val="22"/>
        </w:rPr>
        <w:t>Brandtner</w:t>
      </w:r>
      <w:proofErr w:type="spellEnd"/>
      <w:r>
        <w:rPr>
          <w:sz w:val="22"/>
          <w:szCs w:val="22"/>
        </w:rPr>
        <w:t xml:space="preserve">, Patricia Bromley, Sarah </w:t>
      </w:r>
      <w:proofErr w:type="spellStart"/>
      <w:r>
        <w:rPr>
          <w:sz w:val="22"/>
          <w:szCs w:val="22"/>
        </w:rPr>
        <w:t>Chasins</w:t>
      </w:r>
      <w:proofErr w:type="spellEnd"/>
      <w:r>
        <w:rPr>
          <w:sz w:val="22"/>
          <w:szCs w:val="22"/>
        </w:rPr>
        <w:t xml:space="preserve">, Emily </w:t>
      </w:r>
      <w:proofErr w:type="spellStart"/>
      <w:r>
        <w:rPr>
          <w:sz w:val="22"/>
          <w:szCs w:val="22"/>
        </w:rPr>
        <w:t>Finchum</w:t>
      </w:r>
      <w:proofErr w:type="spellEnd"/>
      <w:r>
        <w:rPr>
          <w:sz w:val="22"/>
          <w:szCs w:val="22"/>
        </w:rPr>
        <w:t xml:space="preserve">-Mason, Aaron Horvath, and Walter Powell for their constructive comments. Prior versions of this paper were presented at the Scandinavian Consortium for Organizational Research (SCANCOR) at Stanford University and at the ARNOVA Annual Conference in Grand Rapids, MI. </w:t>
      </w:r>
      <w:r>
        <w:t>This work was supported by the Ministry of Education of the Republic of Korea and the National Research Foundation of Korea (NRF-2016S1A3A2925085).</w:t>
      </w:r>
    </w:p>
    <w:p w14:paraId="26982BA9" w14:textId="77777777" w:rsidR="00D00B16" w:rsidRDefault="00365F6D">
      <w:pPr>
        <w:rPr>
          <w:sz w:val="22"/>
          <w:szCs w:val="22"/>
        </w:rPr>
      </w:pPr>
      <w:r>
        <w:br w:type="page"/>
      </w:r>
    </w:p>
    <w:p w14:paraId="36CFAB31" w14:textId="77777777" w:rsidR="00D00B16" w:rsidRDefault="00365F6D">
      <w:pPr>
        <w:rPr>
          <w:b/>
          <w:sz w:val="22"/>
          <w:szCs w:val="22"/>
        </w:rPr>
      </w:pPr>
      <w:r>
        <w:rPr>
          <w:b/>
          <w:sz w:val="22"/>
          <w:szCs w:val="22"/>
        </w:rPr>
        <w:lastRenderedPageBreak/>
        <w:t>Introduction</w:t>
      </w:r>
    </w:p>
    <w:p w14:paraId="57E74480" w14:textId="77777777" w:rsidR="00D00B16" w:rsidRDefault="00365F6D">
      <w:pPr>
        <w:rPr>
          <w:sz w:val="22"/>
          <w:szCs w:val="22"/>
        </w:rPr>
      </w:pPr>
      <w:r>
        <w:rPr>
          <w:sz w:val="22"/>
          <w:szCs w:val="22"/>
        </w:rPr>
        <w:t xml:space="preserve">Foundations are much more than disinterested philanthropic institutions that award grants to service-providing nonprofits. Foundations are political actors that seek to produce social change, not only by donating resources to nonprofits that promote causes but also by supporting policy reform in a more direct manner (Rich 2004; </w:t>
      </w:r>
      <w:proofErr w:type="spellStart"/>
      <w:r>
        <w:rPr>
          <w:sz w:val="22"/>
          <w:szCs w:val="22"/>
        </w:rPr>
        <w:t>Reckhow</w:t>
      </w:r>
      <w:proofErr w:type="spellEnd"/>
      <w:r>
        <w:rPr>
          <w:sz w:val="22"/>
          <w:szCs w:val="22"/>
        </w:rPr>
        <w:t xml:space="preserve"> 2013, 2016; Goss 2016). Extant studies of foundations acknowledge that philanthropic organizations engage in advocacy, yet much of this work suggests that the role of foundations has been limited in scope and conservative in strategy (Carson 2001; O’Connor 2010; Kohl Arenas 2015). Foundations usually support social movement organizations only after their causes have established legitimacy (bandwagon followers rather than leaders), for instance, and foundations tend to “channel” the organizations they support away from contentious or transgressive tactics (Jenkins 1986, 1998; Jenkins and Eckert 1986; Goss 2007). The Tax Reform Act of 1969 undoubtedly contributed to this pattern, as the regulatory reforms prohibited or severely restricted private foundation lobbying, establishing a formal constraint that conventional interest groups and citizen groups do not face (Walker 1991; </w:t>
      </w:r>
      <w:proofErr w:type="spellStart"/>
      <w:r>
        <w:rPr>
          <w:sz w:val="22"/>
          <w:szCs w:val="22"/>
        </w:rPr>
        <w:t>Frumkin</w:t>
      </w:r>
      <w:proofErr w:type="spellEnd"/>
      <w:r>
        <w:rPr>
          <w:sz w:val="22"/>
          <w:szCs w:val="22"/>
        </w:rPr>
        <w:t xml:space="preserve"> 1998; Berry 1999; Minkoff 2002). </w:t>
      </w:r>
    </w:p>
    <w:p w14:paraId="5E3BCA33" w14:textId="77777777" w:rsidR="00D00B16" w:rsidRDefault="00D00B16">
      <w:pPr>
        <w:rPr>
          <w:sz w:val="22"/>
          <w:szCs w:val="22"/>
        </w:rPr>
      </w:pPr>
    </w:p>
    <w:p w14:paraId="36C8EF5A" w14:textId="77777777" w:rsidR="00D00B16" w:rsidRDefault="00365F6D">
      <w:pPr>
        <w:rPr>
          <w:sz w:val="22"/>
          <w:szCs w:val="22"/>
        </w:rPr>
      </w:pPr>
      <w:r>
        <w:rPr>
          <w:sz w:val="22"/>
          <w:szCs w:val="22"/>
        </w:rPr>
        <w:t xml:space="preserve">Lobbying nevertheless is just one advocacy tactic, and as long as foundations avoid supporting or opposing legislation, they have considerable freedom to promote social change. Foundations can utilize public information campaigns, policy research, coalition building and a broad repertoire of additional strategies for spurring reform. Despite their historical reluctance to lead social initiatives and some limitations on the activities they can undertake, recent research indicates that foundations have started to embrace advocacy and become emboldened as policy entrepreneurs (Bartley 2007; </w:t>
      </w:r>
      <w:proofErr w:type="spellStart"/>
      <w:r>
        <w:rPr>
          <w:sz w:val="22"/>
          <w:szCs w:val="22"/>
        </w:rPr>
        <w:t>Reckhow</w:t>
      </w:r>
      <w:proofErr w:type="spellEnd"/>
      <w:r>
        <w:rPr>
          <w:sz w:val="22"/>
          <w:szCs w:val="22"/>
        </w:rPr>
        <w:t xml:space="preserve"> 2013; Quinn et al 2014). This important line of work reveals that some foundations are cooperating to leverage resources for social change and demonstrates that a few (usually very large) private foundations have become quite proactive in pursuing a policy agenda (</w:t>
      </w:r>
      <w:proofErr w:type="spellStart"/>
      <w:r>
        <w:rPr>
          <w:sz w:val="22"/>
          <w:szCs w:val="22"/>
        </w:rPr>
        <w:t>Reckhow</w:t>
      </w:r>
      <w:proofErr w:type="spellEnd"/>
      <w:r>
        <w:rPr>
          <w:sz w:val="22"/>
          <w:szCs w:val="22"/>
        </w:rPr>
        <w:t xml:space="preserve"> 2016; Tompkins-</w:t>
      </w:r>
      <w:proofErr w:type="spellStart"/>
      <w:r>
        <w:rPr>
          <w:sz w:val="22"/>
          <w:szCs w:val="22"/>
        </w:rPr>
        <w:t>Stange</w:t>
      </w:r>
      <w:proofErr w:type="spellEnd"/>
      <w:r>
        <w:rPr>
          <w:sz w:val="22"/>
          <w:szCs w:val="22"/>
        </w:rPr>
        <w:t xml:space="preserve"> 2016). Because the vast majority of this current research on foundation advocacy consists of case studies of single foundations or groups of foundations dedicated to particular issue areas like education, though, which philanthropic institutions are the most likely to utilize advocacy as an organizational strategy for achieving mission remains unclear (Mosley and </w:t>
      </w:r>
      <w:proofErr w:type="spellStart"/>
      <w:r>
        <w:rPr>
          <w:sz w:val="22"/>
          <w:szCs w:val="22"/>
        </w:rPr>
        <w:t>Galaskiewicz</w:t>
      </w:r>
      <w:proofErr w:type="spellEnd"/>
      <w:r>
        <w:rPr>
          <w:sz w:val="22"/>
          <w:szCs w:val="22"/>
        </w:rPr>
        <w:t xml:space="preserve"> 2015).</w:t>
      </w:r>
    </w:p>
    <w:p w14:paraId="55932DF4" w14:textId="77777777" w:rsidR="00D00B16" w:rsidRDefault="00D00B16">
      <w:pPr>
        <w:rPr>
          <w:sz w:val="22"/>
          <w:szCs w:val="22"/>
        </w:rPr>
      </w:pPr>
    </w:p>
    <w:p w14:paraId="0A56D6D1" w14:textId="77777777" w:rsidR="00D00B16" w:rsidRDefault="00365F6D">
      <w:pPr>
        <w:rPr>
          <w:sz w:val="22"/>
          <w:szCs w:val="22"/>
        </w:rPr>
      </w:pPr>
      <w:r>
        <w:rPr>
          <w:sz w:val="22"/>
          <w:szCs w:val="22"/>
        </w:rPr>
        <w:t xml:space="preserve">We address this gap in the literature by investigating engagement in advocacy among community foundations in the United States, which we define as the effort to influence public policy by proposing or endorsing ideas and by mobilizing stakeholders for social change (Berry and </w:t>
      </w:r>
      <w:proofErr w:type="spellStart"/>
      <w:r>
        <w:rPr>
          <w:sz w:val="22"/>
          <w:szCs w:val="22"/>
        </w:rPr>
        <w:t>Arons</w:t>
      </w:r>
      <w:proofErr w:type="spellEnd"/>
      <w:r>
        <w:rPr>
          <w:sz w:val="22"/>
          <w:szCs w:val="22"/>
        </w:rPr>
        <w:t xml:space="preserve"> 2003; Jenkins 2006; Reid 2006; </w:t>
      </w:r>
      <w:proofErr w:type="spellStart"/>
      <w:r>
        <w:rPr>
          <w:sz w:val="22"/>
          <w:szCs w:val="22"/>
        </w:rPr>
        <w:t>Strolovich</w:t>
      </w:r>
      <w:proofErr w:type="spellEnd"/>
      <w:r>
        <w:rPr>
          <w:sz w:val="22"/>
          <w:szCs w:val="22"/>
        </w:rPr>
        <w:t xml:space="preserve"> 2007; Leroux and </w:t>
      </w:r>
      <w:proofErr w:type="spellStart"/>
      <w:r>
        <w:rPr>
          <w:sz w:val="22"/>
          <w:szCs w:val="22"/>
        </w:rPr>
        <w:t>Goerdel</w:t>
      </w:r>
      <w:proofErr w:type="spellEnd"/>
      <w:r>
        <w:rPr>
          <w:sz w:val="22"/>
          <w:szCs w:val="22"/>
        </w:rPr>
        <w:t xml:space="preserve"> 2009; Guo and Saxton 2010; Mosley 2013). Drawing primarily on organizational sociology, we posit that the environmental context in which community foundations are situated and particular structural characteristics or operational features of community foundations (institutional logics, identity and embeddedness, and managerialism) will be associated with advocacy. In the following section, we present a brief overview of the history of foundations and their role in advocacy, and then we narrow our attention to community foundations for the elaboration of our hypotheses. We then discuss our data and the methods we utilize to test our argument, which includes machine learning techniques to establish an outcome measure of advocacy discourse on community foundation websites as well as ordinary least squares (OLS) regression to model that outcome with a cross-sectional dataset compiled from multiple sources. We subsequently present our results, which offer considerable support for our conceptual frame, and we conclude by offering an agenda for future research on foundations as interest groups.</w:t>
      </w:r>
    </w:p>
    <w:p w14:paraId="407BB5FD" w14:textId="77777777" w:rsidR="00D00B16" w:rsidRDefault="00D00B16">
      <w:pPr>
        <w:rPr>
          <w:sz w:val="22"/>
          <w:szCs w:val="22"/>
          <w:u w:val="single"/>
        </w:rPr>
      </w:pPr>
    </w:p>
    <w:p w14:paraId="65018F3D" w14:textId="77777777" w:rsidR="00D00B16" w:rsidRDefault="00D00B16">
      <w:pPr>
        <w:rPr>
          <w:sz w:val="22"/>
          <w:szCs w:val="22"/>
          <w:u w:val="single"/>
        </w:rPr>
      </w:pPr>
    </w:p>
    <w:p w14:paraId="07E0F952" w14:textId="77777777" w:rsidR="00D00B16" w:rsidRDefault="00365F6D">
      <w:pPr>
        <w:rPr>
          <w:b/>
          <w:sz w:val="22"/>
          <w:szCs w:val="22"/>
        </w:rPr>
      </w:pPr>
      <w:r>
        <w:rPr>
          <w:b/>
          <w:sz w:val="22"/>
          <w:szCs w:val="22"/>
        </w:rPr>
        <w:t>Foundations, Advocacy and the American Polity</w:t>
      </w:r>
    </w:p>
    <w:p w14:paraId="5CC97051" w14:textId="77777777" w:rsidR="00D00B16" w:rsidRDefault="00365F6D">
      <w:pPr>
        <w:rPr>
          <w:sz w:val="22"/>
          <w:szCs w:val="22"/>
        </w:rPr>
      </w:pPr>
      <w:r>
        <w:rPr>
          <w:sz w:val="22"/>
          <w:szCs w:val="22"/>
        </w:rPr>
        <w:t>Foundations are central to the philanthropic landscape of the United States and core actors in the broader nonprofit sector (</w:t>
      </w:r>
      <w:proofErr w:type="spellStart"/>
      <w:r>
        <w:rPr>
          <w:sz w:val="22"/>
          <w:szCs w:val="22"/>
        </w:rPr>
        <w:t>Anheier</w:t>
      </w:r>
      <w:proofErr w:type="spellEnd"/>
      <w:r>
        <w:rPr>
          <w:sz w:val="22"/>
          <w:szCs w:val="22"/>
        </w:rPr>
        <w:t xml:space="preserve"> and Hammack 2010; Webb Farley et al 2018). Current data indicate that there are more than 86,000 foundations holding assets in excess of $865 billion, and they disburse approximately $60 billion in charitable grants on a yearly basis (Foundation Center 2017). Although grantmaking is a key feature or function that foundations share, there are several different types of philanthropic institutions: about 69 percent are independent or family foundations, 12 percent are operating foundations, 9 percent are corporate </w:t>
      </w:r>
      <w:r>
        <w:rPr>
          <w:sz w:val="22"/>
          <w:szCs w:val="22"/>
        </w:rPr>
        <w:lastRenderedPageBreak/>
        <w:t xml:space="preserve">foundations, and 11 percent are community foundations (Foundation Center 2017). The primary distinction among foundations is whether they are private or public, a classification that is determined based on how an institution is supported financially. A private foundation is established with a large gift from a major donor that serves as an endowment, potentially enabling investments gains to sustain the organization in perpetuity. A community foundation is a grantmaking public charity that fundraises on an ongoing basis to benefit residents in a defined geographic area (Kasper et al 2014; Foundation Center 2017). </w:t>
      </w:r>
    </w:p>
    <w:p w14:paraId="36E6AFBD" w14:textId="77777777" w:rsidR="00D00B16" w:rsidRDefault="00D00B16">
      <w:pPr>
        <w:rPr>
          <w:sz w:val="22"/>
          <w:szCs w:val="22"/>
        </w:rPr>
      </w:pPr>
    </w:p>
    <w:p w14:paraId="4AF0B71B" w14:textId="77777777" w:rsidR="00D00B16" w:rsidRDefault="00365F6D">
      <w:pPr>
        <w:rPr>
          <w:sz w:val="22"/>
          <w:szCs w:val="22"/>
        </w:rPr>
      </w:pPr>
      <w:r>
        <w:rPr>
          <w:sz w:val="22"/>
          <w:szCs w:val="22"/>
        </w:rPr>
        <w:t>The role of all foundations often has come under intense scrutiny – particularly in relation to social change activity (</w:t>
      </w:r>
      <w:proofErr w:type="spellStart"/>
      <w:r>
        <w:rPr>
          <w:sz w:val="22"/>
          <w:szCs w:val="22"/>
        </w:rPr>
        <w:t>Frumkin</w:t>
      </w:r>
      <w:proofErr w:type="spellEnd"/>
      <w:r>
        <w:rPr>
          <w:sz w:val="22"/>
          <w:szCs w:val="22"/>
        </w:rPr>
        <w:t xml:space="preserve"> 1998; </w:t>
      </w:r>
      <w:proofErr w:type="spellStart"/>
      <w:r>
        <w:rPr>
          <w:sz w:val="22"/>
          <w:szCs w:val="22"/>
        </w:rPr>
        <w:t>Roelofs</w:t>
      </w:r>
      <w:proofErr w:type="spellEnd"/>
      <w:r>
        <w:rPr>
          <w:sz w:val="22"/>
          <w:szCs w:val="22"/>
        </w:rPr>
        <w:t xml:space="preserve"> 2003; Prewitt et al 2006; Reich et al 2017). At different periods in the history of the United States, foundations have been described as cultural imperialists that attempt to co-opt social movements to preserve the dominant social order and as financiers of revolution that face virtually no accountability as they work to undermine the dominant social order. Notwithstanding the spirited debates and legitimate concerns about the plutocratic voice of foundations in a democratic polity, foundations typically have had just a modest role in generating significant social change (Anderson 2008; O’Connor 2010; Goss 2016; Reich et al 2017). While foundations have contributed to the success of some social movements, they tend to be conservative “mirrors of public culture” rather than drivers of social reform (Prewitt 1999; Goss 2007). Indeed, extant studies of grantmaking for social change find that foundation support for that activity never exceeds 15 percent of grant outlays and tends to be far less than that (Jenkins 1989, 1998; Foundation Center 2010, 2011). From an historical perspective, then, available evidence indicates that foundations have been reluctant to engage in social change activity, either through grantmaking or by participating more directly in advocacy (Lowry 1999; Edwards 2008; O’Connor 2010). </w:t>
      </w:r>
    </w:p>
    <w:p w14:paraId="0FAD71A9" w14:textId="77777777" w:rsidR="00D00B16" w:rsidRDefault="00D00B16">
      <w:pPr>
        <w:rPr>
          <w:sz w:val="22"/>
          <w:szCs w:val="22"/>
        </w:rPr>
      </w:pPr>
    </w:p>
    <w:p w14:paraId="0BEE14A0" w14:textId="77777777" w:rsidR="00D00B16" w:rsidRDefault="00365F6D">
      <w:pPr>
        <w:rPr>
          <w:sz w:val="22"/>
          <w:szCs w:val="22"/>
        </w:rPr>
      </w:pPr>
      <w:r>
        <w:rPr>
          <w:sz w:val="22"/>
          <w:szCs w:val="22"/>
        </w:rPr>
        <w:t xml:space="preserve">This pattern stands in stark contrast to recent studies documenting active foundation engagement in advocacy – especially by private independent foundations (Rich 2004; Goss 2016; </w:t>
      </w:r>
      <w:proofErr w:type="spellStart"/>
      <w:r>
        <w:rPr>
          <w:sz w:val="22"/>
          <w:szCs w:val="22"/>
        </w:rPr>
        <w:t>Reckhow</w:t>
      </w:r>
      <w:proofErr w:type="spellEnd"/>
      <w:r>
        <w:rPr>
          <w:sz w:val="22"/>
          <w:szCs w:val="22"/>
        </w:rPr>
        <w:t xml:space="preserve"> 2013, 2016; Tompkins-</w:t>
      </w:r>
      <w:proofErr w:type="spellStart"/>
      <w:r>
        <w:rPr>
          <w:sz w:val="22"/>
          <w:szCs w:val="22"/>
        </w:rPr>
        <w:t>Stange</w:t>
      </w:r>
      <w:proofErr w:type="spellEnd"/>
      <w:r>
        <w:rPr>
          <w:sz w:val="22"/>
          <w:szCs w:val="22"/>
        </w:rPr>
        <w:t xml:space="preserve"> 2016; Webb Farley 2018). The emergence of activist “conservative philanthropy” provides at least a partial explanation for this change, as several studies demonstrate that ideologically conservative foundations have become persistent and increasingly assertive about funding think tanks that promote their worldview (Rich 2004; </w:t>
      </w:r>
      <w:proofErr w:type="spellStart"/>
      <w:r>
        <w:rPr>
          <w:sz w:val="22"/>
          <w:szCs w:val="22"/>
        </w:rPr>
        <w:t>Brulle</w:t>
      </w:r>
      <w:proofErr w:type="spellEnd"/>
      <w:r>
        <w:rPr>
          <w:sz w:val="22"/>
          <w:szCs w:val="22"/>
        </w:rPr>
        <w:t xml:space="preserve"> 2014; Hertel-Fernandez 2016). The rapid growth of the technology sector, which produced many young billionaires, is another likely driver. Applying the entrepreneurial spirit that made them successful in business, the foundations established by this new generation of philanthropists have been experimenting with novel business models (i.e. venture philanthropy, philanthrocapitalism) and approaches to influencing the regulatory environment (</w:t>
      </w:r>
      <w:proofErr w:type="spellStart"/>
      <w:r>
        <w:rPr>
          <w:sz w:val="22"/>
          <w:szCs w:val="22"/>
        </w:rPr>
        <w:t>Reckhow</w:t>
      </w:r>
      <w:proofErr w:type="spellEnd"/>
      <w:r>
        <w:rPr>
          <w:sz w:val="22"/>
          <w:szCs w:val="22"/>
        </w:rPr>
        <w:t xml:space="preserve"> 2013; Quinn et al 2014; Callahan 2017). Finally, this shift is consistent with broader institutional change in the nonprofit sector, characterized by increasing managerialism, marketization, and politicization (Eikenberry and </w:t>
      </w:r>
      <w:proofErr w:type="spellStart"/>
      <w:r>
        <w:rPr>
          <w:sz w:val="22"/>
          <w:szCs w:val="22"/>
        </w:rPr>
        <w:t>Kluver</w:t>
      </w:r>
      <w:proofErr w:type="spellEnd"/>
      <w:r>
        <w:rPr>
          <w:sz w:val="22"/>
          <w:szCs w:val="22"/>
        </w:rPr>
        <w:t xml:space="preserve"> 2004; </w:t>
      </w:r>
      <w:proofErr w:type="spellStart"/>
      <w:r>
        <w:rPr>
          <w:sz w:val="22"/>
          <w:szCs w:val="22"/>
        </w:rPr>
        <w:t>Marwell</w:t>
      </w:r>
      <w:proofErr w:type="spellEnd"/>
      <w:r>
        <w:rPr>
          <w:sz w:val="22"/>
          <w:szCs w:val="22"/>
        </w:rPr>
        <w:t xml:space="preserve"> 2004; Hwang and Powell 2009; </w:t>
      </w:r>
      <w:proofErr w:type="spellStart"/>
      <w:r>
        <w:rPr>
          <w:sz w:val="22"/>
          <w:szCs w:val="22"/>
        </w:rPr>
        <w:t>LeRoux</w:t>
      </w:r>
      <w:proofErr w:type="spellEnd"/>
      <w:r>
        <w:rPr>
          <w:sz w:val="22"/>
          <w:szCs w:val="22"/>
        </w:rPr>
        <w:t xml:space="preserve"> and </w:t>
      </w:r>
      <w:proofErr w:type="spellStart"/>
      <w:r>
        <w:rPr>
          <w:sz w:val="22"/>
          <w:szCs w:val="22"/>
        </w:rPr>
        <w:t>Goerdel</w:t>
      </w:r>
      <w:proofErr w:type="spellEnd"/>
      <w:r>
        <w:rPr>
          <w:sz w:val="22"/>
          <w:szCs w:val="22"/>
        </w:rPr>
        <w:t xml:space="preserve"> 2009; Mosley 2012; </w:t>
      </w:r>
      <w:proofErr w:type="spellStart"/>
      <w:r>
        <w:rPr>
          <w:sz w:val="22"/>
          <w:szCs w:val="22"/>
        </w:rPr>
        <w:t>Fyall</w:t>
      </w:r>
      <w:proofErr w:type="spellEnd"/>
      <w:r>
        <w:rPr>
          <w:sz w:val="22"/>
          <w:szCs w:val="22"/>
        </w:rPr>
        <w:t xml:space="preserve"> 2017). Whatever the causal force driving foundations to act more as interest groups, advocacy has become part of the strategic repertoire that foundations employ to achieve their missions. </w:t>
      </w:r>
    </w:p>
    <w:p w14:paraId="4799E264" w14:textId="77777777" w:rsidR="00D00B16" w:rsidRDefault="00D00B16">
      <w:pPr>
        <w:rPr>
          <w:sz w:val="22"/>
          <w:szCs w:val="22"/>
        </w:rPr>
      </w:pPr>
    </w:p>
    <w:p w14:paraId="758EECDE" w14:textId="77777777" w:rsidR="00D00B16" w:rsidRDefault="00365F6D">
      <w:pPr>
        <w:rPr>
          <w:sz w:val="22"/>
          <w:szCs w:val="22"/>
        </w:rPr>
      </w:pPr>
      <w:r>
        <w:rPr>
          <w:sz w:val="22"/>
          <w:szCs w:val="22"/>
        </w:rPr>
        <w:t xml:space="preserve">Research in political science and other fields has offered compelling evidence of this institutional change in the philanthropic sector, yet which types of foundations in the sector actually employ advocacy as a strategy and which characteristics of foundations are linked to participation in advocacy have not received much attention. We contribute to scholarship on this topic by focusing on community foundation engagement in advocacy. We concentrate on community foundations because these organizations often act as local leaders that identify pressing civic problems and contribute to solving those problems, yet they are poorly understood players in the philanthropic landscape. As an example, the mission of the Seattle Foundation is to “ignite powerful, rewarding philanthropy to make Greater Seattle a stronger, more vibrant community for all.” The foundation holds nearly a billion dollars in assets and manages donor advised funds from individuals, families, and corporations. The foundation also plays a prominent role in the community by identifying local needs and developing initiatives to address them. The foundation’s current initiatives include: Communities of Opportunity, which strives to improve health, social, racial, and economic outcomes by focusing on policy and systems change; Vibrant Democracy, which aims to strengthen the voice of underrepresented groups through voter education; and </w:t>
      </w:r>
      <w:r>
        <w:rPr>
          <w:sz w:val="22"/>
          <w:szCs w:val="22"/>
        </w:rPr>
        <w:lastRenderedPageBreak/>
        <w:t xml:space="preserve">Neighbor to Neighbor, which provides technical assistance to grassroots organizations serving marginalized populations in the South Seattle area (Seattle Foundation 2017). </w:t>
      </w:r>
    </w:p>
    <w:p w14:paraId="0721F8FD" w14:textId="77777777" w:rsidR="00D00B16" w:rsidRDefault="00D00B16">
      <w:pPr>
        <w:rPr>
          <w:sz w:val="22"/>
          <w:szCs w:val="22"/>
        </w:rPr>
      </w:pPr>
    </w:p>
    <w:p w14:paraId="3D59AA99" w14:textId="77777777" w:rsidR="00D00B16" w:rsidRDefault="00365F6D">
      <w:pPr>
        <w:rPr>
          <w:sz w:val="22"/>
          <w:szCs w:val="22"/>
        </w:rPr>
      </w:pPr>
      <w:r>
        <w:rPr>
          <w:sz w:val="22"/>
          <w:szCs w:val="22"/>
        </w:rPr>
        <w:t xml:space="preserve">Because most current studies on foundation advocacy focus on private institutions (independent, family, operating, and corporate foundations), social change initiatives by community foundations – like those of the Seattle Foundation – have received little attention (Lowry 1999; </w:t>
      </w:r>
      <w:proofErr w:type="spellStart"/>
      <w:r>
        <w:rPr>
          <w:sz w:val="22"/>
          <w:szCs w:val="22"/>
        </w:rPr>
        <w:t>Reckhow</w:t>
      </w:r>
      <w:proofErr w:type="spellEnd"/>
      <w:r>
        <w:rPr>
          <w:sz w:val="22"/>
          <w:szCs w:val="22"/>
        </w:rPr>
        <w:t xml:space="preserve"> 2016; Tompkins-</w:t>
      </w:r>
      <w:proofErr w:type="spellStart"/>
      <w:r>
        <w:rPr>
          <w:sz w:val="22"/>
          <w:szCs w:val="22"/>
        </w:rPr>
        <w:t>Stange</w:t>
      </w:r>
      <w:proofErr w:type="spellEnd"/>
      <w:r>
        <w:rPr>
          <w:sz w:val="22"/>
          <w:szCs w:val="22"/>
        </w:rPr>
        <w:t xml:space="preserve"> 2016). Unlike private foundations, moreover, community foundations can lobby and they are not required to distribute 5 percent of net investment income on a yearly basis. Continuing with our example, the Seattle Foundation lobbied for a county-wide levy in 2015 that would be used to fund programs for children, as well as for changes in federal laws regarding donor advised funds. Due to the less restrictive regulations they face, community foundations might be expected to engage in more advocacy than private foundations, but the lack of attention to community foundations limits comparisons. We draw on organizational sociology for our conceptual frame, proposing that community foundation engagement in advocacy will be influenced by environmental context and structural characteristics. As we elaborate below, the organizational features of community foundations that we expect to be most salient for engagement in advocacy are institutional logics, identity and embeddedness, and managerialism. </w:t>
      </w:r>
    </w:p>
    <w:p w14:paraId="33F27B43" w14:textId="77777777" w:rsidR="00D00B16" w:rsidRDefault="00D00B16">
      <w:pPr>
        <w:rPr>
          <w:sz w:val="22"/>
          <w:szCs w:val="22"/>
        </w:rPr>
      </w:pPr>
    </w:p>
    <w:p w14:paraId="786F7E58" w14:textId="77777777" w:rsidR="00D00B16" w:rsidRDefault="00365F6D">
      <w:pPr>
        <w:rPr>
          <w:sz w:val="22"/>
          <w:szCs w:val="22"/>
          <w:u w:val="single"/>
        </w:rPr>
      </w:pPr>
      <w:r>
        <w:rPr>
          <w:i/>
          <w:sz w:val="22"/>
          <w:szCs w:val="22"/>
          <w:u w:val="single"/>
        </w:rPr>
        <w:t>Environmental Context</w:t>
      </w:r>
    </w:p>
    <w:p w14:paraId="684F0155" w14:textId="77777777" w:rsidR="00D00B16" w:rsidRDefault="00365F6D">
      <w:pPr>
        <w:rPr>
          <w:sz w:val="22"/>
          <w:szCs w:val="22"/>
        </w:rPr>
      </w:pPr>
      <w:r>
        <w:rPr>
          <w:sz w:val="22"/>
          <w:szCs w:val="22"/>
        </w:rPr>
        <w:t xml:space="preserve">Sociological institutionalism emphasizes the influence of the broad institutional environment of organizations, claiming that organizations are sensitive to cultural scripts or “rationalized myths” and hence all will share many similarities (Meyer and Rowan 1977; </w:t>
      </w:r>
      <w:proofErr w:type="spellStart"/>
      <w:r>
        <w:rPr>
          <w:sz w:val="22"/>
          <w:szCs w:val="22"/>
        </w:rPr>
        <w:t>Drori</w:t>
      </w:r>
      <w:proofErr w:type="spellEnd"/>
      <w:r>
        <w:rPr>
          <w:sz w:val="22"/>
          <w:szCs w:val="22"/>
        </w:rPr>
        <w:t xml:space="preserve"> et al 2006; Meyer and Bromley 2013; Bromley and Meyer 2015; Suárez and Esparza 2017). While the institutional environment can have a pervasive macro-level effect across fields and geographic locations, environmental context is relevant at lower levels as well (DiMaggio and Powell 1983). This argument is relevant for community foundations because these organizations are chartered to serve a local constituency and thus should be sensitive to the dynamics of their proximate operational environment (Guo and Brown 2006; </w:t>
      </w:r>
      <w:proofErr w:type="spellStart"/>
      <w:r>
        <w:rPr>
          <w:sz w:val="22"/>
          <w:szCs w:val="22"/>
        </w:rPr>
        <w:t>Graddy</w:t>
      </w:r>
      <w:proofErr w:type="spellEnd"/>
      <w:r>
        <w:rPr>
          <w:sz w:val="22"/>
          <w:szCs w:val="22"/>
        </w:rPr>
        <w:t xml:space="preserve"> and Wang 2008). If the environmental context of community foundations matters for engagement in advocacy, two aspects of the communities they serve that could be especially salient are wealth (economic and human capital) and political liberalism.</w:t>
      </w:r>
    </w:p>
    <w:p w14:paraId="39F31463" w14:textId="77777777" w:rsidR="00D00B16" w:rsidRDefault="00D00B16">
      <w:pPr>
        <w:rPr>
          <w:sz w:val="22"/>
          <w:szCs w:val="22"/>
        </w:rPr>
      </w:pPr>
    </w:p>
    <w:p w14:paraId="3D61F321" w14:textId="77777777" w:rsidR="00D00B16" w:rsidRDefault="00365F6D">
      <w:pPr>
        <w:rPr>
          <w:sz w:val="22"/>
          <w:szCs w:val="22"/>
        </w:rPr>
      </w:pPr>
      <w:r>
        <w:rPr>
          <w:sz w:val="22"/>
          <w:szCs w:val="22"/>
        </w:rPr>
        <w:t>An extensive literature in political science on the determinants of individual participation in the political process – the resource model of political participation – finds persistent inequality along economic lines in the United States (i.e. class, socioeconomic status), leading to the conclusion that democracy is sustained by an “unheavenly chorus” of wealthy voices (</w:t>
      </w:r>
      <w:proofErr w:type="spellStart"/>
      <w:r>
        <w:rPr>
          <w:sz w:val="22"/>
          <w:szCs w:val="22"/>
        </w:rPr>
        <w:t>Gilens</w:t>
      </w:r>
      <w:proofErr w:type="spellEnd"/>
      <w:r>
        <w:rPr>
          <w:sz w:val="22"/>
          <w:szCs w:val="22"/>
        </w:rPr>
        <w:t xml:space="preserve"> 2012; </w:t>
      </w:r>
      <w:proofErr w:type="spellStart"/>
      <w:r>
        <w:rPr>
          <w:sz w:val="22"/>
          <w:szCs w:val="22"/>
        </w:rPr>
        <w:t>Schlozman</w:t>
      </w:r>
      <w:proofErr w:type="spellEnd"/>
      <w:r>
        <w:rPr>
          <w:sz w:val="22"/>
          <w:szCs w:val="22"/>
        </w:rPr>
        <w:t xml:space="preserve"> et al 2012). The determinants of behavior at the individual level do not necessarily translate or aggregate up to the organizational level, yet the notion that a relationship might exist between the wealth of a community and engagement in advocacy by community foundations is quite reasonable. Community foundations operating in areas characterized by lower levels of wealth and human capital might prioritize solving the pressing first order problems these community face and decide not to dedicate their efforts to political advocacy. However, organizations working in wealthier regions might take advantage of opportunities to spend time and resources thinking about the “big picture” and influence policy. All else equal, then, we expect higher advocacy engagement by community foundations in wealthier communities. </w:t>
      </w:r>
    </w:p>
    <w:p w14:paraId="71B918AB" w14:textId="77777777" w:rsidR="00D00B16" w:rsidRDefault="00D00B16">
      <w:pPr>
        <w:rPr>
          <w:sz w:val="22"/>
          <w:szCs w:val="22"/>
        </w:rPr>
      </w:pPr>
    </w:p>
    <w:p w14:paraId="64F45699" w14:textId="77777777" w:rsidR="00D00B16" w:rsidRDefault="00365F6D">
      <w:pPr>
        <w:rPr>
          <w:sz w:val="22"/>
          <w:szCs w:val="22"/>
        </w:rPr>
      </w:pPr>
      <w:r>
        <w:rPr>
          <w:sz w:val="22"/>
          <w:szCs w:val="22"/>
        </w:rPr>
        <w:t xml:space="preserve">The political orientation of a community also could have independent effects on community foundation engagement in advocacy. Advocacy tactics for politically conservative causes have diversified over the last few decades, extending beyond lobbying to policy research by think tanks and to more grassroots approaches (i.e. by groups like Tea Parties) (Rich 2004; </w:t>
      </w:r>
      <w:proofErr w:type="spellStart"/>
      <w:r>
        <w:rPr>
          <w:sz w:val="22"/>
          <w:szCs w:val="22"/>
        </w:rPr>
        <w:t>Brulle</w:t>
      </w:r>
      <w:proofErr w:type="spellEnd"/>
      <w:r>
        <w:rPr>
          <w:sz w:val="22"/>
          <w:szCs w:val="22"/>
        </w:rPr>
        <w:t xml:space="preserve"> 2014; Hertel-Fernandez 2016; Mayer 2016). The tremendous growth of public interest associations and social movement activism that took place during the 1960s has been associated primarily with politically liberal causes (i.e. rights movements), however, and this historical legacy could produce a positive association between the political liberalism of a community and advocacy by community foundations (Berry 1999; Jenkins 1986, 1998; Minkoff 2002; Goss 2007). </w:t>
      </w:r>
    </w:p>
    <w:p w14:paraId="0CAB1CCD" w14:textId="77777777" w:rsidR="00D00B16" w:rsidRDefault="00D00B16">
      <w:pPr>
        <w:rPr>
          <w:sz w:val="22"/>
          <w:szCs w:val="22"/>
        </w:rPr>
      </w:pPr>
    </w:p>
    <w:p w14:paraId="1B7CA98F" w14:textId="77777777" w:rsidR="00D00B16" w:rsidRDefault="00365F6D">
      <w:pPr>
        <w:rPr>
          <w:i/>
          <w:sz w:val="22"/>
          <w:szCs w:val="22"/>
        </w:rPr>
      </w:pPr>
      <w:r>
        <w:rPr>
          <w:i/>
          <w:sz w:val="22"/>
          <w:szCs w:val="22"/>
        </w:rPr>
        <w:t xml:space="preserve">H1a: Greater wealth in a community will have a positive association with foundation advocacy. </w:t>
      </w:r>
    </w:p>
    <w:p w14:paraId="1881988F" w14:textId="77777777" w:rsidR="00D00B16" w:rsidRDefault="00D00B16">
      <w:pPr>
        <w:rPr>
          <w:sz w:val="22"/>
          <w:szCs w:val="22"/>
        </w:rPr>
      </w:pPr>
    </w:p>
    <w:p w14:paraId="3EC675F9" w14:textId="77777777" w:rsidR="00D00B16" w:rsidRDefault="00365F6D">
      <w:pPr>
        <w:rPr>
          <w:i/>
          <w:sz w:val="22"/>
          <w:szCs w:val="22"/>
        </w:rPr>
      </w:pPr>
      <w:r>
        <w:rPr>
          <w:i/>
          <w:sz w:val="22"/>
          <w:szCs w:val="22"/>
        </w:rPr>
        <w:t>H1b: Political liberalism will have a positive association with foundation advocacy.</w:t>
      </w:r>
    </w:p>
    <w:p w14:paraId="5EA8AAFF" w14:textId="77777777" w:rsidR="00D00B16" w:rsidRDefault="00D00B16">
      <w:pPr>
        <w:rPr>
          <w:i/>
          <w:sz w:val="22"/>
          <w:szCs w:val="22"/>
        </w:rPr>
      </w:pPr>
    </w:p>
    <w:p w14:paraId="07B4D4CD" w14:textId="77777777" w:rsidR="00D00B16" w:rsidRDefault="00365F6D">
      <w:pPr>
        <w:rPr>
          <w:sz w:val="22"/>
          <w:szCs w:val="22"/>
          <w:u w:val="single"/>
        </w:rPr>
      </w:pPr>
      <w:r>
        <w:rPr>
          <w:i/>
          <w:sz w:val="22"/>
          <w:szCs w:val="22"/>
          <w:u w:val="single"/>
        </w:rPr>
        <w:t>Institutional Logics</w:t>
      </w:r>
    </w:p>
    <w:p w14:paraId="3F547FFC" w14:textId="77777777" w:rsidR="00D00B16" w:rsidRDefault="00365F6D">
      <w:pPr>
        <w:rPr>
          <w:sz w:val="22"/>
          <w:szCs w:val="22"/>
        </w:rPr>
      </w:pPr>
      <w:r>
        <w:rPr>
          <w:sz w:val="22"/>
          <w:szCs w:val="22"/>
        </w:rPr>
        <w:t xml:space="preserve">Building on the core insight from sociological institutionalism that organizations are shaped by their external environment, the institutional logics perspective suggests that contemporary societies have several primary institutional orders, each of which has distinctive principles that can align or conflict with the others (Friedland and Alford 1991; Thornton, Ocasio, and Lounsbury 2012). In the United States, some of the institutional orders with logics that shape organizations are the community (family), the state (democracy), the market (capitalism), the professions, and religion (Friedland and Alford 1991; Battilana and Dorado. 2010; Thornton, Ocasio, and Lounsbury 2012; </w:t>
      </w:r>
      <w:proofErr w:type="spellStart"/>
      <w:r>
        <w:rPr>
          <w:sz w:val="22"/>
          <w:szCs w:val="22"/>
        </w:rPr>
        <w:t>Garrow</w:t>
      </w:r>
      <w:proofErr w:type="spellEnd"/>
      <w:r>
        <w:rPr>
          <w:sz w:val="22"/>
          <w:szCs w:val="22"/>
        </w:rPr>
        <w:t xml:space="preserve"> and </w:t>
      </w:r>
      <w:proofErr w:type="spellStart"/>
      <w:r>
        <w:rPr>
          <w:sz w:val="22"/>
          <w:szCs w:val="22"/>
        </w:rPr>
        <w:t>Grusky</w:t>
      </w:r>
      <w:proofErr w:type="spellEnd"/>
      <w:r>
        <w:rPr>
          <w:sz w:val="22"/>
          <w:szCs w:val="22"/>
        </w:rPr>
        <w:t xml:space="preserve"> 2013). Since the historical legacy of community foundations indicates that these organizations are guided by two distinctive logics—market and community—the logic that predominates could be consequential for engagement in advocacy (</w:t>
      </w:r>
      <w:proofErr w:type="spellStart"/>
      <w:r>
        <w:rPr>
          <w:sz w:val="22"/>
          <w:szCs w:val="22"/>
        </w:rPr>
        <w:t>Graddy</w:t>
      </w:r>
      <w:proofErr w:type="spellEnd"/>
      <w:r>
        <w:rPr>
          <w:sz w:val="22"/>
          <w:szCs w:val="22"/>
        </w:rPr>
        <w:t xml:space="preserve"> and Morgan 2006; </w:t>
      </w:r>
      <w:proofErr w:type="spellStart"/>
      <w:r>
        <w:rPr>
          <w:sz w:val="22"/>
          <w:szCs w:val="22"/>
        </w:rPr>
        <w:t>Grønbjerg</w:t>
      </w:r>
      <w:proofErr w:type="spellEnd"/>
      <w:r>
        <w:rPr>
          <w:sz w:val="22"/>
          <w:szCs w:val="22"/>
        </w:rPr>
        <w:t xml:space="preserve"> 2006). </w:t>
      </w:r>
    </w:p>
    <w:p w14:paraId="27BEB346" w14:textId="77777777" w:rsidR="00D00B16" w:rsidRDefault="00D00B16">
      <w:pPr>
        <w:rPr>
          <w:sz w:val="22"/>
          <w:szCs w:val="22"/>
        </w:rPr>
      </w:pPr>
    </w:p>
    <w:p w14:paraId="59F05E44" w14:textId="77777777" w:rsidR="00D00B16" w:rsidRDefault="00365F6D">
      <w:pPr>
        <w:rPr>
          <w:sz w:val="22"/>
          <w:szCs w:val="22"/>
        </w:rPr>
      </w:pPr>
      <w:r>
        <w:rPr>
          <w:sz w:val="22"/>
          <w:szCs w:val="22"/>
        </w:rPr>
        <w:t>Some community foundations prioritize a market logic, emphasizing their role as efficient managers of endowments and aiming to solve social problems primarily through market-oriented means. By placing funds from trusts of various sizes under the control of financial experts, community foundations supposedly would reduce the costs associated with donors managing funds on their own while also growing the endowment by pooling resources and making sound investment decisions (</w:t>
      </w:r>
      <w:proofErr w:type="spellStart"/>
      <w:r>
        <w:rPr>
          <w:sz w:val="22"/>
          <w:szCs w:val="22"/>
        </w:rPr>
        <w:t>Grønbjerg</w:t>
      </w:r>
      <w:proofErr w:type="spellEnd"/>
      <w:r>
        <w:rPr>
          <w:sz w:val="22"/>
          <w:szCs w:val="22"/>
        </w:rPr>
        <w:t xml:space="preserve"> 2006; Hall 2006). Some community foundations pursue efficiency by serving as an alternative to direct individual support for nonprofits as well, enabling donors with limited resources to house their charitable funds with the community foundation and then direct those funds as desired at a later time, perhaps after drawing on the expertise of philanthropic advisors at the foundation. </w:t>
      </w:r>
    </w:p>
    <w:p w14:paraId="755D4EBC" w14:textId="77777777" w:rsidR="00D00B16" w:rsidRDefault="00D00B16">
      <w:pPr>
        <w:rPr>
          <w:sz w:val="22"/>
          <w:szCs w:val="22"/>
        </w:rPr>
      </w:pPr>
    </w:p>
    <w:p w14:paraId="17A2820D" w14:textId="77777777" w:rsidR="00D00B16" w:rsidRDefault="00365F6D">
      <w:pPr>
        <w:rPr>
          <w:sz w:val="22"/>
          <w:szCs w:val="22"/>
        </w:rPr>
      </w:pPr>
      <w:r>
        <w:rPr>
          <w:sz w:val="22"/>
          <w:szCs w:val="22"/>
        </w:rPr>
        <w:t>Other community foundations however put more emphasis on solving social problems by building leadership and collaboration (</w:t>
      </w:r>
      <w:proofErr w:type="spellStart"/>
      <w:r>
        <w:rPr>
          <w:sz w:val="22"/>
          <w:szCs w:val="22"/>
        </w:rPr>
        <w:t>Grønbjerg</w:t>
      </w:r>
      <w:proofErr w:type="spellEnd"/>
      <w:r>
        <w:rPr>
          <w:sz w:val="22"/>
          <w:szCs w:val="22"/>
        </w:rPr>
        <w:t xml:space="preserve"> 2006; Guo and Brown 2006; Hammack and </w:t>
      </w:r>
      <w:proofErr w:type="spellStart"/>
      <w:r>
        <w:rPr>
          <w:sz w:val="22"/>
          <w:szCs w:val="22"/>
        </w:rPr>
        <w:t>Anheier</w:t>
      </w:r>
      <w:proofErr w:type="spellEnd"/>
      <w:r>
        <w:rPr>
          <w:sz w:val="22"/>
          <w:szCs w:val="22"/>
        </w:rPr>
        <w:t xml:space="preserve"> 2010). Although all community foundations might be expected to manifest a community logic because the concept is “baked into” the label that identifies them as organizations, some highlight that they aim to contribute to society by: participating, connecting, coordinating, convening, collaborating, partnering, networking, volunteering, promoting civic engagement, organizing, planning, developing leaders, and building social capital (</w:t>
      </w:r>
      <w:proofErr w:type="spellStart"/>
      <w:r>
        <w:rPr>
          <w:sz w:val="22"/>
          <w:szCs w:val="22"/>
        </w:rPr>
        <w:t>Grønbjerg</w:t>
      </w:r>
      <w:proofErr w:type="spellEnd"/>
      <w:r>
        <w:rPr>
          <w:sz w:val="22"/>
          <w:szCs w:val="22"/>
        </w:rPr>
        <w:t xml:space="preserve"> 2006; </w:t>
      </w:r>
      <w:proofErr w:type="spellStart"/>
      <w:r>
        <w:rPr>
          <w:sz w:val="22"/>
          <w:szCs w:val="22"/>
        </w:rPr>
        <w:t>Graddy</w:t>
      </w:r>
      <w:proofErr w:type="spellEnd"/>
      <w:r>
        <w:rPr>
          <w:sz w:val="22"/>
          <w:szCs w:val="22"/>
        </w:rPr>
        <w:t xml:space="preserve"> and Wang 2008). We would expect community foundations that exhibit this community logic in their self-descriptions (e.g. mission, purpose and activities, and program areas) to be more likely to engage in advocacy than community foundations that do not exhibit it: their approach to problem solving is to build an active citizenry and we expect them to promote social change by being politically engaged. </w:t>
      </w:r>
    </w:p>
    <w:p w14:paraId="5063FB06" w14:textId="77777777" w:rsidR="00D00B16" w:rsidRDefault="00D00B16">
      <w:pPr>
        <w:rPr>
          <w:sz w:val="22"/>
          <w:szCs w:val="22"/>
        </w:rPr>
      </w:pPr>
    </w:p>
    <w:p w14:paraId="26A1E7E7" w14:textId="77777777" w:rsidR="00D00B16" w:rsidRDefault="00365F6D">
      <w:pPr>
        <w:rPr>
          <w:sz w:val="22"/>
          <w:szCs w:val="22"/>
        </w:rPr>
      </w:pPr>
      <w:r>
        <w:rPr>
          <w:sz w:val="22"/>
          <w:szCs w:val="22"/>
        </w:rPr>
        <w:t xml:space="preserve">A complementary way to identify the institutional logics that guide an organization is through their funding model – how they derive their revenue. Rather than attributing an institutional logic to its discourse, the resource mix of a community foundation reveals the functional or operational logic. Community foundations have two primary sources of revenue, market income (from service fees and investments) and donative income (from charitable giving). Like the foundations that exhibit a community logic through their discourse, those with a greater percentage of donative revenue may engage in more advocacy. </w:t>
      </w:r>
    </w:p>
    <w:p w14:paraId="2C4A50C7" w14:textId="77777777" w:rsidR="00D00B16" w:rsidRDefault="00D00B16">
      <w:pPr>
        <w:rPr>
          <w:sz w:val="22"/>
          <w:szCs w:val="22"/>
        </w:rPr>
      </w:pPr>
    </w:p>
    <w:p w14:paraId="3A099D30" w14:textId="77777777" w:rsidR="00D00B16" w:rsidRDefault="00365F6D">
      <w:pPr>
        <w:rPr>
          <w:i/>
          <w:sz w:val="22"/>
          <w:szCs w:val="22"/>
        </w:rPr>
      </w:pPr>
      <w:r>
        <w:rPr>
          <w:i/>
          <w:sz w:val="22"/>
          <w:szCs w:val="22"/>
        </w:rPr>
        <w:t xml:space="preserve">H2a: Foundations guided by a community logic will have a positive association with advocacy. </w:t>
      </w:r>
    </w:p>
    <w:p w14:paraId="1DE00B70" w14:textId="77777777" w:rsidR="00D00B16" w:rsidRDefault="00D00B16">
      <w:pPr>
        <w:rPr>
          <w:i/>
          <w:sz w:val="22"/>
          <w:szCs w:val="22"/>
        </w:rPr>
      </w:pPr>
    </w:p>
    <w:p w14:paraId="372388BA" w14:textId="77777777" w:rsidR="00D00B16" w:rsidRDefault="00365F6D">
      <w:pPr>
        <w:rPr>
          <w:i/>
          <w:sz w:val="22"/>
          <w:szCs w:val="22"/>
        </w:rPr>
      </w:pPr>
      <w:r>
        <w:rPr>
          <w:i/>
          <w:sz w:val="22"/>
          <w:szCs w:val="22"/>
        </w:rPr>
        <w:t>H2b: Foundations with a greater reliance on donative sources will have a positive association with advocacy.</w:t>
      </w:r>
    </w:p>
    <w:p w14:paraId="69411485" w14:textId="77777777" w:rsidR="00D00B16" w:rsidRDefault="00D00B16">
      <w:pPr>
        <w:rPr>
          <w:sz w:val="22"/>
          <w:szCs w:val="22"/>
        </w:rPr>
      </w:pPr>
    </w:p>
    <w:p w14:paraId="00BD2111" w14:textId="77777777" w:rsidR="00D00B16" w:rsidRDefault="00365F6D">
      <w:pPr>
        <w:rPr>
          <w:i/>
          <w:sz w:val="22"/>
          <w:szCs w:val="22"/>
          <w:u w:val="single"/>
        </w:rPr>
      </w:pPr>
      <w:r>
        <w:rPr>
          <w:i/>
          <w:sz w:val="22"/>
          <w:szCs w:val="22"/>
          <w:u w:val="single"/>
        </w:rPr>
        <w:t>Identity and Embeddedness</w:t>
      </w:r>
    </w:p>
    <w:p w14:paraId="72AA281E" w14:textId="77777777" w:rsidR="00D00B16" w:rsidRDefault="00365F6D">
      <w:pPr>
        <w:rPr>
          <w:sz w:val="22"/>
          <w:szCs w:val="22"/>
        </w:rPr>
      </w:pPr>
      <w:r>
        <w:rPr>
          <w:sz w:val="22"/>
          <w:szCs w:val="22"/>
        </w:rPr>
        <w:lastRenderedPageBreak/>
        <w:t>Community foundations can pursue a social change agenda indirectly by acting as patrons, providing grants for nonprofits to advocate on behalf of causes that align with foundation mission. Community foundations also pursue their social change goals by engaging in advocacy directly, and both organizational identity and relational embeddedness could help to explain which community foundations will undertake this activity. While the identity of an organization is related to its mission, the manner in which organizations present themselves to the public varies even among organizations that provide similar goods and services (</w:t>
      </w:r>
      <w:proofErr w:type="spellStart"/>
      <w:r>
        <w:rPr>
          <w:sz w:val="22"/>
          <w:szCs w:val="22"/>
        </w:rPr>
        <w:t>Gioia</w:t>
      </w:r>
      <w:proofErr w:type="spellEnd"/>
      <w:r>
        <w:rPr>
          <w:sz w:val="22"/>
          <w:szCs w:val="22"/>
        </w:rPr>
        <w:t xml:space="preserve"> et al 2000; </w:t>
      </w:r>
      <w:proofErr w:type="spellStart"/>
      <w:r>
        <w:rPr>
          <w:sz w:val="22"/>
          <w:szCs w:val="22"/>
        </w:rPr>
        <w:t>Brickson</w:t>
      </w:r>
      <w:proofErr w:type="spellEnd"/>
      <w:r>
        <w:rPr>
          <w:sz w:val="22"/>
          <w:szCs w:val="22"/>
        </w:rPr>
        <w:t xml:space="preserve"> 2005). For some organizations, an identity can serve as a form of branding that is useful for marketing purposes, though organizational identities also are consequential for how organizations engage and interact with their stakeholders (</w:t>
      </w:r>
      <w:proofErr w:type="spellStart"/>
      <w:r>
        <w:rPr>
          <w:sz w:val="22"/>
          <w:szCs w:val="22"/>
        </w:rPr>
        <w:t>Brickson</w:t>
      </w:r>
      <w:proofErr w:type="spellEnd"/>
      <w:r>
        <w:rPr>
          <w:sz w:val="22"/>
          <w:szCs w:val="22"/>
        </w:rPr>
        <w:t xml:space="preserve"> 2005). For community foundations, an organizational identity can act as a signal to prospective grant applicants, and it also can serve to confer legitimacy onto organizations and causes with a similar identity (Prewitt 1999; </w:t>
      </w:r>
      <w:proofErr w:type="spellStart"/>
      <w:r>
        <w:rPr>
          <w:sz w:val="22"/>
          <w:szCs w:val="22"/>
        </w:rPr>
        <w:t>Askartova</w:t>
      </w:r>
      <w:proofErr w:type="spellEnd"/>
      <w:r>
        <w:rPr>
          <w:sz w:val="22"/>
          <w:szCs w:val="22"/>
        </w:rPr>
        <w:t xml:space="preserve"> 2003; Prewitt et al 2006; Barley 2007; </w:t>
      </w:r>
      <w:proofErr w:type="spellStart"/>
      <w:r>
        <w:rPr>
          <w:sz w:val="22"/>
          <w:szCs w:val="22"/>
        </w:rPr>
        <w:t>Anheier</w:t>
      </w:r>
      <w:proofErr w:type="spellEnd"/>
      <w:r>
        <w:rPr>
          <w:sz w:val="22"/>
          <w:szCs w:val="22"/>
        </w:rPr>
        <w:t xml:space="preserve"> and Hammack 2010). Since philanthropy in support of social movements is rather uncommon, community foundations with a social movement identity help to confer legitimacy onto the mission and activities of organizations that share that identity (Carson 2001; Suárez 2012; Jensen 2013). We anticipate that community foundations with a social movement identity also will “practice what they preach” and engage in advocacy. </w:t>
      </w:r>
    </w:p>
    <w:p w14:paraId="04D207C8" w14:textId="77777777" w:rsidR="00D00B16" w:rsidRDefault="00D00B16">
      <w:pPr>
        <w:rPr>
          <w:sz w:val="22"/>
          <w:szCs w:val="22"/>
        </w:rPr>
      </w:pPr>
    </w:p>
    <w:p w14:paraId="08812C7F" w14:textId="77777777" w:rsidR="00D00B16" w:rsidRDefault="00365F6D">
      <w:pPr>
        <w:rPr>
          <w:sz w:val="22"/>
          <w:szCs w:val="22"/>
        </w:rPr>
      </w:pPr>
      <w:r>
        <w:rPr>
          <w:sz w:val="22"/>
          <w:szCs w:val="22"/>
        </w:rPr>
        <w:t xml:space="preserve">Like organizational identities, the associational activity of community foundations may send a signal about their roles and priorities. Extensive research finds that social and relational embeddedness – ties among organizations and their stakeholders – matter for resource stability, learning and knowledge acquisition, and many performance outcomes (Small 2006; </w:t>
      </w:r>
      <w:proofErr w:type="spellStart"/>
      <w:r>
        <w:rPr>
          <w:sz w:val="22"/>
          <w:szCs w:val="22"/>
        </w:rPr>
        <w:t>Galaskiewicz</w:t>
      </w:r>
      <w:proofErr w:type="spellEnd"/>
      <w:r>
        <w:rPr>
          <w:sz w:val="22"/>
          <w:szCs w:val="22"/>
        </w:rPr>
        <w:t xml:space="preserve"> et al 2006). With respect to interest groups in particular, the literature indicates that advocacy organizations tend to be more successful in influencing policy when they build coalitions, and considerable evidence demonstrates that relational ties are important for recruiting and retaining members (Mahoney 2007; </w:t>
      </w:r>
      <w:proofErr w:type="spellStart"/>
      <w:r>
        <w:rPr>
          <w:sz w:val="22"/>
          <w:szCs w:val="22"/>
        </w:rPr>
        <w:t>Kluver</w:t>
      </w:r>
      <w:proofErr w:type="spellEnd"/>
      <w:r>
        <w:rPr>
          <w:sz w:val="22"/>
          <w:szCs w:val="22"/>
        </w:rPr>
        <w:t xml:space="preserve"> 2013; Minkoff 2016). Some community foundations are less connected or networked than others to communities of practice, opting not to be involved with affinity groups or membership associations that serve the broader nonprofit sector. If the tendency of community foundations to be “joiners” is an indicator of their willingness to engage with and shape their broader environment, we would expect a positive relationship between embeddedness and advocacy. </w:t>
      </w:r>
    </w:p>
    <w:p w14:paraId="5E94B763" w14:textId="77777777" w:rsidR="00D00B16" w:rsidRDefault="00D00B16">
      <w:pPr>
        <w:rPr>
          <w:sz w:val="22"/>
          <w:szCs w:val="22"/>
        </w:rPr>
      </w:pPr>
    </w:p>
    <w:p w14:paraId="0A4C3419" w14:textId="77777777" w:rsidR="00D00B16" w:rsidRDefault="00365F6D">
      <w:pPr>
        <w:rPr>
          <w:i/>
          <w:sz w:val="22"/>
          <w:szCs w:val="22"/>
        </w:rPr>
      </w:pPr>
      <w:r>
        <w:rPr>
          <w:i/>
          <w:sz w:val="22"/>
          <w:szCs w:val="22"/>
        </w:rPr>
        <w:t>H3a: Foundations with a social justice / social movement identity will have a positive association with advocacy.</w:t>
      </w:r>
    </w:p>
    <w:p w14:paraId="28776279" w14:textId="77777777" w:rsidR="00D00B16" w:rsidRDefault="00D00B16">
      <w:pPr>
        <w:rPr>
          <w:i/>
          <w:sz w:val="22"/>
          <w:szCs w:val="22"/>
        </w:rPr>
      </w:pPr>
    </w:p>
    <w:p w14:paraId="07098910" w14:textId="77777777" w:rsidR="00D00B16" w:rsidRDefault="00365F6D">
      <w:pPr>
        <w:rPr>
          <w:i/>
          <w:sz w:val="22"/>
          <w:szCs w:val="22"/>
        </w:rPr>
      </w:pPr>
      <w:r>
        <w:rPr>
          <w:i/>
          <w:sz w:val="22"/>
          <w:szCs w:val="22"/>
        </w:rPr>
        <w:t>H3b: Greater foundation social embeddedness will have a positive association with advocacy.</w:t>
      </w:r>
    </w:p>
    <w:p w14:paraId="13DBDAC5" w14:textId="77777777" w:rsidR="00D00B16" w:rsidRDefault="00D00B16">
      <w:pPr>
        <w:rPr>
          <w:sz w:val="22"/>
          <w:szCs w:val="22"/>
        </w:rPr>
      </w:pPr>
    </w:p>
    <w:p w14:paraId="746474A1" w14:textId="77777777" w:rsidR="00D00B16" w:rsidRDefault="00365F6D">
      <w:pPr>
        <w:rPr>
          <w:i/>
          <w:sz w:val="22"/>
          <w:szCs w:val="22"/>
          <w:u w:val="single"/>
        </w:rPr>
      </w:pPr>
      <w:r>
        <w:rPr>
          <w:i/>
          <w:sz w:val="22"/>
          <w:szCs w:val="22"/>
          <w:u w:val="single"/>
        </w:rPr>
        <w:t>Managerialism (Rationalization and Professionalization)</w:t>
      </w:r>
    </w:p>
    <w:p w14:paraId="4CDB461D" w14:textId="77777777" w:rsidR="00D00B16" w:rsidRDefault="00365F6D">
      <w:pPr>
        <w:rPr>
          <w:sz w:val="22"/>
          <w:szCs w:val="22"/>
        </w:rPr>
      </w:pPr>
      <w:r>
        <w:rPr>
          <w:sz w:val="22"/>
          <w:szCs w:val="22"/>
        </w:rPr>
        <w:t>Managerialism describes ideologies that attune organizations to the technical or operational aspects of their work, often characterized as “business-like” activity. Managerialism can be broken down into two distinctive components, rationalization and professionalization, both of which could influence community foundation engagement in advocacy. Rationalization in the nonprofit sector refers to the construction of charities as formal, purposive organizations (</w:t>
      </w:r>
      <w:proofErr w:type="spellStart"/>
      <w:r>
        <w:rPr>
          <w:sz w:val="22"/>
          <w:szCs w:val="22"/>
        </w:rPr>
        <w:t>Drori</w:t>
      </w:r>
      <w:proofErr w:type="spellEnd"/>
      <w:r>
        <w:rPr>
          <w:sz w:val="22"/>
          <w:szCs w:val="22"/>
        </w:rPr>
        <w:t xml:space="preserve"> et al 2006, 2009; Hwang and Powell, 2009; Meyer and Bromley 2013). Service-providing nonprofits confront dynamic, sometimes conflicting accountability demands, and in their efforts to be responsive to their constituents, they frequently develop standard routines – for staffing, governance, fundraising, community relations, performance management and many other organizational dimensions (</w:t>
      </w:r>
      <w:proofErr w:type="spellStart"/>
      <w:r>
        <w:rPr>
          <w:sz w:val="22"/>
          <w:szCs w:val="22"/>
        </w:rPr>
        <w:t>MacIndoe</w:t>
      </w:r>
      <w:proofErr w:type="spellEnd"/>
      <w:r>
        <w:rPr>
          <w:sz w:val="22"/>
          <w:szCs w:val="22"/>
        </w:rPr>
        <w:t xml:space="preserve"> and Barman 2013; Marshall and Suárez 2014). Even though private foundations are insulated from typical pressures that charitable nonprofits face, as they are accountable primarily to their benefactors and do not face market competition, the emergence of venture philanthropy and “strategic philanthropy” have drawn attention to foundation management and grantmaking performance (</w:t>
      </w:r>
      <w:proofErr w:type="spellStart"/>
      <w:r>
        <w:rPr>
          <w:sz w:val="22"/>
          <w:szCs w:val="22"/>
        </w:rPr>
        <w:t>Frumkin</w:t>
      </w:r>
      <w:proofErr w:type="spellEnd"/>
      <w:r>
        <w:rPr>
          <w:sz w:val="22"/>
          <w:szCs w:val="22"/>
        </w:rPr>
        <w:t xml:space="preserve"> 2006, Fleishman 2007; Brest and Harvey 2008). Because advocacy is aligned with strategic philanthropy and can be viewed as an increasingly standardized tool that foundations utilize to accomplish their missions, greater rationalization might be associated with community foundation advocacy. </w:t>
      </w:r>
    </w:p>
    <w:p w14:paraId="131DA9AB" w14:textId="77777777" w:rsidR="00D00B16" w:rsidRDefault="00D00B16">
      <w:pPr>
        <w:rPr>
          <w:sz w:val="22"/>
          <w:szCs w:val="22"/>
        </w:rPr>
      </w:pPr>
    </w:p>
    <w:p w14:paraId="7402C482" w14:textId="77777777" w:rsidR="00D00B16" w:rsidRDefault="00365F6D">
      <w:pPr>
        <w:rPr>
          <w:sz w:val="22"/>
          <w:szCs w:val="22"/>
        </w:rPr>
      </w:pPr>
      <w:r>
        <w:rPr>
          <w:sz w:val="22"/>
          <w:szCs w:val="22"/>
        </w:rPr>
        <w:lastRenderedPageBreak/>
        <w:t>Like organizational rationalization, the professionalization of community foundations could have a positive association with advocacy. Professionalization refers to the increasing presence of specialized expertise in nonprofits and to shifts from volunteer labor to paid staff (Hwang and Powell 2009). The growth of nonprofit management programs and professional associations serves as a basic indicator of the turn toward academic certification and training in the sector (</w:t>
      </w:r>
      <w:proofErr w:type="spellStart"/>
      <w:r>
        <w:rPr>
          <w:sz w:val="22"/>
          <w:szCs w:val="22"/>
        </w:rPr>
        <w:t>Frumkin</w:t>
      </w:r>
      <w:proofErr w:type="spellEnd"/>
      <w:r>
        <w:rPr>
          <w:sz w:val="22"/>
          <w:szCs w:val="22"/>
        </w:rPr>
        <w:t xml:space="preserve"> 2005; Suárez 2010). More generally, the nonprofit sector has moved away from a volunteer, “amateur” workforce toward a staff-centered, paid workforce (</w:t>
      </w:r>
      <w:proofErr w:type="spellStart"/>
      <w:r>
        <w:rPr>
          <w:sz w:val="22"/>
          <w:szCs w:val="22"/>
        </w:rPr>
        <w:t>Frumkin</w:t>
      </w:r>
      <w:proofErr w:type="spellEnd"/>
      <w:r>
        <w:rPr>
          <w:sz w:val="22"/>
          <w:szCs w:val="22"/>
        </w:rPr>
        <w:t xml:space="preserve"> 2005; Hwang and Powell 2009). Foundations may appear to be just as shielded from professionalization as from rationalization, yet the Tax Reform Act of 1969 drove many foundations to employ highly trained and credentialed staff (</w:t>
      </w:r>
      <w:proofErr w:type="spellStart"/>
      <w:r>
        <w:rPr>
          <w:sz w:val="22"/>
          <w:szCs w:val="22"/>
        </w:rPr>
        <w:t>Frumkin</w:t>
      </w:r>
      <w:proofErr w:type="spellEnd"/>
      <w:r>
        <w:rPr>
          <w:sz w:val="22"/>
          <w:szCs w:val="22"/>
        </w:rPr>
        <w:t xml:space="preserve"> 1998; Stewart and Faulk 2014). Since many studies on service-providing nonprofits find that organizational capacity facilitates advocacy, professionalization may contribute to advocacy by community foundations (</w:t>
      </w:r>
      <w:proofErr w:type="spellStart"/>
      <w:r>
        <w:rPr>
          <w:sz w:val="22"/>
          <w:szCs w:val="22"/>
        </w:rPr>
        <w:t>LeRoux</w:t>
      </w:r>
      <w:proofErr w:type="spellEnd"/>
      <w:r>
        <w:rPr>
          <w:sz w:val="22"/>
          <w:szCs w:val="22"/>
        </w:rPr>
        <w:t xml:space="preserve"> and </w:t>
      </w:r>
      <w:proofErr w:type="spellStart"/>
      <w:r>
        <w:rPr>
          <w:sz w:val="22"/>
          <w:szCs w:val="22"/>
        </w:rPr>
        <w:t>Goerdel</w:t>
      </w:r>
      <w:proofErr w:type="spellEnd"/>
      <w:r>
        <w:rPr>
          <w:sz w:val="22"/>
          <w:szCs w:val="22"/>
        </w:rPr>
        <w:t xml:space="preserve"> 2009; Mosley 2012). </w:t>
      </w:r>
    </w:p>
    <w:p w14:paraId="2939A2B1" w14:textId="77777777" w:rsidR="00D00B16" w:rsidRDefault="00D00B16">
      <w:pPr>
        <w:rPr>
          <w:sz w:val="22"/>
          <w:szCs w:val="22"/>
        </w:rPr>
      </w:pPr>
    </w:p>
    <w:p w14:paraId="232336B2" w14:textId="77777777" w:rsidR="00D00B16" w:rsidRDefault="00365F6D">
      <w:pPr>
        <w:rPr>
          <w:i/>
          <w:sz w:val="22"/>
          <w:szCs w:val="22"/>
        </w:rPr>
      </w:pPr>
      <w:r>
        <w:rPr>
          <w:i/>
          <w:sz w:val="22"/>
          <w:szCs w:val="22"/>
        </w:rPr>
        <w:t>H4a: Foundation rationalization will have a positive association with advocacy.</w:t>
      </w:r>
    </w:p>
    <w:p w14:paraId="18F60EB4" w14:textId="77777777" w:rsidR="00D00B16" w:rsidRDefault="00D00B16">
      <w:pPr>
        <w:rPr>
          <w:sz w:val="22"/>
          <w:szCs w:val="22"/>
        </w:rPr>
      </w:pPr>
    </w:p>
    <w:p w14:paraId="329EC02C" w14:textId="77777777" w:rsidR="00D00B16" w:rsidRDefault="00365F6D">
      <w:pPr>
        <w:rPr>
          <w:i/>
          <w:sz w:val="22"/>
          <w:szCs w:val="22"/>
        </w:rPr>
      </w:pPr>
      <w:r>
        <w:rPr>
          <w:i/>
          <w:sz w:val="22"/>
          <w:szCs w:val="22"/>
        </w:rPr>
        <w:t>H4b: Foundation professionalization will have a positive association with advocacy.</w:t>
      </w:r>
    </w:p>
    <w:p w14:paraId="0F3F14FB" w14:textId="77777777" w:rsidR="00D00B16" w:rsidRDefault="00D00B16">
      <w:pPr>
        <w:rPr>
          <w:sz w:val="22"/>
          <w:szCs w:val="22"/>
        </w:rPr>
      </w:pPr>
    </w:p>
    <w:p w14:paraId="02148F1E" w14:textId="77777777" w:rsidR="00D00B16" w:rsidRDefault="00D00B16">
      <w:pPr>
        <w:rPr>
          <w:sz w:val="22"/>
          <w:szCs w:val="22"/>
          <w:u w:val="single"/>
        </w:rPr>
      </w:pPr>
    </w:p>
    <w:p w14:paraId="69C332A2" w14:textId="77777777" w:rsidR="00D00B16" w:rsidRDefault="00365F6D">
      <w:pPr>
        <w:rPr>
          <w:b/>
          <w:sz w:val="22"/>
          <w:szCs w:val="22"/>
        </w:rPr>
      </w:pPr>
      <w:r>
        <w:rPr>
          <w:b/>
          <w:sz w:val="22"/>
          <w:szCs w:val="22"/>
        </w:rPr>
        <w:t>Data and Methods</w:t>
      </w:r>
    </w:p>
    <w:p w14:paraId="007A6EAA" w14:textId="77777777" w:rsidR="00D00B16" w:rsidRDefault="00365F6D">
      <w:pPr>
        <w:rPr>
          <w:sz w:val="22"/>
          <w:szCs w:val="22"/>
        </w:rPr>
      </w:pPr>
      <w:r>
        <w:rPr>
          <w:sz w:val="22"/>
          <w:szCs w:val="22"/>
        </w:rPr>
        <w:t xml:space="preserve">The most comprehensive source of financial data on foundations in the United States is the National Center for Charitable Statistics (NCCS), which compiles Internal Revenue Service (IRS) Form 990 information on nonprofit organizations. Though we use NCCS “core files” as a primary source for building a fiscal year dataset, the IRS recently started releasing data directly to the public – which contains some indicators that are not available elsewhere – so we also draw on the IRS as a key source for data (IRS 2017). Community foundations are designated as 501c3 public charities, and since they do not have a comprehensive, unique identifier indicating that they are a community foundation in the IRS or NCCS data, we utilized directories maintained by the Council on Foundations (2017) and the Community Foundation Atlas (2017) to identify 965 organizations with employer ID codes. This initial number serves as a theoretical maximum for analysis, but only 876 community foundations had NCCS and IRS data for fiscal year 2013 or for an adjacent fiscal year, which we consider the operational population of community foundations. As useful and important as they are as sources of nonprofit financial data, we had to look beyond the IRS and the NCCS to establish a measure of community foundation engagement in advocacy.   </w:t>
      </w:r>
    </w:p>
    <w:p w14:paraId="73F412E5" w14:textId="77777777" w:rsidR="00D00B16" w:rsidRDefault="00D00B16">
      <w:pPr>
        <w:rPr>
          <w:sz w:val="22"/>
          <w:szCs w:val="22"/>
        </w:rPr>
      </w:pPr>
    </w:p>
    <w:p w14:paraId="7585E2A9" w14:textId="77777777" w:rsidR="00D00B16" w:rsidRDefault="00365F6D">
      <w:pPr>
        <w:rPr>
          <w:sz w:val="22"/>
          <w:szCs w:val="22"/>
        </w:rPr>
      </w:pPr>
      <w:r>
        <w:rPr>
          <w:sz w:val="22"/>
          <w:szCs w:val="22"/>
        </w:rPr>
        <w:t xml:space="preserve">The Foundation Center categorizes data on grantmaking by foundations, a viable option for identifying patronage related to advocacy. Foundation Center data capture more than 50 percent of all giving, however the grantmaking database is not systematic, and grantmaking data on community foundations is limited to approximately 100 organizations (Foundation Center 2017). Even if the grantmaking data were systematic, community foundations can engage in advocacy directly – not just through their giving. As a result, we decided that community foundation websites would serve as the best source for documenting engagement in advocacy. Though community foundations certainly may engage in advocacy without drawing attention to that activity on their organizational websites, websites are a critical tool for communicating with </w:t>
      </w:r>
      <w:proofErr w:type="spellStart"/>
      <w:r>
        <w:rPr>
          <w:sz w:val="22"/>
          <w:szCs w:val="22"/>
        </w:rPr>
        <w:t>grantseekers</w:t>
      </w:r>
      <w:proofErr w:type="spellEnd"/>
      <w:r>
        <w:rPr>
          <w:sz w:val="22"/>
          <w:szCs w:val="22"/>
        </w:rPr>
        <w:t xml:space="preserve"> and for sharing organizational values and goals with the public – websites thus serve as an excellent source for documenting community foundation commitment to achieving social change and contributing to the policy process (Powell et al 2016).</w:t>
      </w:r>
    </w:p>
    <w:p w14:paraId="2C55625C" w14:textId="77777777" w:rsidR="00D00B16" w:rsidRDefault="00D00B16">
      <w:pPr>
        <w:rPr>
          <w:sz w:val="22"/>
          <w:szCs w:val="22"/>
        </w:rPr>
      </w:pPr>
    </w:p>
    <w:p w14:paraId="62AB2BBA" w14:textId="77777777" w:rsidR="00D00B16" w:rsidRDefault="00365F6D">
      <w:pPr>
        <w:rPr>
          <w:sz w:val="22"/>
          <w:szCs w:val="22"/>
        </w:rPr>
      </w:pPr>
      <w:r>
        <w:rPr>
          <w:sz w:val="22"/>
          <w:szCs w:val="22"/>
        </w:rPr>
        <w:t xml:space="preserve">Although much of the research on interest groups in political science utilizes lobbying expenditures as a primary measure of advocacy, in this paper we consider advocacy discourse to be as much an indicator of advocacy as lobbying and other activities like community mobilization and public policy research. Some organizations may have advocacy discourse on their websites and not translate that discourse into more direct forms of action, but a growing body of research on interest groups and social movement organizations highlights the importance of discourse and issue framing in social change initiatives (Snow et al 1986; Snow 2004; Jones and Baumgartner </w:t>
      </w:r>
      <w:r>
        <w:rPr>
          <w:sz w:val="22"/>
          <w:szCs w:val="22"/>
        </w:rPr>
        <w:lastRenderedPageBreak/>
        <w:t xml:space="preserve">2005; </w:t>
      </w:r>
      <w:proofErr w:type="spellStart"/>
      <w:r>
        <w:rPr>
          <w:sz w:val="22"/>
          <w:szCs w:val="22"/>
        </w:rPr>
        <w:t>Suddaby</w:t>
      </w:r>
      <w:proofErr w:type="spellEnd"/>
      <w:r>
        <w:rPr>
          <w:sz w:val="22"/>
          <w:szCs w:val="22"/>
        </w:rPr>
        <w:t xml:space="preserve"> and Greenwood 2005; Lawrence and </w:t>
      </w:r>
      <w:proofErr w:type="spellStart"/>
      <w:r>
        <w:rPr>
          <w:sz w:val="22"/>
          <w:szCs w:val="22"/>
        </w:rPr>
        <w:t>Suddaby</w:t>
      </w:r>
      <w:proofErr w:type="spellEnd"/>
      <w:r>
        <w:rPr>
          <w:sz w:val="22"/>
          <w:szCs w:val="22"/>
        </w:rPr>
        <w:t xml:space="preserve"> 2006; Nickel and Eikenberry 2009; </w:t>
      </w:r>
      <w:proofErr w:type="spellStart"/>
      <w:r>
        <w:rPr>
          <w:sz w:val="22"/>
          <w:szCs w:val="22"/>
        </w:rPr>
        <w:t>Hojnacki</w:t>
      </w:r>
      <w:proofErr w:type="spellEnd"/>
      <w:r>
        <w:rPr>
          <w:sz w:val="22"/>
          <w:szCs w:val="22"/>
        </w:rPr>
        <w:t xml:space="preserve"> et al 2012; Lee et al 2018). Though lobbying and contentious tactics garner considerable scholarly attention</w:t>
      </w:r>
      <w:r w:rsidRPr="009D370D">
        <w:rPr>
          <w:sz w:val="22"/>
          <w:szCs w:val="22"/>
        </w:rPr>
        <w:t xml:space="preserve">, a distinctive contribution of </w:t>
      </w:r>
      <w:r>
        <w:rPr>
          <w:sz w:val="22"/>
          <w:szCs w:val="22"/>
        </w:rPr>
        <w:t>the</w:t>
      </w:r>
      <w:r w:rsidRPr="009D370D">
        <w:rPr>
          <w:sz w:val="22"/>
          <w:szCs w:val="22"/>
        </w:rPr>
        <w:t xml:space="preserve"> </w:t>
      </w:r>
      <w:r>
        <w:rPr>
          <w:sz w:val="22"/>
          <w:szCs w:val="22"/>
        </w:rPr>
        <w:t>literature</w:t>
      </w:r>
      <w:r w:rsidRPr="009D370D">
        <w:rPr>
          <w:sz w:val="22"/>
          <w:szCs w:val="22"/>
        </w:rPr>
        <w:t xml:space="preserve"> </w:t>
      </w:r>
      <w:r>
        <w:rPr>
          <w:sz w:val="22"/>
          <w:szCs w:val="22"/>
        </w:rPr>
        <w:t>on discourse, rhetoric</w:t>
      </w:r>
      <w:r w:rsidR="009D370D">
        <w:rPr>
          <w:sz w:val="22"/>
          <w:szCs w:val="22"/>
        </w:rPr>
        <w:t xml:space="preserve">, </w:t>
      </w:r>
      <w:r>
        <w:rPr>
          <w:sz w:val="22"/>
          <w:szCs w:val="22"/>
        </w:rPr>
        <w:t>and framing has been to show the significance of messaging and other forms of communication in establishing</w:t>
      </w:r>
      <w:r w:rsidRPr="009D370D">
        <w:rPr>
          <w:sz w:val="22"/>
          <w:szCs w:val="22"/>
        </w:rPr>
        <w:t xml:space="preserve"> </w:t>
      </w:r>
      <w:r>
        <w:rPr>
          <w:sz w:val="22"/>
          <w:szCs w:val="22"/>
        </w:rPr>
        <w:t xml:space="preserve">movement identities and </w:t>
      </w:r>
      <w:r w:rsidRPr="009D370D">
        <w:rPr>
          <w:sz w:val="22"/>
          <w:szCs w:val="22"/>
        </w:rPr>
        <w:t xml:space="preserve">cultural resonance </w:t>
      </w:r>
      <w:r>
        <w:rPr>
          <w:sz w:val="22"/>
          <w:szCs w:val="22"/>
        </w:rPr>
        <w:t>with stakeholders</w:t>
      </w:r>
      <w:r w:rsidRPr="009D370D">
        <w:rPr>
          <w:sz w:val="22"/>
          <w:szCs w:val="22"/>
        </w:rPr>
        <w:t>.</w:t>
      </w:r>
      <w:r>
        <w:rPr>
          <w:sz w:val="22"/>
          <w:szCs w:val="22"/>
        </w:rPr>
        <w:t xml:space="preserve"> Much like policy-oriented press releases to the media, we view discourse on organizational websites as action – not just talk. </w:t>
      </w:r>
    </w:p>
    <w:p w14:paraId="5BB96346" w14:textId="77777777" w:rsidR="00D00B16" w:rsidRDefault="00D00B16">
      <w:pPr>
        <w:rPr>
          <w:sz w:val="22"/>
          <w:szCs w:val="22"/>
        </w:rPr>
      </w:pPr>
    </w:p>
    <w:p w14:paraId="72225310" w14:textId="77777777" w:rsidR="00D00B16" w:rsidRDefault="00365F6D">
      <w:pPr>
        <w:rPr>
          <w:sz w:val="22"/>
          <w:szCs w:val="22"/>
          <w:u w:val="single"/>
        </w:rPr>
      </w:pPr>
      <w:r>
        <w:rPr>
          <w:sz w:val="22"/>
          <w:szCs w:val="22"/>
          <w:u w:val="single"/>
        </w:rPr>
        <w:t>Dependent Variable</w:t>
      </w:r>
    </w:p>
    <w:p w14:paraId="29D97677" w14:textId="77777777" w:rsidR="00D00B16" w:rsidRDefault="00365F6D">
      <w:pPr>
        <w:rPr>
          <w:sz w:val="22"/>
          <w:szCs w:val="22"/>
        </w:rPr>
      </w:pPr>
      <w:r>
        <w:rPr>
          <w:sz w:val="22"/>
          <w:szCs w:val="22"/>
        </w:rPr>
        <w:t xml:space="preserve">Building our outcome variable of community foundation engagement in advocacy using website discourse entailed three main steps. First, we developed a web-crawler that scraped the content of community foundation websites. Second, we extracted and parsed the text in the collected HTML files, and we trained and tested a machine learning algorithm that we then used to automatically classify which sentences were about advocacy. Third and finally, we calculated the proportion of advocacy sentences. </w:t>
      </w:r>
    </w:p>
    <w:p w14:paraId="16A26B34" w14:textId="77777777" w:rsidR="00D00B16" w:rsidRDefault="00D00B16">
      <w:pPr>
        <w:rPr>
          <w:sz w:val="22"/>
          <w:szCs w:val="22"/>
        </w:rPr>
      </w:pPr>
    </w:p>
    <w:p w14:paraId="6FF777AA" w14:textId="77777777" w:rsidR="00D00B16" w:rsidRDefault="00365F6D">
      <w:pPr>
        <w:rPr>
          <w:sz w:val="22"/>
          <w:szCs w:val="22"/>
        </w:rPr>
      </w:pPr>
      <w:r>
        <w:rPr>
          <w:sz w:val="22"/>
          <w:szCs w:val="22"/>
        </w:rPr>
        <w:t xml:space="preserve">To collect the text, our web crawler scraped the HTML pages from the first two layers of each community foundation website. The content of the first layer of a website is the text a user sees when accessing the main page or root URL. The second layer is the content in all in-links (links directing to the same website) that can be accessed from the first layer. We focus on the first two layers since we were interested in detecting and explaining which organizations engage in advocacy. We believe that, compared to deeper layers, the first two levels are a conservative indicator of the preferences of an organization: we expect community foundations to include the content they deem relevant into the most visible parts of their website. We focused on immediately accessible content and ignored all in-links to non-HTML files, such as downloadable PDFs and Word documents. We were able to find a website for 815 community foundations, and we successfully scraped the content of 84% (N=684). For the other few websites the crawler failed to collect their content because the URL did not exist anymore, the crawler was unable to trace some redirects, and/or the hosting server blocked our automatic bot. A manual exploration of the URLs we were unable to crawl does not indicate any type of selection bias that could influence our analysis. A copy of the crawler we developed can be found in the paper’s </w:t>
      </w:r>
      <w:r>
        <w:rPr>
          <w:i/>
          <w:sz w:val="22"/>
          <w:szCs w:val="22"/>
        </w:rPr>
        <w:t>Replication Material</w:t>
      </w:r>
      <w:r>
        <w:rPr>
          <w:sz w:val="22"/>
          <w:szCs w:val="22"/>
        </w:rPr>
        <w:t xml:space="preserve">. </w:t>
      </w:r>
    </w:p>
    <w:p w14:paraId="03B6A36E" w14:textId="77777777" w:rsidR="00D00B16" w:rsidRDefault="00D00B16">
      <w:pPr>
        <w:rPr>
          <w:sz w:val="22"/>
          <w:szCs w:val="22"/>
        </w:rPr>
      </w:pPr>
    </w:p>
    <w:p w14:paraId="10A87161" w14:textId="77777777" w:rsidR="00D00B16" w:rsidRDefault="00365F6D">
      <w:pPr>
        <w:rPr>
          <w:sz w:val="22"/>
          <w:szCs w:val="22"/>
        </w:rPr>
      </w:pPr>
      <w:r>
        <w:rPr>
          <w:sz w:val="22"/>
          <w:szCs w:val="22"/>
        </w:rPr>
        <w:t>The second step in building our dependent variable was to extract the text from the collected HTML files and to parse it into sentences. We used sentences as the basic unit when creating the dependent variable to enable comparability across foundation websites. We extracted the text by removing all HTML tags and functions present in the files, obtaining a single big block of text per file.</w:t>
      </w:r>
      <w:r>
        <w:rPr>
          <w:sz w:val="22"/>
          <w:szCs w:val="22"/>
          <w:vertAlign w:val="superscript"/>
        </w:rPr>
        <w:footnoteReference w:id="1"/>
      </w:r>
      <w:r>
        <w:rPr>
          <w:sz w:val="22"/>
          <w:szCs w:val="22"/>
        </w:rPr>
        <w:t xml:space="preserve"> After collecting and parsing the text we had a data set of 1,444,226 sentences that needed to be labeled for whether they made any reference to advocacy. Given the size of the dataset, we decided to take advantage of supervised machine learning techniques to develop an automatic coding protocol. In a supervised machine learning framework, researchers first classify a random sample of documents (sentences in our case) manually and then use these labeled cases to train a machine learning classifier (Wilkerson and Casas 2017). A challenge with this approach in our case was that sentences on advocacy were rare. Having highly unbalanced categories means that to obtain a modest sample of a few hundred advocacy sentences one would need to manually label tens of thousands of cases, which was not feasible. We addressed the problem by sampling random sentences as well as those that were likely to be about advocacy. </w:t>
      </w:r>
    </w:p>
    <w:p w14:paraId="2912557B" w14:textId="77777777" w:rsidR="00D00B16" w:rsidRDefault="00D00B16">
      <w:pPr>
        <w:rPr>
          <w:sz w:val="22"/>
          <w:szCs w:val="22"/>
        </w:rPr>
      </w:pPr>
    </w:p>
    <w:p w14:paraId="3F660ED9" w14:textId="77777777" w:rsidR="00D00B16" w:rsidRDefault="00365F6D">
      <w:pPr>
        <w:rPr>
          <w:sz w:val="22"/>
          <w:szCs w:val="22"/>
        </w:rPr>
      </w:pPr>
      <w:r>
        <w:rPr>
          <w:sz w:val="22"/>
          <w:szCs w:val="22"/>
        </w:rPr>
        <w:t xml:space="preserve">As part of this second step, we created a dictionary of keywords we expected to be related to advocacy (see the list of keywords in </w:t>
      </w:r>
      <w:r>
        <w:rPr>
          <w:i/>
          <w:sz w:val="22"/>
          <w:szCs w:val="22"/>
        </w:rPr>
        <w:t>Appendix A</w:t>
      </w:r>
      <w:r>
        <w:rPr>
          <w:sz w:val="22"/>
          <w:szCs w:val="22"/>
        </w:rPr>
        <w:t xml:space="preserve">) and considered all sentences containing at least one of the terms as potential advocacy sentences (1.5%). We developed the dictionary of keywords by collecting relevant literature and survey instruments on advocacy and then discussing those materials with one another (key resources include: </w:t>
      </w:r>
      <w:r>
        <w:rPr>
          <w:sz w:val="22"/>
          <w:szCs w:val="22"/>
        </w:rPr>
        <w:lastRenderedPageBreak/>
        <w:t xml:space="preserve">Jenkins 2006; Berry and </w:t>
      </w:r>
      <w:proofErr w:type="spellStart"/>
      <w:r>
        <w:rPr>
          <w:sz w:val="22"/>
          <w:szCs w:val="22"/>
        </w:rPr>
        <w:t>Arons</w:t>
      </w:r>
      <w:proofErr w:type="spellEnd"/>
      <w:r>
        <w:rPr>
          <w:sz w:val="22"/>
          <w:szCs w:val="22"/>
        </w:rPr>
        <w:t xml:space="preserve"> 2003; </w:t>
      </w:r>
      <w:proofErr w:type="spellStart"/>
      <w:r>
        <w:rPr>
          <w:sz w:val="22"/>
          <w:szCs w:val="22"/>
        </w:rPr>
        <w:t>Strolovich</w:t>
      </w:r>
      <w:proofErr w:type="spellEnd"/>
      <w:r>
        <w:rPr>
          <w:sz w:val="22"/>
          <w:szCs w:val="22"/>
        </w:rPr>
        <w:t xml:space="preserve"> 2007; Leroux and </w:t>
      </w:r>
      <w:proofErr w:type="spellStart"/>
      <w:r>
        <w:rPr>
          <w:sz w:val="22"/>
          <w:szCs w:val="22"/>
        </w:rPr>
        <w:t>Goerdel</w:t>
      </w:r>
      <w:proofErr w:type="spellEnd"/>
      <w:r>
        <w:rPr>
          <w:sz w:val="22"/>
          <w:szCs w:val="22"/>
        </w:rPr>
        <w:t xml:space="preserve"> 2009; Guo and Saxton 2010; Mosley 2013). We considered including many different keywords besides those listed in Appendix A, but we felt that we could achieve greater conceptual clarity by concentrating on a limited set of terms that align with policy advocacy. We then constructed two samples of 800 cases each, composed of 240 random sentences (30%) and 560 potential advocacy sentences (70%). About 15% of the 800 sentences (N=100) were common in both samples. Two human annotators coded the sentences in each list for whether they were about advocacy, generating a training set of 1,500 “gold” labels: 676 true positives (sentences about advocacy) and 824 true negatives (sentences not about advocacy). </w:t>
      </w:r>
    </w:p>
    <w:p w14:paraId="49547964" w14:textId="77777777" w:rsidR="00D00B16" w:rsidRDefault="00D00B16">
      <w:pPr>
        <w:rPr>
          <w:sz w:val="22"/>
          <w:szCs w:val="22"/>
        </w:rPr>
      </w:pPr>
    </w:p>
    <w:p w14:paraId="48C1D402" w14:textId="77777777" w:rsidR="00D00B16" w:rsidRDefault="00365F6D">
      <w:pPr>
        <w:rPr>
          <w:sz w:val="22"/>
          <w:szCs w:val="22"/>
        </w:rPr>
      </w:pPr>
      <w:r>
        <w:rPr>
          <w:sz w:val="22"/>
          <w:szCs w:val="22"/>
        </w:rPr>
        <w:t xml:space="preserve">The correlation between the annotators for the 100 cases they both coded was substantially high (.74), for a </w:t>
      </w:r>
      <w:proofErr w:type="spellStart"/>
      <w:r>
        <w:rPr>
          <w:sz w:val="22"/>
          <w:szCs w:val="22"/>
        </w:rPr>
        <w:t>Krippendorff’s</w:t>
      </w:r>
      <w:proofErr w:type="spellEnd"/>
      <w:r>
        <w:rPr>
          <w:sz w:val="22"/>
          <w:szCs w:val="22"/>
        </w:rPr>
        <w:t xml:space="preserve"> Alpha close to 0. By combining random sentences with potential advocacy sentences, we were able to inflate the number of advocacy-related statements and construct a balanced training set. The next step was to use this list of true positive and negative cases to train a machine learning classifier. To do so, we needed to decide the text features we would use during training as well as the particular machine learning algorithm to train. After cross-validating several options (see </w:t>
      </w:r>
      <w:r>
        <w:rPr>
          <w:i/>
          <w:sz w:val="22"/>
          <w:szCs w:val="22"/>
        </w:rPr>
        <w:t>Appendix B</w:t>
      </w:r>
      <w:r>
        <w:rPr>
          <w:sz w:val="22"/>
          <w:szCs w:val="22"/>
        </w:rPr>
        <w:t>), we decided to use an ensemble of algorithms (Support Vector Machine and Naive Bayes) with high levels of precision (87%) and recall (60%).</w:t>
      </w:r>
      <w:r>
        <w:rPr>
          <w:sz w:val="22"/>
          <w:szCs w:val="22"/>
          <w:vertAlign w:val="superscript"/>
        </w:rPr>
        <w:footnoteReference w:id="2"/>
      </w:r>
      <w:r>
        <w:rPr>
          <w:sz w:val="22"/>
          <w:szCs w:val="22"/>
        </w:rPr>
        <w:t xml:space="preserve"> We then used the trained model to predict which sentences contained advocacy-related language, and we built the dependent variable: the proportion of sentences in a community foundation website that discussed advocacy. </w:t>
      </w:r>
    </w:p>
    <w:p w14:paraId="4EEF3308" w14:textId="77777777" w:rsidR="00D00B16" w:rsidRDefault="00D00B16">
      <w:pPr>
        <w:rPr>
          <w:sz w:val="22"/>
          <w:szCs w:val="22"/>
        </w:rPr>
      </w:pPr>
    </w:p>
    <w:p w14:paraId="49859FBC" w14:textId="77777777" w:rsidR="00D00B16" w:rsidRDefault="00365F6D">
      <w:pPr>
        <w:rPr>
          <w:i/>
          <w:sz w:val="22"/>
          <w:szCs w:val="22"/>
          <w:u w:val="single"/>
        </w:rPr>
      </w:pPr>
      <w:r>
        <w:rPr>
          <w:i/>
          <w:sz w:val="22"/>
          <w:szCs w:val="22"/>
          <w:u w:val="single"/>
        </w:rPr>
        <w:t>Independent Variables</w:t>
      </w:r>
    </w:p>
    <w:p w14:paraId="264DC35E" w14:textId="77777777" w:rsidR="00D00B16" w:rsidRDefault="00365F6D">
      <w:pPr>
        <w:rPr>
          <w:sz w:val="22"/>
          <w:szCs w:val="22"/>
        </w:rPr>
      </w:pPr>
      <w:r>
        <w:rPr>
          <w:sz w:val="22"/>
          <w:szCs w:val="22"/>
        </w:rPr>
        <w:t xml:space="preserve">We incorporate two independent variables for each component of our conceptual frame, and we also include two controls. Beginning with environmental context, we have indicators for community wealth and political orientation, both of which are drawn from the most recent U.S. Census Bureau’s USA Counties Data. The indicator for community wealth is a factor created from four variables using the principal factor method: per capita income, median household income, percentage of people in poverty, percentage of people with a Bachelor of Arts (BA) degree or higher. The data reduction method produced just one factor with an Eigenvalue greater than one (2.80), which we interpret as capturing the latent concept of community wealth. For the political orientation of a community, we include a measure of support for the Democratic candidate in the 2008 presidential election. As Table 1 indicates, approximately 51 percent of people in the counties represented by our dataset voted Democrat.  </w:t>
      </w:r>
    </w:p>
    <w:p w14:paraId="104CBF59" w14:textId="77777777" w:rsidR="00D00B16" w:rsidRDefault="00D00B16">
      <w:pPr>
        <w:rPr>
          <w:sz w:val="22"/>
          <w:szCs w:val="22"/>
        </w:rPr>
      </w:pPr>
    </w:p>
    <w:p w14:paraId="6B5576C5" w14:textId="77777777" w:rsidR="00D00B16" w:rsidRDefault="00365F6D">
      <w:pPr>
        <w:jc w:val="center"/>
        <w:rPr>
          <w:sz w:val="22"/>
          <w:szCs w:val="22"/>
        </w:rPr>
      </w:pPr>
      <w:r>
        <w:rPr>
          <w:sz w:val="22"/>
          <w:szCs w:val="22"/>
        </w:rPr>
        <w:t>[Table 1 about here]</w:t>
      </w:r>
    </w:p>
    <w:p w14:paraId="48BA61AC" w14:textId="77777777" w:rsidR="00D00B16" w:rsidRDefault="00D00B16">
      <w:pPr>
        <w:rPr>
          <w:sz w:val="22"/>
          <w:szCs w:val="22"/>
        </w:rPr>
      </w:pPr>
    </w:p>
    <w:p w14:paraId="3141D1EF" w14:textId="77777777" w:rsidR="00D00B16" w:rsidRDefault="00365F6D">
      <w:pPr>
        <w:rPr>
          <w:sz w:val="22"/>
          <w:szCs w:val="22"/>
        </w:rPr>
      </w:pPr>
      <w:r>
        <w:rPr>
          <w:sz w:val="22"/>
          <w:szCs w:val="22"/>
        </w:rPr>
        <w:t>For institutional logics, we concentrated specifically on capturing a community logic with a measure for discourse and two alternative measures for the funding model. Data for the discourse measure come from Foundation Center organizational profiles, which were scraped using Visual PBD (</w:t>
      </w:r>
      <w:proofErr w:type="spellStart"/>
      <w:r>
        <w:rPr>
          <w:sz w:val="22"/>
          <w:szCs w:val="22"/>
        </w:rPr>
        <w:t>Chasins</w:t>
      </w:r>
      <w:proofErr w:type="spellEnd"/>
      <w:r>
        <w:rPr>
          <w:sz w:val="22"/>
          <w:szCs w:val="22"/>
        </w:rPr>
        <w:t xml:space="preserve"> et al. 2015; Foundation Center 2017a). To establish a common definition, three different coders first read and evaluated the text for the same 100 community foundations (the correlation among coders was between .68-.75). The coders then discussed differences among them and applied the finalized definition to the remaining organizational profiles. As an anonymized example, the following mission statement was coded as reflecting a community logic: “To promote civic pride and cohesiveness, acquire and preserve open space, improve beaches and parkland, raise and grant funds, and sponsor diverse cultural programs and community events in [location].” As a contrast to organizational discourse, we utilized donative revenue to represent a funding model with a community logic. We coded this indicator from IRS data in two ways, as a proportion of total revenue and as a primary revenue source (greater than 50 percent). As Table 1 indicates, 36 percent of community foundations exhibit a community logic based on discourse, the average proportion of donative revenue was .64, and 73 percent of community foundation derived more than half of their revenue from donations. </w:t>
      </w:r>
    </w:p>
    <w:p w14:paraId="451F9E7B" w14:textId="77777777" w:rsidR="00D00B16" w:rsidRDefault="00D00B16">
      <w:pPr>
        <w:rPr>
          <w:sz w:val="22"/>
          <w:szCs w:val="22"/>
        </w:rPr>
      </w:pPr>
    </w:p>
    <w:p w14:paraId="690FBAA9" w14:textId="77777777" w:rsidR="00D00B16" w:rsidRDefault="00365F6D">
      <w:pPr>
        <w:rPr>
          <w:sz w:val="22"/>
          <w:szCs w:val="22"/>
        </w:rPr>
      </w:pPr>
      <w:r>
        <w:rPr>
          <w:sz w:val="22"/>
          <w:szCs w:val="22"/>
        </w:rPr>
        <w:t>As with one of the indicators for community logic, our measures for community foundation identity and embeddedness are based on Foundation Center organizational profiles (Foundation Center 2017a). For the measure of social justice identity, we sought to identify community foundations that specifically referenced “social justice” or “social movement” in their organizational profiles, which not surprisingly was very rare (3 percent). As an anonymized example, the following mission statement was coded as reflecting a social justice identity: “The foundation seeks to fund and encourage activism among community-based organizations in underserved areas of [location]. The foundation supports groups challenging attitudes, policies, or institutions as they work to promote social, economic, and racial justice.” To capture community foundation embeddedness, we counted the number of memberships and affiliations that community foundations listed on their Foundation Center organizational profiles. The memberships that community foundations listed were a mix of local, regional, and national organizations. Unlike relationships that are bounded within the environmental context (which we delimit as the county level), embeddedness here refers to participation in intermediary organizations that constitute a broad “community of practice” for foundations. Though some community foundations did not list any memberships at all (95), the majority had at least one membership, with an overall average of about 2.5 per organization.</w:t>
      </w:r>
    </w:p>
    <w:p w14:paraId="1B78C767" w14:textId="77777777" w:rsidR="00D00B16" w:rsidRDefault="00D00B16">
      <w:pPr>
        <w:rPr>
          <w:sz w:val="22"/>
          <w:szCs w:val="22"/>
        </w:rPr>
      </w:pPr>
    </w:p>
    <w:p w14:paraId="03868460" w14:textId="77777777" w:rsidR="00D00B16" w:rsidRDefault="00365F6D">
      <w:pPr>
        <w:rPr>
          <w:sz w:val="22"/>
          <w:szCs w:val="22"/>
        </w:rPr>
      </w:pPr>
      <w:r>
        <w:rPr>
          <w:sz w:val="22"/>
          <w:szCs w:val="22"/>
        </w:rPr>
        <w:t>The fourth and final set of independent variables align with the conceptual frame for managerialism. We include one measure for professionalization and one indicator for rationalization. Following other research on the professionalization of foundations, our measure emphasizes overhead costs in the form of salaries (Stewart and Faulk 2014). We started by creating a sum for community foundation salaries using lines 5-10 of the IRS Form 990 (Part IV). We then defined professionalization as the proportion of community foundation expenditures that were dedicated to salary. As Table 1 demonstrates, the average level of professionalization in a community foundation is 13 percent, though the standard deviation of .11 indicates that some foundations spend very little on salary and some dedicate considerable resources to supporting professional staff. For our measure of rationalization, we focus on community foundation reliance on consultants. Whether or not organizations hire consultants has been a component of prior organizational rationalization measures, although those measures also tend to include a collection of other actions (Hwang and Powell 2009). We emphasize consultants because the IRS Form 990 (Lines 11a-g of Part IX) has information on seven different domains of consulting activity. We created an index based on the distinctive types of consultants a community foundation employed; the measure shows that community foundations hired in an average of three different domains.</w:t>
      </w:r>
      <w:r>
        <w:rPr>
          <w:sz w:val="22"/>
          <w:szCs w:val="22"/>
          <w:vertAlign w:val="superscript"/>
        </w:rPr>
        <w:footnoteReference w:id="3"/>
      </w:r>
      <w:r>
        <w:rPr>
          <w:sz w:val="22"/>
          <w:szCs w:val="22"/>
        </w:rPr>
        <w:t xml:space="preserve"> </w:t>
      </w:r>
    </w:p>
    <w:p w14:paraId="5A911510" w14:textId="77777777" w:rsidR="00D00B16" w:rsidRDefault="00D00B16">
      <w:pPr>
        <w:rPr>
          <w:sz w:val="22"/>
          <w:szCs w:val="22"/>
        </w:rPr>
      </w:pPr>
    </w:p>
    <w:p w14:paraId="0AE1FDE1" w14:textId="77777777" w:rsidR="00D00B16" w:rsidRDefault="00365F6D">
      <w:pPr>
        <w:rPr>
          <w:sz w:val="22"/>
          <w:szCs w:val="22"/>
        </w:rPr>
      </w:pPr>
      <w:r>
        <w:rPr>
          <w:sz w:val="22"/>
          <w:szCs w:val="22"/>
        </w:rPr>
        <w:t xml:space="preserve">The majority of firm-level research includes controls for organizational size and age, and we follow this convention. The age of a community foundation is based on the date of its incorporation with the IRS, and our data indicate that most are relatively young, with an average of approximately 27 years. For the size of community foundations, we considered two different measures drawn from IRS data, assets and expenditures. The correlation between the measures is very high and the model results do not differ depending on which we use; we opted for assets and the indicator is logged to reduce skewness (see Appendix C for a correlation table of all independent variables and controls). Since our dependent variable is continuous, we model the determinants of community foundation advocacy utilizing ordinary least squares regression, with standard errors clustered at the state level to reduce the likelihood of omitted variable bias (Washington, D.C. was included as a unique cluster). </w:t>
      </w:r>
    </w:p>
    <w:p w14:paraId="1AD545E8" w14:textId="77777777" w:rsidR="00D00B16" w:rsidRDefault="00D00B16">
      <w:pPr>
        <w:rPr>
          <w:sz w:val="22"/>
          <w:szCs w:val="22"/>
        </w:rPr>
      </w:pPr>
    </w:p>
    <w:p w14:paraId="02E78C5C" w14:textId="77777777" w:rsidR="00D00B16" w:rsidRDefault="00D00B16">
      <w:pPr>
        <w:rPr>
          <w:sz w:val="22"/>
          <w:szCs w:val="22"/>
        </w:rPr>
      </w:pPr>
    </w:p>
    <w:p w14:paraId="080045F2" w14:textId="77777777" w:rsidR="00D00B16" w:rsidRDefault="00365F6D">
      <w:pPr>
        <w:rPr>
          <w:b/>
          <w:sz w:val="22"/>
          <w:szCs w:val="22"/>
        </w:rPr>
      </w:pPr>
      <w:r>
        <w:rPr>
          <w:b/>
          <w:sz w:val="22"/>
          <w:szCs w:val="22"/>
        </w:rPr>
        <w:t>Results</w:t>
      </w:r>
    </w:p>
    <w:p w14:paraId="0D8801F4" w14:textId="77777777" w:rsidR="00D00B16" w:rsidRDefault="00365F6D">
      <w:pPr>
        <w:rPr>
          <w:sz w:val="22"/>
          <w:szCs w:val="22"/>
        </w:rPr>
      </w:pPr>
      <w:r>
        <w:rPr>
          <w:sz w:val="22"/>
          <w:szCs w:val="22"/>
        </w:rPr>
        <w:lastRenderedPageBreak/>
        <w:t>Table 2 presents the results from our five models, one for each of the lines of argument in our conceptual frame followed by the main, full model.</w:t>
      </w:r>
      <w:r>
        <w:rPr>
          <w:sz w:val="22"/>
          <w:szCs w:val="22"/>
          <w:vertAlign w:val="superscript"/>
        </w:rPr>
        <w:footnoteReference w:id="4"/>
      </w:r>
      <w:r>
        <w:rPr>
          <w:sz w:val="22"/>
          <w:szCs w:val="22"/>
        </w:rPr>
        <w:t xml:space="preserve"> The first model attends exclusively to the external environment for community foundations. As the model demonstrates, community wealth and political liberalism have positive and statistically significant effects. While the beta coefficients for the variables are rather small, in this model and in those we discuss subsequently, it is important to emphasize that the proportion of sentences that a community foundation dedicates to advocacy understandably is quite low. Since even the community foundations that engage in considerable advocacy discourse also utilize their websites for a host of other purposes (like soliciting donations, describing programs, presenting the biographies of staff and board, etc.), uncovering evidence of statistical significance for any single indicator is rather notable – regardless of its effect size.  </w:t>
      </w:r>
    </w:p>
    <w:p w14:paraId="35BF981E" w14:textId="77777777" w:rsidR="00D00B16" w:rsidRDefault="00D00B16">
      <w:pPr>
        <w:rPr>
          <w:sz w:val="22"/>
          <w:szCs w:val="22"/>
        </w:rPr>
      </w:pPr>
    </w:p>
    <w:p w14:paraId="123B811E" w14:textId="77777777" w:rsidR="00D00B16" w:rsidRDefault="00365F6D">
      <w:pPr>
        <w:jc w:val="center"/>
        <w:rPr>
          <w:sz w:val="22"/>
          <w:szCs w:val="22"/>
        </w:rPr>
      </w:pPr>
      <w:r>
        <w:rPr>
          <w:sz w:val="22"/>
          <w:szCs w:val="22"/>
        </w:rPr>
        <w:t>[Table 2 about here]</w:t>
      </w:r>
    </w:p>
    <w:p w14:paraId="0FD51F56" w14:textId="77777777" w:rsidR="00D00B16" w:rsidRDefault="00D00B16">
      <w:pPr>
        <w:rPr>
          <w:sz w:val="22"/>
          <w:szCs w:val="22"/>
        </w:rPr>
      </w:pPr>
    </w:p>
    <w:p w14:paraId="7E1FEBFF" w14:textId="77777777" w:rsidR="00D00B16" w:rsidRDefault="00365F6D">
      <w:pPr>
        <w:rPr>
          <w:sz w:val="22"/>
          <w:szCs w:val="22"/>
        </w:rPr>
      </w:pPr>
      <w:r>
        <w:rPr>
          <w:sz w:val="22"/>
          <w:szCs w:val="22"/>
        </w:rPr>
        <w:t>The second model attends to the conceptual frame for institutional logics, and the model also includes controls for the community foundation size and age.</w:t>
      </w:r>
      <w:r>
        <w:rPr>
          <w:sz w:val="22"/>
          <w:szCs w:val="22"/>
          <w:vertAlign w:val="superscript"/>
        </w:rPr>
        <w:footnoteReference w:id="5"/>
      </w:r>
      <w:r>
        <w:rPr>
          <w:sz w:val="22"/>
          <w:szCs w:val="22"/>
        </w:rPr>
        <w:t xml:space="preserve"> In model 2a, the independent variables are community logic as discourse and donative revenue as a percentage of total revenue; in model 2b we once again include community logic as discourse, but we replace donative revenue as a percentage of total revenue with a dichotomous measure for donative dominance. As with the independent variables in the prior model, all of the measures for community logic in model 2 (a and b) are positive and statistically significant. Model 3 introduces the variables for identity and embeddedness, once again with controls for organizational size and age. Following the pattern established in the prior models, both independent variables are positive and statistically significant. Model 4 aligns with our conceptual frame for managerialism. Though professionalization has a strong positive effect on advocacy discourse, the indicator for rationalization is positive but not statistically significant. </w:t>
      </w:r>
    </w:p>
    <w:p w14:paraId="29AD99F6" w14:textId="77777777" w:rsidR="00D00B16" w:rsidRDefault="00D00B16">
      <w:pPr>
        <w:rPr>
          <w:sz w:val="22"/>
          <w:szCs w:val="22"/>
        </w:rPr>
      </w:pPr>
    </w:p>
    <w:p w14:paraId="03F843D1" w14:textId="77777777" w:rsidR="00D00B16" w:rsidRDefault="00365F6D">
      <w:pPr>
        <w:rPr>
          <w:sz w:val="22"/>
          <w:szCs w:val="22"/>
        </w:rPr>
      </w:pPr>
      <w:r>
        <w:rPr>
          <w:sz w:val="22"/>
          <w:szCs w:val="22"/>
        </w:rPr>
        <w:t xml:space="preserve">Model 5 includes all of the independent variables from the prior models, along with the organizational controls. Following the convention established with our analysis of institutional logics, we present a full model with an indicator for donations as a percentage of total revenue (5a) and a full model using donative dependence as an alternative measure (5b). The results from earlier models generally are robust, and the full model explains 17 percent of the variance in the proportion of sentences on community foundation websites dedicated to advocacy. Looking at each aspect of the conceptual frame, the environmental context clearly matters for community foundation engagement in advocacy, with the indicator for wealth remaining statistically significant. The line of argument for institutional logics weakens the most in the full model, though the measure for community logic remains statistically significant at the p&lt;.10 level and one measure for funding model (donative dependence) is statistically significant at the p&lt;.05 level. The measures for identity and embeddedness are robust, as is the measure for professionalization. </w:t>
      </w:r>
    </w:p>
    <w:p w14:paraId="664E6D69" w14:textId="77777777" w:rsidR="00D00B16" w:rsidRDefault="00D00B16">
      <w:pPr>
        <w:rPr>
          <w:sz w:val="22"/>
          <w:szCs w:val="22"/>
        </w:rPr>
      </w:pPr>
    </w:p>
    <w:p w14:paraId="69C82FBB" w14:textId="77777777" w:rsidR="00D00B16" w:rsidRDefault="00365F6D">
      <w:pPr>
        <w:rPr>
          <w:sz w:val="22"/>
          <w:szCs w:val="22"/>
        </w:rPr>
      </w:pPr>
      <w:bookmarkStart w:id="0" w:name="_gjdgxs" w:colFirst="0" w:colLast="0"/>
      <w:bookmarkEnd w:id="0"/>
      <w:r>
        <w:rPr>
          <w:sz w:val="22"/>
          <w:szCs w:val="22"/>
        </w:rPr>
        <w:lastRenderedPageBreak/>
        <w:t>To clarify the magnitude of the beta coefficients presented in Table 1 and to demonstrate the effects of the predictors using a common metric, Figure 1 shows the marginal effect sizes of the independent variables for the main models (5</w:t>
      </w:r>
      <w:r w:rsidR="009D370D">
        <w:rPr>
          <w:sz w:val="22"/>
          <w:szCs w:val="22"/>
        </w:rPr>
        <w:t>a and 5b</w:t>
      </w:r>
      <w:r>
        <w:rPr>
          <w:sz w:val="22"/>
          <w:szCs w:val="22"/>
        </w:rPr>
        <w:t xml:space="preserve">). The plots in Figure 2 present the marginal effect of moving one standard deviation from the average value, with the percentage point effect shown in a 0-100 scale; a standardized coefficient of .4 thus translates to an increase in .4 percentage points. Since community foundations dedicate an average of 2 percent of sentences on their websites to advocacy, moving to 2.4 from an independent variable would be a rather large effect size and substantively meaningful because it implies a 20 percent increase. As the plots for Model 5 show, a standard deviation change in several indicators – wealth, donative dominance, memberships, social justice, and professionalization – produces at least a .1 percentage point change in advocacy sentences on community foundation websites. Taken together, all aspects of the conceptual frame appear to be meaningful for understanding community foundation engagement in advocacy, setting an agenda for additional research.  </w:t>
      </w:r>
    </w:p>
    <w:p w14:paraId="3FDC09ED" w14:textId="77777777" w:rsidR="00D00B16" w:rsidRDefault="00D00B16">
      <w:pPr>
        <w:rPr>
          <w:sz w:val="22"/>
          <w:szCs w:val="22"/>
        </w:rPr>
      </w:pPr>
    </w:p>
    <w:p w14:paraId="77759FA3" w14:textId="77777777" w:rsidR="00D00B16" w:rsidRDefault="00365F6D">
      <w:pPr>
        <w:jc w:val="center"/>
        <w:rPr>
          <w:sz w:val="22"/>
          <w:szCs w:val="22"/>
        </w:rPr>
      </w:pPr>
      <w:r>
        <w:rPr>
          <w:sz w:val="22"/>
          <w:szCs w:val="22"/>
        </w:rPr>
        <w:t>[Figure 1 about here]</w:t>
      </w:r>
    </w:p>
    <w:p w14:paraId="767A288C" w14:textId="77777777" w:rsidR="00D00B16" w:rsidRDefault="00D00B16">
      <w:pPr>
        <w:rPr>
          <w:sz w:val="22"/>
          <w:szCs w:val="22"/>
        </w:rPr>
      </w:pPr>
    </w:p>
    <w:p w14:paraId="47727846" w14:textId="77777777" w:rsidR="00D00B16" w:rsidRDefault="00D00B16">
      <w:pPr>
        <w:rPr>
          <w:sz w:val="22"/>
          <w:szCs w:val="22"/>
        </w:rPr>
      </w:pPr>
    </w:p>
    <w:p w14:paraId="0D7CE130" w14:textId="4BEEF2E8" w:rsidR="00D00B16" w:rsidRDefault="00365F6D">
      <w:pPr>
        <w:rPr>
          <w:b/>
          <w:sz w:val="22"/>
          <w:szCs w:val="22"/>
        </w:rPr>
      </w:pPr>
      <w:r>
        <w:rPr>
          <w:b/>
          <w:sz w:val="22"/>
          <w:szCs w:val="22"/>
        </w:rPr>
        <w:t>Discussion</w:t>
      </w:r>
    </w:p>
    <w:p w14:paraId="0AD7940E" w14:textId="77777777" w:rsidR="00D00B16" w:rsidRDefault="00365F6D">
      <w:pPr>
        <w:rPr>
          <w:sz w:val="22"/>
          <w:szCs w:val="22"/>
        </w:rPr>
      </w:pPr>
      <w:r>
        <w:rPr>
          <w:sz w:val="22"/>
          <w:szCs w:val="22"/>
        </w:rPr>
        <w:t>Research on the diverse roles of foundations as interest groups is beginning to gather considerable momentum. Studies on the role of foundations as patrons has the longest history, indicating that grants from philanthropic organizations can have a positive influence on social change, yet in the past these funds have tended to be modest and often weakened the commitment of recipients to grassroots organizing (Jenkins 1989, 1998; Goss 2007). A recent line of research indicates that the philanthropic sector is undergoing institutional change, sometimes described as the emergence of a “New Gilded Age” or a “New Golden Age,” and the growing willingness of foundations to influence the policy process is an important aspect of the transformation (</w:t>
      </w:r>
      <w:proofErr w:type="spellStart"/>
      <w:r>
        <w:rPr>
          <w:sz w:val="22"/>
          <w:szCs w:val="22"/>
        </w:rPr>
        <w:t>Reckhow</w:t>
      </w:r>
      <w:proofErr w:type="spellEnd"/>
      <w:r>
        <w:rPr>
          <w:sz w:val="22"/>
          <w:szCs w:val="22"/>
        </w:rPr>
        <w:t xml:space="preserve"> 2013, 2016; Quinn et al 2014; Goss 2016; Hertel-Fernandez 2016; Tompkins-</w:t>
      </w:r>
      <w:proofErr w:type="spellStart"/>
      <w:r>
        <w:rPr>
          <w:sz w:val="22"/>
          <w:szCs w:val="22"/>
        </w:rPr>
        <w:t>Stange</w:t>
      </w:r>
      <w:proofErr w:type="spellEnd"/>
      <w:r>
        <w:rPr>
          <w:sz w:val="22"/>
          <w:szCs w:val="22"/>
        </w:rPr>
        <w:t xml:space="preserve"> 2016; Callahan 2017). Because extant research on foundation involvement in advocacy has emphasized private foundations, we chose to provide a novel point of comparison for building theory by concentrating on community foundations, and we also contribute to research on foundations as interest groups by establishing a transparent and replicable definition of advocacy that can be contested or validated. </w:t>
      </w:r>
    </w:p>
    <w:p w14:paraId="0B57979C" w14:textId="77777777" w:rsidR="00D00B16" w:rsidRDefault="00365F6D">
      <w:pPr>
        <w:rPr>
          <w:sz w:val="22"/>
          <w:szCs w:val="22"/>
        </w:rPr>
      </w:pPr>
      <w:r>
        <w:rPr>
          <w:sz w:val="22"/>
          <w:szCs w:val="22"/>
        </w:rPr>
        <w:t xml:space="preserve"> </w:t>
      </w:r>
    </w:p>
    <w:p w14:paraId="3A5FE9D4" w14:textId="782CE69D" w:rsidR="00D00B16" w:rsidRDefault="00365F6D">
      <w:pPr>
        <w:rPr>
          <w:sz w:val="22"/>
          <w:szCs w:val="22"/>
        </w:rPr>
      </w:pPr>
      <w:r>
        <w:rPr>
          <w:sz w:val="22"/>
          <w:szCs w:val="22"/>
        </w:rPr>
        <w:t xml:space="preserve">Beginning with our methodological contribution, establishing a consistent definition of advocacy has been a challenge for research on nonprofits (including foundations) and other types of interest groups. One solution, especially common in political science research, is to define the activity as lobbying and to define an interest group as an organization with lobbying expenditures (Walker 1991; Berry 1999; Mahoney 2007). This approach has the advantage of eliminating ambiguity about the activity being measured, yet lobbying is just </w:t>
      </w:r>
      <w:r w:rsidR="00D107B5">
        <w:rPr>
          <w:sz w:val="22"/>
          <w:szCs w:val="22"/>
        </w:rPr>
        <w:t xml:space="preserve">one </w:t>
      </w:r>
      <w:r>
        <w:rPr>
          <w:sz w:val="22"/>
          <w:szCs w:val="22"/>
        </w:rPr>
        <w:t xml:space="preserve">of many different activities that organizations undertake to produce social change (Berry and </w:t>
      </w:r>
      <w:proofErr w:type="spellStart"/>
      <w:r>
        <w:rPr>
          <w:sz w:val="22"/>
          <w:szCs w:val="22"/>
        </w:rPr>
        <w:t>Arons</w:t>
      </w:r>
      <w:proofErr w:type="spellEnd"/>
      <w:r>
        <w:rPr>
          <w:sz w:val="22"/>
          <w:szCs w:val="22"/>
        </w:rPr>
        <w:t xml:space="preserve"> 2003; Jenkins 2006; Reid 2006; </w:t>
      </w:r>
      <w:proofErr w:type="spellStart"/>
      <w:r>
        <w:rPr>
          <w:sz w:val="22"/>
          <w:szCs w:val="22"/>
        </w:rPr>
        <w:t>Strolovich</w:t>
      </w:r>
      <w:proofErr w:type="spellEnd"/>
      <w:r>
        <w:rPr>
          <w:sz w:val="22"/>
          <w:szCs w:val="22"/>
        </w:rPr>
        <w:t xml:space="preserve"> 2007; Leroux and </w:t>
      </w:r>
      <w:proofErr w:type="spellStart"/>
      <w:r>
        <w:rPr>
          <w:sz w:val="22"/>
          <w:szCs w:val="22"/>
        </w:rPr>
        <w:t>Goerdel</w:t>
      </w:r>
      <w:proofErr w:type="spellEnd"/>
      <w:r>
        <w:rPr>
          <w:sz w:val="22"/>
          <w:szCs w:val="22"/>
        </w:rPr>
        <w:t xml:space="preserve"> 2009; Guo and Saxton 2010; Mosley 2013). We develop a broad measure for policy advocacy and its prevalence on websites utilizing machine learning techniques (Wilkerson and Casas 2017). Some may dispute our definition as too narrow because we decided that some activities like promoting civic engagement do not constitute policy advocacy, and some may dispute our definition as too broad </w:t>
      </w:r>
      <w:r w:rsidR="003E4D0B">
        <w:rPr>
          <w:sz w:val="22"/>
          <w:szCs w:val="22"/>
        </w:rPr>
        <w:t>to be applicable for research on private foundations because, u</w:t>
      </w:r>
      <w:r w:rsidR="00451A5F">
        <w:rPr>
          <w:sz w:val="22"/>
          <w:szCs w:val="22"/>
        </w:rPr>
        <w:t xml:space="preserve">nlike the community foundations we study </w:t>
      </w:r>
      <w:r w:rsidR="003E4D0B">
        <w:rPr>
          <w:sz w:val="22"/>
          <w:szCs w:val="22"/>
        </w:rPr>
        <w:t xml:space="preserve">in this paper, those actors </w:t>
      </w:r>
      <w:r w:rsidR="00451A5F">
        <w:rPr>
          <w:sz w:val="22"/>
          <w:szCs w:val="22"/>
        </w:rPr>
        <w:t xml:space="preserve">cannot lobby. </w:t>
      </w:r>
      <w:r>
        <w:rPr>
          <w:sz w:val="22"/>
          <w:szCs w:val="22"/>
        </w:rPr>
        <w:t xml:space="preserve">We nevertheless contribute to the </w:t>
      </w:r>
      <w:r w:rsidR="00451A5F">
        <w:rPr>
          <w:sz w:val="22"/>
          <w:szCs w:val="22"/>
        </w:rPr>
        <w:t>developme</w:t>
      </w:r>
      <w:r>
        <w:rPr>
          <w:sz w:val="22"/>
          <w:szCs w:val="22"/>
        </w:rPr>
        <w:t>n</w:t>
      </w:r>
      <w:r w:rsidR="00451A5F">
        <w:rPr>
          <w:sz w:val="22"/>
          <w:szCs w:val="22"/>
        </w:rPr>
        <w:t>t</w:t>
      </w:r>
      <w:r>
        <w:rPr>
          <w:sz w:val="22"/>
          <w:szCs w:val="22"/>
        </w:rPr>
        <w:t xml:space="preserve"> of a</w:t>
      </w:r>
      <w:r w:rsidR="003E4D0B">
        <w:rPr>
          <w:sz w:val="22"/>
          <w:szCs w:val="22"/>
        </w:rPr>
        <w:t>n inclusive</w:t>
      </w:r>
      <w:r>
        <w:rPr>
          <w:sz w:val="22"/>
          <w:szCs w:val="22"/>
        </w:rPr>
        <w:t xml:space="preserve"> measure that reflects the breadth of activities represented by the concept.   </w:t>
      </w:r>
    </w:p>
    <w:p w14:paraId="0C9A3FAA" w14:textId="77777777" w:rsidR="00D00B16" w:rsidRDefault="00D00B16">
      <w:pPr>
        <w:rPr>
          <w:sz w:val="22"/>
          <w:szCs w:val="22"/>
        </w:rPr>
      </w:pPr>
    </w:p>
    <w:p w14:paraId="395111AF" w14:textId="35793536" w:rsidR="00A961A4" w:rsidRDefault="00365F6D" w:rsidP="00A961A4">
      <w:pPr>
        <w:rPr>
          <w:sz w:val="22"/>
          <w:szCs w:val="22"/>
        </w:rPr>
      </w:pPr>
      <w:r>
        <w:rPr>
          <w:sz w:val="22"/>
          <w:szCs w:val="22"/>
        </w:rPr>
        <w:t xml:space="preserve">We also make a substantive contribution by extending and complementing extant </w:t>
      </w:r>
      <w:r w:rsidR="003E4D0B">
        <w:rPr>
          <w:sz w:val="22"/>
          <w:szCs w:val="22"/>
        </w:rPr>
        <w:t>theory</w:t>
      </w:r>
      <w:r>
        <w:rPr>
          <w:sz w:val="22"/>
          <w:szCs w:val="22"/>
        </w:rPr>
        <w:t xml:space="preserve"> on foundations as interest groups. The determinants of foundation strategy have received surprisingly little scholarly attention, and we establish a conceptual frame for explaining engagement in advocacy that emphasizes environmental context and organizational structure. The results from our analysis reveal that community wealth and features of community foundations such as relational embeddedness, identity, and professionalization have a positive effect on the use of organizational websites for advocacy. Though less robust, our results indicate that greater reliance on donations and the political liberalism of the community in which community foundations are located </w:t>
      </w:r>
      <w:r>
        <w:rPr>
          <w:sz w:val="22"/>
          <w:szCs w:val="22"/>
        </w:rPr>
        <w:lastRenderedPageBreak/>
        <w:t xml:space="preserve">also may impel the use of websites for social change activity. Even though we have attempted to capture the primary drivers and determinants of community foundation engagement in advocacy, like our definition of advocacy, our conceptual frame is subject to </w:t>
      </w:r>
      <w:r w:rsidRPr="00A961A4">
        <w:rPr>
          <w:sz w:val="22"/>
          <w:szCs w:val="22"/>
        </w:rPr>
        <w:t xml:space="preserve">revision. </w:t>
      </w:r>
      <w:r w:rsidR="00A961A4">
        <w:rPr>
          <w:sz w:val="22"/>
          <w:szCs w:val="22"/>
        </w:rPr>
        <w:t xml:space="preserve">For instance, </w:t>
      </w:r>
      <w:r w:rsidR="00A961A4" w:rsidRPr="00A961A4">
        <w:rPr>
          <w:sz w:val="22"/>
          <w:szCs w:val="22"/>
        </w:rPr>
        <w:t xml:space="preserve">some studies have drawn attention to, and raised considerable concerns about, venture philanthropy and the growth of market-based forms of grantmaking (Eikenberry and </w:t>
      </w:r>
      <w:proofErr w:type="spellStart"/>
      <w:r w:rsidR="00A961A4" w:rsidRPr="00A961A4">
        <w:rPr>
          <w:sz w:val="22"/>
          <w:szCs w:val="22"/>
        </w:rPr>
        <w:t>Kluver</w:t>
      </w:r>
      <w:proofErr w:type="spellEnd"/>
      <w:r w:rsidR="00A961A4" w:rsidRPr="00A961A4">
        <w:rPr>
          <w:sz w:val="22"/>
          <w:szCs w:val="22"/>
        </w:rPr>
        <w:t xml:space="preserve"> 2004; Edwards 2008; Moody 2008; Nickel and Eikenberry 2009; Webb Farley et al 2018). </w:t>
      </w:r>
      <w:r w:rsidR="00A961A4">
        <w:rPr>
          <w:sz w:val="22"/>
          <w:szCs w:val="22"/>
        </w:rPr>
        <w:t>W</w:t>
      </w:r>
      <w:r w:rsidR="00A961A4" w:rsidRPr="00A961A4">
        <w:rPr>
          <w:sz w:val="22"/>
          <w:szCs w:val="22"/>
        </w:rPr>
        <w:t xml:space="preserve">e attempt to address this trend in our conceptual frame by attending to institutional logics, </w:t>
      </w:r>
      <w:r w:rsidR="00600406">
        <w:rPr>
          <w:sz w:val="22"/>
          <w:szCs w:val="22"/>
        </w:rPr>
        <w:t>yet</w:t>
      </w:r>
      <w:r w:rsidR="00A961A4">
        <w:rPr>
          <w:sz w:val="22"/>
          <w:szCs w:val="22"/>
        </w:rPr>
        <w:t xml:space="preserve"> novel</w:t>
      </w:r>
      <w:r w:rsidR="00A961A4" w:rsidRPr="00A961A4">
        <w:rPr>
          <w:sz w:val="22"/>
          <w:szCs w:val="22"/>
        </w:rPr>
        <w:t xml:space="preserve"> research </w:t>
      </w:r>
      <w:r w:rsidR="00A961A4">
        <w:rPr>
          <w:sz w:val="22"/>
          <w:szCs w:val="22"/>
        </w:rPr>
        <w:t>could</w:t>
      </w:r>
      <w:r w:rsidR="00A961A4" w:rsidRPr="00A961A4">
        <w:rPr>
          <w:sz w:val="22"/>
          <w:szCs w:val="22"/>
        </w:rPr>
        <w:t xml:space="preserve"> </w:t>
      </w:r>
      <w:r w:rsidR="00A961A4">
        <w:rPr>
          <w:sz w:val="22"/>
          <w:szCs w:val="22"/>
        </w:rPr>
        <w:t>develop alternative measures or refine the</w:t>
      </w:r>
      <w:r w:rsidR="00A961A4" w:rsidRPr="00A961A4">
        <w:rPr>
          <w:sz w:val="22"/>
          <w:szCs w:val="22"/>
        </w:rPr>
        <w:t xml:space="preserve"> conceptual frame </w:t>
      </w:r>
      <w:r w:rsidR="00600406">
        <w:rPr>
          <w:sz w:val="22"/>
          <w:szCs w:val="22"/>
        </w:rPr>
        <w:t>to better capture how</w:t>
      </w:r>
      <w:r w:rsidR="00A961A4">
        <w:rPr>
          <w:sz w:val="22"/>
          <w:szCs w:val="22"/>
        </w:rPr>
        <w:t xml:space="preserve"> the</w:t>
      </w:r>
      <w:r w:rsidR="00A961A4" w:rsidRPr="00A961A4">
        <w:rPr>
          <w:sz w:val="22"/>
          <w:szCs w:val="22"/>
        </w:rPr>
        <w:t xml:space="preserve"> prevalence of a market logic in philanthropy influences foundation engagement in advocacy.</w:t>
      </w:r>
    </w:p>
    <w:p w14:paraId="0438FEA5" w14:textId="77777777" w:rsidR="00A961A4" w:rsidRDefault="00A961A4">
      <w:pPr>
        <w:rPr>
          <w:sz w:val="22"/>
          <w:szCs w:val="22"/>
        </w:rPr>
      </w:pPr>
    </w:p>
    <w:p w14:paraId="13031B87" w14:textId="59531936" w:rsidR="00D00B16" w:rsidRDefault="00365F6D">
      <w:pPr>
        <w:rPr>
          <w:sz w:val="22"/>
          <w:szCs w:val="22"/>
        </w:rPr>
      </w:pPr>
      <w:r>
        <w:rPr>
          <w:sz w:val="22"/>
          <w:szCs w:val="22"/>
        </w:rPr>
        <w:t xml:space="preserve">In addition to </w:t>
      </w:r>
      <w:r w:rsidR="00600406">
        <w:rPr>
          <w:sz w:val="22"/>
          <w:szCs w:val="22"/>
        </w:rPr>
        <w:t>building theory on</w:t>
      </w:r>
      <w:r>
        <w:rPr>
          <w:sz w:val="22"/>
          <w:szCs w:val="22"/>
        </w:rPr>
        <w:t xml:space="preserve"> community foundations as interest groups, we </w:t>
      </w:r>
      <w:r w:rsidR="00600406">
        <w:rPr>
          <w:sz w:val="22"/>
          <w:szCs w:val="22"/>
        </w:rPr>
        <w:t xml:space="preserve">contribute by </w:t>
      </w:r>
      <w:r>
        <w:rPr>
          <w:sz w:val="22"/>
          <w:szCs w:val="22"/>
        </w:rPr>
        <w:t>set</w:t>
      </w:r>
      <w:r w:rsidR="00600406">
        <w:rPr>
          <w:sz w:val="22"/>
          <w:szCs w:val="22"/>
        </w:rPr>
        <w:t>ting</w:t>
      </w:r>
      <w:r>
        <w:rPr>
          <w:sz w:val="22"/>
          <w:szCs w:val="22"/>
        </w:rPr>
        <w:t xml:space="preserve"> an agenda for research </w:t>
      </w:r>
      <w:r w:rsidR="004A5D12">
        <w:rPr>
          <w:sz w:val="22"/>
          <w:szCs w:val="22"/>
        </w:rPr>
        <w:t xml:space="preserve">that contrasts </w:t>
      </w:r>
      <w:r>
        <w:rPr>
          <w:sz w:val="22"/>
          <w:szCs w:val="22"/>
        </w:rPr>
        <w:t xml:space="preserve">community foundation advocacy </w:t>
      </w:r>
      <w:r w:rsidR="004A5D12">
        <w:rPr>
          <w:sz w:val="22"/>
          <w:szCs w:val="22"/>
        </w:rPr>
        <w:t xml:space="preserve">with </w:t>
      </w:r>
      <w:r>
        <w:rPr>
          <w:sz w:val="22"/>
          <w:szCs w:val="22"/>
        </w:rPr>
        <w:t xml:space="preserve">advocacy by other organizations in the philanthropic landscape. Public foundations are permitted to lobby as long as it is not a substantial part of their work, and this might drive some of our results; the determinants of private foundation engagement in advocacy might be quite unique since corporate, independent, family and operating foundations are not permitted to lobby. </w:t>
      </w:r>
      <w:r w:rsidR="00BD7BFE">
        <w:rPr>
          <w:sz w:val="22"/>
          <w:szCs w:val="22"/>
        </w:rPr>
        <w:t>Because the regulatory frameworks for public and private foundations differ, in other words, we cannot generalize our findings beyond community foundations</w:t>
      </w:r>
      <w:r w:rsidR="003E4D0B">
        <w:rPr>
          <w:sz w:val="22"/>
          <w:szCs w:val="22"/>
        </w:rPr>
        <w:t xml:space="preserve">. </w:t>
      </w:r>
      <w:r>
        <w:rPr>
          <w:sz w:val="22"/>
          <w:szCs w:val="22"/>
        </w:rPr>
        <w:t xml:space="preserve">At the same time, even though the nonprofit sector has become more politicized over time, considerable misunderstanding persists about which activities are restricted, and public charities are especially unlikely to lobby (Berry and </w:t>
      </w:r>
      <w:proofErr w:type="spellStart"/>
      <w:r>
        <w:rPr>
          <w:sz w:val="22"/>
          <w:szCs w:val="22"/>
        </w:rPr>
        <w:t>Arons</w:t>
      </w:r>
      <w:proofErr w:type="spellEnd"/>
      <w:r>
        <w:rPr>
          <w:sz w:val="22"/>
          <w:szCs w:val="22"/>
        </w:rPr>
        <w:t xml:space="preserve"> 2005; Bass et al 2007; Suárez and Hwang 2008; Mosley 2013). Whether the general willingness of foundations to engage in advocacy or the advocacy tactics they utilize differ markedly across institutional form (public versus private) or even among private foundations (corporate independent, family, and operating) remains an open question. With our conceptual frame, we </w:t>
      </w:r>
      <w:r w:rsidR="009C2C04">
        <w:rPr>
          <w:sz w:val="22"/>
          <w:szCs w:val="22"/>
        </w:rPr>
        <w:t xml:space="preserve">establish a framework for comparative studies by </w:t>
      </w:r>
      <w:r>
        <w:rPr>
          <w:sz w:val="22"/>
          <w:szCs w:val="22"/>
        </w:rPr>
        <w:t>identify</w:t>
      </w:r>
      <w:r w:rsidR="009C2C04">
        <w:rPr>
          <w:sz w:val="22"/>
          <w:szCs w:val="22"/>
        </w:rPr>
        <w:t>ing</w:t>
      </w:r>
      <w:r>
        <w:rPr>
          <w:sz w:val="22"/>
          <w:szCs w:val="22"/>
        </w:rPr>
        <w:t xml:space="preserve"> aspects of the external environment and organizational characteristics associated with community fo</w:t>
      </w:r>
      <w:r w:rsidR="009C2C04">
        <w:rPr>
          <w:sz w:val="22"/>
          <w:szCs w:val="22"/>
        </w:rPr>
        <w:t>undation engagement in advocacy</w:t>
      </w:r>
      <w:r>
        <w:rPr>
          <w:sz w:val="22"/>
          <w:szCs w:val="22"/>
        </w:rPr>
        <w:t>.</w:t>
      </w:r>
    </w:p>
    <w:p w14:paraId="48EEBFA8" w14:textId="77777777" w:rsidR="00723347" w:rsidRDefault="00723347">
      <w:pPr>
        <w:rPr>
          <w:sz w:val="22"/>
          <w:szCs w:val="22"/>
        </w:rPr>
      </w:pPr>
    </w:p>
    <w:p w14:paraId="3B28D182" w14:textId="0674E730" w:rsidR="00666E6A" w:rsidRDefault="004A5D12" w:rsidP="00666E6A">
      <w:pPr>
        <w:rPr>
          <w:sz w:val="22"/>
          <w:szCs w:val="22"/>
        </w:rPr>
      </w:pPr>
      <w:r>
        <w:rPr>
          <w:sz w:val="22"/>
          <w:szCs w:val="22"/>
        </w:rPr>
        <w:t>W</w:t>
      </w:r>
      <w:r w:rsidR="00723347">
        <w:rPr>
          <w:sz w:val="22"/>
          <w:szCs w:val="22"/>
        </w:rPr>
        <w:t xml:space="preserve">hile </w:t>
      </w:r>
      <w:r w:rsidR="009C2C04">
        <w:rPr>
          <w:sz w:val="22"/>
          <w:szCs w:val="22"/>
        </w:rPr>
        <w:t>o</w:t>
      </w:r>
      <w:r w:rsidR="00365F6D">
        <w:rPr>
          <w:sz w:val="22"/>
          <w:szCs w:val="22"/>
        </w:rPr>
        <w:t xml:space="preserve">ur study of advocacy discourse on community foundation websites </w:t>
      </w:r>
      <w:r w:rsidR="00723347">
        <w:rPr>
          <w:sz w:val="22"/>
          <w:szCs w:val="22"/>
        </w:rPr>
        <w:t>emphasizes a broad conceptualization of the activity</w:t>
      </w:r>
      <w:r w:rsidR="00AC3B95">
        <w:rPr>
          <w:sz w:val="22"/>
          <w:szCs w:val="22"/>
        </w:rPr>
        <w:t xml:space="preserve">, </w:t>
      </w:r>
      <w:r w:rsidR="009C2C04">
        <w:rPr>
          <w:sz w:val="22"/>
          <w:szCs w:val="22"/>
        </w:rPr>
        <w:t>the</w:t>
      </w:r>
      <w:r w:rsidR="005E17B9">
        <w:rPr>
          <w:sz w:val="22"/>
          <w:szCs w:val="22"/>
        </w:rPr>
        <w:t xml:space="preserve"> research </w:t>
      </w:r>
      <w:r>
        <w:rPr>
          <w:sz w:val="22"/>
          <w:szCs w:val="22"/>
        </w:rPr>
        <w:t xml:space="preserve">also </w:t>
      </w:r>
      <w:r w:rsidR="00AC3B95">
        <w:rPr>
          <w:sz w:val="22"/>
          <w:szCs w:val="22"/>
        </w:rPr>
        <w:t xml:space="preserve">could </w:t>
      </w:r>
      <w:r w:rsidR="005E17B9">
        <w:rPr>
          <w:sz w:val="22"/>
          <w:szCs w:val="22"/>
        </w:rPr>
        <w:t xml:space="preserve">be </w:t>
      </w:r>
      <w:r w:rsidR="00723347">
        <w:rPr>
          <w:sz w:val="22"/>
          <w:szCs w:val="22"/>
        </w:rPr>
        <w:t>extended and refined</w:t>
      </w:r>
      <w:r w:rsidR="005E17B9">
        <w:rPr>
          <w:sz w:val="22"/>
          <w:szCs w:val="22"/>
        </w:rPr>
        <w:t xml:space="preserve"> </w:t>
      </w:r>
      <w:r w:rsidR="00AC3B95">
        <w:rPr>
          <w:sz w:val="22"/>
          <w:szCs w:val="22"/>
        </w:rPr>
        <w:t xml:space="preserve">in </w:t>
      </w:r>
      <w:r w:rsidR="00723347">
        <w:rPr>
          <w:sz w:val="22"/>
          <w:szCs w:val="22"/>
        </w:rPr>
        <w:t>several</w:t>
      </w:r>
      <w:r w:rsidR="009C2C04">
        <w:rPr>
          <w:sz w:val="22"/>
          <w:szCs w:val="22"/>
        </w:rPr>
        <w:t xml:space="preserve"> </w:t>
      </w:r>
      <w:r w:rsidR="00AC3B95">
        <w:rPr>
          <w:sz w:val="22"/>
          <w:szCs w:val="22"/>
        </w:rPr>
        <w:t>directions</w:t>
      </w:r>
      <w:r w:rsidR="00365F6D">
        <w:rPr>
          <w:sz w:val="22"/>
          <w:szCs w:val="22"/>
        </w:rPr>
        <w:t xml:space="preserve">. </w:t>
      </w:r>
      <w:r w:rsidR="00723347">
        <w:rPr>
          <w:sz w:val="22"/>
          <w:szCs w:val="22"/>
        </w:rPr>
        <w:t xml:space="preserve">To begin with, </w:t>
      </w:r>
      <w:r w:rsidR="005C0894">
        <w:rPr>
          <w:sz w:val="22"/>
          <w:szCs w:val="22"/>
        </w:rPr>
        <w:t xml:space="preserve">our outcome measure – the proportion of sentences on a website dedicated to advocacy – does not distinguish among the </w:t>
      </w:r>
      <w:r w:rsidR="00D616A1">
        <w:rPr>
          <w:sz w:val="22"/>
          <w:szCs w:val="22"/>
        </w:rPr>
        <w:t>tactics</w:t>
      </w:r>
      <w:r w:rsidR="005C0894">
        <w:rPr>
          <w:sz w:val="22"/>
          <w:szCs w:val="22"/>
        </w:rPr>
        <w:t xml:space="preserve"> that these organizations </w:t>
      </w:r>
      <w:r w:rsidR="00D616A1">
        <w:rPr>
          <w:sz w:val="22"/>
          <w:szCs w:val="22"/>
        </w:rPr>
        <w:t>mention</w:t>
      </w:r>
      <w:r w:rsidR="005C0894">
        <w:rPr>
          <w:sz w:val="22"/>
          <w:szCs w:val="22"/>
        </w:rPr>
        <w:t xml:space="preserve"> on their websites. A distinction made in some of the literature on interest groups and advocacy organizations is participation in insider and outsider forms of advocacy (Dur and Mateo 2016). Some community foundations may focus exclusively on lobbying and other </w:t>
      </w:r>
      <w:r w:rsidR="00AC3B95">
        <w:rPr>
          <w:sz w:val="22"/>
          <w:szCs w:val="22"/>
        </w:rPr>
        <w:t xml:space="preserve">insider </w:t>
      </w:r>
      <w:r w:rsidR="005C0894">
        <w:rPr>
          <w:sz w:val="22"/>
          <w:szCs w:val="22"/>
        </w:rPr>
        <w:t>tactics that involve contact with leg</w:t>
      </w:r>
      <w:r w:rsidR="00B313F4">
        <w:rPr>
          <w:sz w:val="22"/>
          <w:szCs w:val="22"/>
        </w:rPr>
        <w:t>islators while others may limit involvement to</w:t>
      </w:r>
      <w:r w:rsidR="005C0894">
        <w:rPr>
          <w:sz w:val="22"/>
          <w:szCs w:val="22"/>
        </w:rPr>
        <w:t xml:space="preserve"> </w:t>
      </w:r>
      <w:r w:rsidR="00AC3B95">
        <w:rPr>
          <w:sz w:val="22"/>
          <w:szCs w:val="22"/>
        </w:rPr>
        <w:t xml:space="preserve">outsider tactics </w:t>
      </w:r>
      <w:r w:rsidR="005C0894">
        <w:rPr>
          <w:sz w:val="22"/>
          <w:szCs w:val="22"/>
        </w:rPr>
        <w:t xml:space="preserve">like local organizing </w:t>
      </w:r>
      <w:r w:rsidR="00AC3B95">
        <w:rPr>
          <w:sz w:val="22"/>
          <w:szCs w:val="22"/>
        </w:rPr>
        <w:t xml:space="preserve">and grassroots </w:t>
      </w:r>
      <w:r w:rsidR="005C0894">
        <w:rPr>
          <w:sz w:val="22"/>
          <w:szCs w:val="22"/>
        </w:rPr>
        <w:t xml:space="preserve">mobilization. </w:t>
      </w:r>
      <w:r w:rsidR="00D616A1">
        <w:rPr>
          <w:sz w:val="22"/>
          <w:szCs w:val="22"/>
        </w:rPr>
        <w:t>Besides</w:t>
      </w:r>
      <w:r w:rsidR="009C2C04">
        <w:rPr>
          <w:sz w:val="22"/>
          <w:szCs w:val="22"/>
        </w:rPr>
        <w:t xml:space="preserve"> </w:t>
      </w:r>
      <w:r w:rsidR="00D616A1">
        <w:rPr>
          <w:sz w:val="22"/>
          <w:szCs w:val="22"/>
        </w:rPr>
        <w:t>attending to</w:t>
      </w:r>
      <w:r w:rsidR="009C2C04">
        <w:rPr>
          <w:sz w:val="22"/>
          <w:szCs w:val="22"/>
        </w:rPr>
        <w:t xml:space="preserve"> </w:t>
      </w:r>
      <w:r w:rsidR="00D616A1">
        <w:rPr>
          <w:sz w:val="22"/>
          <w:szCs w:val="22"/>
        </w:rPr>
        <w:t xml:space="preserve">the distinction between insider and outsider tactics, future research </w:t>
      </w:r>
      <w:r w:rsidR="00723347">
        <w:rPr>
          <w:sz w:val="22"/>
          <w:szCs w:val="22"/>
        </w:rPr>
        <w:t>could</w:t>
      </w:r>
      <w:r w:rsidR="00D616A1">
        <w:rPr>
          <w:sz w:val="22"/>
          <w:szCs w:val="22"/>
        </w:rPr>
        <w:t xml:space="preserve"> </w:t>
      </w:r>
      <w:r w:rsidR="00723347">
        <w:rPr>
          <w:sz w:val="22"/>
          <w:szCs w:val="22"/>
        </w:rPr>
        <w:t>build on our work by exploring</w:t>
      </w:r>
      <w:r w:rsidR="00D616A1">
        <w:rPr>
          <w:sz w:val="22"/>
          <w:szCs w:val="22"/>
        </w:rPr>
        <w:t xml:space="preserve"> whe</w:t>
      </w:r>
      <w:r w:rsidR="009C2C04">
        <w:rPr>
          <w:sz w:val="22"/>
          <w:szCs w:val="22"/>
        </w:rPr>
        <w:t xml:space="preserve">ther a foundation engages in </w:t>
      </w:r>
      <w:r w:rsidR="00D616A1">
        <w:rPr>
          <w:sz w:val="22"/>
          <w:szCs w:val="22"/>
        </w:rPr>
        <w:t>advocacy directly or indirectly</w:t>
      </w:r>
      <w:r w:rsidR="009C2C04">
        <w:rPr>
          <w:sz w:val="22"/>
          <w:szCs w:val="22"/>
        </w:rPr>
        <w:t xml:space="preserve">. </w:t>
      </w:r>
      <w:r w:rsidR="00D616A1">
        <w:rPr>
          <w:sz w:val="22"/>
          <w:szCs w:val="22"/>
        </w:rPr>
        <w:t xml:space="preserve">Some foundations engage in advocacy </w:t>
      </w:r>
      <w:r>
        <w:rPr>
          <w:sz w:val="22"/>
          <w:szCs w:val="22"/>
        </w:rPr>
        <w:t xml:space="preserve">directly, for instance by </w:t>
      </w:r>
      <w:r w:rsidR="00D616A1">
        <w:rPr>
          <w:sz w:val="22"/>
          <w:szCs w:val="22"/>
        </w:rPr>
        <w:t>taking public positions on issues, and so</w:t>
      </w:r>
      <w:r w:rsidR="00365F6D">
        <w:rPr>
          <w:sz w:val="22"/>
          <w:szCs w:val="22"/>
        </w:rPr>
        <w:t xml:space="preserve">me community foundations </w:t>
      </w:r>
      <w:r w:rsidR="00BD63F8">
        <w:rPr>
          <w:sz w:val="22"/>
          <w:szCs w:val="22"/>
        </w:rPr>
        <w:t>advocate</w:t>
      </w:r>
      <w:r w:rsidR="00D616A1">
        <w:rPr>
          <w:sz w:val="22"/>
          <w:szCs w:val="22"/>
        </w:rPr>
        <w:t xml:space="preserve"> indirectly</w:t>
      </w:r>
      <w:r w:rsidR="00723347">
        <w:rPr>
          <w:sz w:val="22"/>
          <w:szCs w:val="22"/>
        </w:rPr>
        <w:t xml:space="preserve"> </w:t>
      </w:r>
      <w:r w:rsidR="00D616A1">
        <w:rPr>
          <w:sz w:val="22"/>
          <w:szCs w:val="22"/>
        </w:rPr>
        <w:t>by</w:t>
      </w:r>
      <w:r w:rsidR="00365F6D">
        <w:rPr>
          <w:sz w:val="22"/>
          <w:szCs w:val="22"/>
        </w:rPr>
        <w:t xml:space="preserve"> providing grants for organizations to engage in </w:t>
      </w:r>
      <w:r w:rsidR="00C8534C">
        <w:rPr>
          <w:sz w:val="22"/>
          <w:szCs w:val="22"/>
        </w:rPr>
        <w:t>the activity. Whether or not community foundations differ systematically with respect to tactics (insider/outsider) or approaches (direct/indirect) is unclear, and research on these topics is critical for developing a better understanding of foundations as interest groups.</w:t>
      </w:r>
      <w:r w:rsidR="00666E6A">
        <w:rPr>
          <w:sz w:val="22"/>
          <w:szCs w:val="22"/>
        </w:rPr>
        <w:t xml:space="preserve"> In conclusion, our conceptual frame and our methods for defining advocacy mark our primary contributions, but we also establish a viable agenda for future research. </w:t>
      </w:r>
    </w:p>
    <w:p w14:paraId="12A03F6C" w14:textId="15403686" w:rsidR="00D00B16" w:rsidRDefault="00365F6D">
      <w:pPr>
        <w:rPr>
          <w:sz w:val="22"/>
          <w:szCs w:val="22"/>
        </w:rPr>
      </w:pPr>
      <w:r>
        <w:br w:type="page"/>
      </w:r>
    </w:p>
    <w:p w14:paraId="28ADC842" w14:textId="77777777" w:rsidR="00D00B16" w:rsidRDefault="00365F6D">
      <w:pPr>
        <w:rPr>
          <w:b/>
          <w:sz w:val="22"/>
          <w:szCs w:val="22"/>
        </w:rPr>
      </w:pPr>
      <w:r>
        <w:rPr>
          <w:b/>
          <w:sz w:val="22"/>
          <w:szCs w:val="22"/>
        </w:rPr>
        <w:lastRenderedPageBreak/>
        <w:t>Bibliography</w:t>
      </w:r>
    </w:p>
    <w:p w14:paraId="2DE86465" w14:textId="77777777" w:rsidR="00D00B16" w:rsidRDefault="00365F6D">
      <w:pPr>
        <w:ind w:left="720" w:hanging="720"/>
        <w:rPr>
          <w:sz w:val="22"/>
          <w:szCs w:val="22"/>
        </w:rPr>
      </w:pPr>
      <w:r>
        <w:rPr>
          <w:sz w:val="22"/>
          <w:szCs w:val="22"/>
        </w:rPr>
        <w:t xml:space="preserve">Anderson, Elizabeth. 2008. “Experts, Ideas, and Policy Change: The Russell Sage Foundation and Small Loan Reform, 1909-1949.” </w:t>
      </w:r>
      <w:r>
        <w:rPr>
          <w:i/>
          <w:sz w:val="22"/>
          <w:szCs w:val="22"/>
        </w:rPr>
        <w:t>Theory &amp; Society</w:t>
      </w:r>
      <w:r>
        <w:rPr>
          <w:sz w:val="22"/>
          <w:szCs w:val="22"/>
        </w:rPr>
        <w:t xml:space="preserve"> 37: 271-310. </w:t>
      </w:r>
    </w:p>
    <w:p w14:paraId="4760370E" w14:textId="77777777" w:rsidR="00D00B16" w:rsidRDefault="00365F6D">
      <w:pPr>
        <w:ind w:left="720" w:hanging="720"/>
        <w:rPr>
          <w:sz w:val="22"/>
          <w:szCs w:val="22"/>
        </w:rPr>
      </w:pPr>
      <w:proofErr w:type="spellStart"/>
      <w:r>
        <w:rPr>
          <w:sz w:val="22"/>
          <w:szCs w:val="22"/>
        </w:rPr>
        <w:t>Anheier</w:t>
      </w:r>
      <w:proofErr w:type="spellEnd"/>
      <w:r>
        <w:rPr>
          <w:sz w:val="22"/>
          <w:szCs w:val="22"/>
        </w:rPr>
        <w:t xml:space="preserve">, Helmut, and David Hammack, eds. 2010. </w:t>
      </w:r>
      <w:r>
        <w:rPr>
          <w:i/>
          <w:sz w:val="22"/>
          <w:szCs w:val="22"/>
        </w:rPr>
        <w:t>American Foundations: Roles and Contributions</w:t>
      </w:r>
      <w:r>
        <w:rPr>
          <w:sz w:val="22"/>
          <w:szCs w:val="22"/>
        </w:rPr>
        <w:t xml:space="preserve">. Washington, D.C.: The Brookings Institution. </w:t>
      </w:r>
    </w:p>
    <w:p w14:paraId="512CEF0C" w14:textId="77777777" w:rsidR="00D00B16" w:rsidRDefault="00365F6D">
      <w:pPr>
        <w:ind w:left="720" w:hanging="720"/>
        <w:rPr>
          <w:sz w:val="22"/>
          <w:szCs w:val="22"/>
        </w:rPr>
      </w:pPr>
      <w:proofErr w:type="spellStart"/>
      <w:r>
        <w:rPr>
          <w:sz w:val="22"/>
          <w:szCs w:val="22"/>
        </w:rPr>
        <w:t>Askartova</w:t>
      </w:r>
      <w:proofErr w:type="spellEnd"/>
      <w:r>
        <w:rPr>
          <w:sz w:val="22"/>
          <w:szCs w:val="22"/>
        </w:rPr>
        <w:t xml:space="preserve">, </w:t>
      </w:r>
      <w:proofErr w:type="spellStart"/>
      <w:r>
        <w:rPr>
          <w:sz w:val="22"/>
          <w:szCs w:val="22"/>
        </w:rPr>
        <w:t>Sada</w:t>
      </w:r>
      <w:proofErr w:type="spellEnd"/>
      <w:r>
        <w:rPr>
          <w:sz w:val="22"/>
          <w:szCs w:val="22"/>
        </w:rPr>
        <w:t xml:space="preserve">. 2003. “In Search of Legitimacy: Peace Grant Making of U.S. Philanthropic Foundations, 1988-1996.” </w:t>
      </w:r>
      <w:r>
        <w:rPr>
          <w:i/>
          <w:sz w:val="22"/>
          <w:szCs w:val="22"/>
        </w:rPr>
        <w:t>Nonprofit and Voluntary Sector Quarterly</w:t>
      </w:r>
      <w:r>
        <w:rPr>
          <w:sz w:val="22"/>
          <w:szCs w:val="22"/>
        </w:rPr>
        <w:t xml:space="preserve"> 32(1): 25-46. </w:t>
      </w:r>
    </w:p>
    <w:p w14:paraId="43DB8CD4" w14:textId="77777777" w:rsidR="00D00B16" w:rsidRDefault="00365F6D">
      <w:pPr>
        <w:ind w:left="720" w:hanging="720"/>
        <w:rPr>
          <w:sz w:val="22"/>
          <w:szCs w:val="22"/>
        </w:rPr>
      </w:pPr>
      <w:r>
        <w:rPr>
          <w:sz w:val="22"/>
          <w:szCs w:val="22"/>
        </w:rPr>
        <w:t xml:space="preserve">Barman, Emily, and Heather </w:t>
      </w:r>
      <w:proofErr w:type="spellStart"/>
      <w:r>
        <w:rPr>
          <w:sz w:val="22"/>
          <w:szCs w:val="22"/>
        </w:rPr>
        <w:t>MacIndoe</w:t>
      </w:r>
      <w:proofErr w:type="spellEnd"/>
      <w:r>
        <w:rPr>
          <w:sz w:val="22"/>
          <w:szCs w:val="22"/>
        </w:rPr>
        <w:t xml:space="preserve">. 2012. “Institutional Pressures and Organizational Capacity: The Case of Outcome Measurement.” </w:t>
      </w:r>
      <w:r>
        <w:rPr>
          <w:i/>
          <w:sz w:val="22"/>
          <w:szCs w:val="22"/>
        </w:rPr>
        <w:t>Sociological Forum</w:t>
      </w:r>
      <w:r>
        <w:rPr>
          <w:sz w:val="22"/>
          <w:szCs w:val="22"/>
        </w:rPr>
        <w:t xml:space="preserve"> 27: 70-93. </w:t>
      </w:r>
    </w:p>
    <w:p w14:paraId="58B68951" w14:textId="77777777" w:rsidR="00D00B16" w:rsidRDefault="00365F6D">
      <w:pPr>
        <w:ind w:left="720" w:hanging="720"/>
        <w:rPr>
          <w:sz w:val="22"/>
          <w:szCs w:val="22"/>
        </w:rPr>
      </w:pPr>
      <w:r>
        <w:rPr>
          <w:sz w:val="22"/>
          <w:szCs w:val="22"/>
        </w:rPr>
        <w:t xml:space="preserve">Bartley, Tim. 2007. “How Foundations Shape Social Movements: The Construction of an Organizational Field and the Rise of Forest Certification.” </w:t>
      </w:r>
      <w:r>
        <w:rPr>
          <w:i/>
          <w:sz w:val="22"/>
          <w:szCs w:val="22"/>
        </w:rPr>
        <w:t>Social Problems</w:t>
      </w:r>
      <w:r>
        <w:rPr>
          <w:sz w:val="22"/>
          <w:szCs w:val="22"/>
        </w:rPr>
        <w:t xml:space="preserve"> 54(3): 229-255. </w:t>
      </w:r>
    </w:p>
    <w:p w14:paraId="6DBEBC45" w14:textId="77777777" w:rsidR="00D00B16" w:rsidRDefault="00365F6D">
      <w:pPr>
        <w:ind w:left="720" w:hanging="720"/>
        <w:rPr>
          <w:sz w:val="22"/>
          <w:szCs w:val="22"/>
        </w:rPr>
      </w:pPr>
      <w:r>
        <w:rPr>
          <w:sz w:val="22"/>
          <w:szCs w:val="22"/>
        </w:rPr>
        <w:t xml:space="preserve">Bass, Garry, David </w:t>
      </w:r>
      <w:proofErr w:type="spellStart"/>
      <w:r>
        <w:rPr>
          <w:sz w:val="22"/>
          <w:szCs w:val="22"/>
        </w:rPr>
        <w:t>Arons</w:t>
      </w:r>
      <w:proofErr w:type="spellEnd"/>
      <w:r>
        <w:rPr>
          <w:sz w:val="22"/>
          <w:szCs w:val="22"/>
        </w:rPr>
        <w:t xml:space="preserve">, et al. 2007. </w:t>
      </w:r>
      <w:r>
        <w:rPr>
          <w:i/>
          <w:sz w:val="22"/>
          <w:szCs w:val="22"/>
        </w:rPr>
        <w:t xml:space="preserve">Seen </w:t>
      </w:r>
      <w:proofErr w:type="gramStart"/>
      <w:r>
        <w:rPr>
          <w:i/>
          <w:sz w:val="22"/>
          <w:szCs w:val="22"/>
        </w:rPr>
        <w:t>But</w:t>
      </w:r>
      <w:proofErr w:type="gramEnd"/>
      <w:r>
        <w:rPr>
          <w:i/>
          <w:sz w:val="22"/>
          <w:szCs w:val="22"/>
        </w:rPr>
        <w:t xml:space="preserve"> Not Heard</w:t>
      </w:r>
      <w:r>
        <w:rPr>
          <w:sz w:val="22"/>
          <w:szCs w:val="22"/>
        </w:rPr>
        <w:t xml:space="preserve">. Washington, D.C.: Aspen Institute. </w:t>
      </w:r>
    </w:p>
    <w:p w14:paraId="494986B9" w14:textId="77777777" w:rsidR="00D00B16" w:rsidRDefault="00365F6D">
      <w:pPr>
        <w:ind w:left="720" w:hanging="720"/>
        <w:rPr>
          <w:sz w:val="22"/>
          <w:szCs w:val="22"/>
        </w:rPr>
      </w:pPr>
      <w:r>
        <w:rPr>
          <w:sz w:val="22"/>
          <w:szCs w:val="22"/>
        </w:rPr>
        <w:t xml:space="preserve">Battilana, Julie, and </w:t>
      </w:r>
      <w:proofErr w:type="spellStart"/>
      <w:r>
        <w:rPr>
          <w:sz w:val="22"/>
          <w:szCs w:val="22"/>
        </w:rPr>
        <w:t>Slivia</w:t>
      </w:r>
      <w:proofErr w:type="spellEnd"/>
      <w:r>
        <w:rPr>
          <w:sz w:val="22"/>
          <w:szCs w:val="22"/>
        </w:rPr>
        <w:t xml:space="preserve"> Dorado. 2010. “Building Sustainable Hybrid Organizations: The Case of Commercial Microfinance Organizations.” </w:t>
      </w:r>
      <w:r>
        <w:rPr>
          <w:i/>
          <w:sz w:val="22"/>
          <w:szCs w:val="22"/>
        </w:rPr>
        <w:t>Academy of Management Journal</w:t>
      </w:r>
      <w:r>
        <w:rPr>
          <w:sz w:val="22"/>
          <w:szCs w:val="22"/>
        </w:rPr>
        <w:t xml:space="preserve"> 53(6): 1419-1440.  </w:t>
      </w:r>
    </w:p>
    <w:p w14:paraId="24C2312A" w14:textId="77777777" w:rsidR="00D00B16" w:rsidRDefault="00365F6D">
      <w:pPr>
        <w:ind w:left="720" w:hanging="720"/>
        <w:rPr>
          <w:sz w:val="22"/>
          <w:szCs w:val="22"/>
        </w:rPr>
      </w:pPr>
      <w:r>
        <w:rPr>
          <w:sz w:val="22"/>
          <w:szCs w:val="22"/>
        </w:rPr>
        <w:t xml:space="preserve">Berry, Jeffrey M. 1999. </w:t>
      </w:r>
      <w:r>
        <w:rPr>
          <w:i/>
          <w:sz w:val="22"/>
          <w:szCs w:val="22"/>
        </w:rPr>
        <w:t xml:space="preserve">The New Liberalism: The Rising Power of Citizen Groups. </w:t>
      </w:r>
      <w:r>
        <w:rPr>
          <w:sz w:val="22"/>
          <w:szCs w:val="22"/>
        </w:rPr>
        <w:t>Washington D.C.: Brookings.</w:t>
      </w:r>
    </w:p>
    <w:p w14:paraId="48E4D673" w14:textId="77777777" w:rsidR="00D00B16" w:rsidRDefault="00365F6D">
      <w:pPr>
        <w:ind w:left="720" w:hanging="720"/>
        <w:rPr>
          <w:sz w:val="22"/>
          <w:szCs w:val="22"/>
        </w:rPr>
      </w:pPr>
      <w:r>
        <w:rPr>
          <w:sz w:val="22"/>
          <w:szCs w:val="22"/>
        </w:rPr>
        <w:t xml:space="preserve">Berry, Jeffrey M., and David F. </w:t>
      </w:r>
      <w:proofErr w:type="spellStart"/>
      <w:r>
        <w:rPr>
          <w:sz w:val="22"/>
          <w:szCs w:val="22"/>
        </w:rPr>
        <w:t>Arons</w:t>
      </w:r>
      <w:proofErr w:type="spellEnd"/>
      <w:r>
        <w:rPr>
          <w:sz w:val="22"/>
          <w:szCs w:val="22"/>
        </w:rPr>
        <w:t xml:space="preserve">. 2005. </w:t>
      </w:r>
      <w:r>
        <w:rPr>
          <w:i/>
          <w:sz w:val="22"/>
          <w:szCs w:val="22"/>
        </w:rPr>
        <w:t>A Voice for Nonprofits</w:t>
      </w:r>
      <w:r>
        <w:rPr>
          <w:sz w:val="22"/>
          <w:szCs w:val="22"/>
        </w:rPr>
        <w:t>. Washington D.C.: Brookings.</w:t>
      </w:r>
    </w:p>
    <w:p w14:paraId="0E03CA7A" w14:textId="77777777" w:rsidR="00D00B16" w:rsidRDefault="00365F6D">
      <w:pPr>
        <w:ind w:left="720" w:hanging="720"/>
        <w:rPr>
          <w:sz w:val="22"/>
          <w:szCs w:val="22"/>
        </w:rPr>
      </w:pPr>
      <w:proofErr w:type="spellStart"/>
      <w:r>
        <w:rPr>
          <w:sz w:val="22"/>
          <w:szCs w:val="22"/>
        </w:rPr>
        <w:t>Brickson</w:t>
      </w:r>
      <w:proofErr w:type="spellEnd"/>
      <w:r>
        <w:rPr>
          <w:sz w:val="22"/>
          <w:szCs w:val="22"/>
        </w:rPr>
        <w:t xml:space="preserve">, Shelley. 2005. “Organizational Identity Orientation: Forging a Link between Organizational Identity and Organizations’ Relations with Stakeholders.” </w:t>
      </w:r>
      <w:r>
        <w:rPr>
          <w:i/>
          <w:sz w:val="22"/>
          <w:szCs w:val="22"/>
        </w:rPr>
        <w:t>Administrative Science Quarterly</w:t>
      </w:r>
      <w:r>
        <w:rPr>
          <w:sz w:val="22"/>
          <w:szCs w:val="22"/>
        </w:rPr>
        <w:t xml:space="preserve"> 50(4): 576-609. </w:t>
      </w:r>
    </w:p>
    <w:p w14:paraId="427B75D9" w14:textId="77777777" w:rsidR="00D00B16" w:rsidRDefault="00365F6D">
      <w:pPr>
        <w:ind w:left="720" w:hanging="720"/>
        <w:rPr>
          <w:sz w:val="22"/>
          <w:szCs w:val="22"/>
        </w:rPr>
      </w:pPr>
      <w:r>
        <w:rPr>
          <w:sz w:val="22"/>
          <w:szCs w:val="22"/>
        </w:rPr>
        <w:t xml:space="preserve">Brest, Paul, and Hal Harvey. 2008. </w:t>
      </w:r>
      <w:r>
        <w:rPr>
          <w:i/>
          <w:sz w:val="22"/>
          <w:szCs w:val="22"/>
        </w:rPr>
        <w:t>Money Well Spent: A Strategic Plan for Smart Philanthropy</w:t>
      </w:r>
      <w:r>
        <w:rPr>
          <w:sz w:val="22"/>
          <w:szCs w:val="22"/>
        </w:rPr>
        <w:t>. New York: Bloomberg Press.</w:t>
      </w:r>
    </w:p>
    <w:p w14:paraId="1564E345" w14:textId="77777777" w:rsidR="00D00B16" w:rsidRDefault="00365F6D">
      <w:pPr>
        <w:ind w:left="720" w:hanging="720"/>
        <w:rPr>
          <w:sz w:val="22"/>
          <w:szCs w:val="22"/>
        </w:rPr>
      </w:pPr>
      <w:r>
        <w:rPr>
          <w:sz w:val="22"/>
          <w:szCs w:val="22"/>
        </w:rPr>
        <w:t xml:space="preserve">Bromley, Patricia, and John W. Meyer. 2015. </w:t>
      </w:r>
      <w:r>
        <w:rPr>
          <w:i/>
          <w:sz w:val="22"/>
          <w:szCs w:val="22"/>
        </w:rPr>
        <w:t>Hyper-Organization: Global Organizational Expansion</w:t>
      </w:r>
      <w:r>
        <w:rPr>
          <w:sz w:val="22"/>
          <w:szCs w:val="22"/>
        </w:rPr>
        <w:t xml:space="preserve">. Oxford: Oxford University Press. </w:t>
      </w:r>
    </w:p>
    <w:p w14:paraId="5A6F94F3" w14:textId="77777777" w:rsidR="00D00B16" w:rsidRDefault="00365F6D">
      <w:pPr>
        <w:ind w:left="720" w:hanging="720"/>
        <w:rPr>
          <w:sz w:val="22"/>
          <w:szCs w:val="22"/>
        </w:rPr>
      </w:pPr>
      <w:proofErr w:type="spellStart"/>
      <w:r>
        <w:rPr>
          <w:sz w:val="22"/>
          <w:szCs w:val="22"/>
        </w:rPr>
        <w:t>Brulle</w:t>
      </w:r>
      <w:proofErr w:type="spellEnd"/>
      <w:r>
        <w:rPr>
          <w:sz w:val="22"/>
          <w:szCs w:val="22"/>
        </w:rPr>
        <w:t xml:space="preserve">, Robert. 2014. “Institutionalizing Delay: Foundation Funding and the Creation of US Climate Change: Countermovement Organizations.” </w:t>
      </w:r>
      <w:r>
        <w:rPr>
          <w:i/>
          <w:sz w:val="22"/>
          <w:szCs w:val="22"/>
        </w:rPr>
        <w:t>Climactic Change</w:t>
      </w:r>
      <w:r>
        <w:rPr>
          <w:sz w:val="22"/>
          <w:szCs w:val="22"/>
        </w:rPr>
        <w:t xml:space="preserve"> 122: 681-694. </w:t>
      </w:r>
    </w:p>
    <w:p w14:paraId="05B201AD" w14:textId="77777777" w:rsidR="00D00B16" w:rsidRDefault="00365F6D">
      <w:pPr>
        <w:ind w:left="720" w:hanging="720"/>
        <w:rPr>
          <w:sz w:val="22"/>
          <w:szCs w:val="22"/>
        </w:rPr>
      </w:pPr>
      <w:r>
        <w:rPr>
          <w:sz w:val="22"/>
          <w:szCs w:val="22"/>
        </w:rPr>
        <w:t xml:space="preserve">Callahan, David. 2017. </w:t>
      </w:r>
      <w:r>
        <w:rPr>
          <w:i/>
          <w:sz w:val="22"/>
          <w:szCs w:val="22"/>
        </w:rPr>
        <w:t>The Givers: Wealth, Power, and Philanthropy in a New Gilded Age</w:t>
      </w:r>
      <w:r>
        <w:rPr>
          <w:sz w:val="22"/>
          <w:szCs w:val="22"/>
        </w:rPr>
        <w:t>. New York: Alfred Knopf.</w:t>
      </w:r>
    </w:p>
    <w:p w14:paraId="18F703B2" w14:textId="77777777" w:rsidR="00D00B16" w:rsidRDefault="00365F6D">
      <w:pPr>
        <w:ind w:left="720" w:hanging="720"/>
        <w:rPr>
          <w:sz w:val="22"/>
          <w:szCs w:val="22"/>
        </w:rPr>
      </w:pPr>
      <w:r>
        <w:rPr>
          <w:sz w:val="22"/>
          <w:szCs w:val="22"/>
        </w:rPr>
        <w:t xml:space="preserve">Carson, Emmett. 2001. “The Role of Indigenous and Institutional Philanthropy in Advancing Social Justice.” Pp. 248-274 in C. </w:t>
      </w:r>
      <w:proofErr w:type="spellStart"/>
      <w:r>
        <w:rPr>
          <w:sz w:val="22"/>
          <w:szCs w:val="22"/>
        </w:rPr>
        <w:t>Clotfelter</w:t>
      </w:r>
      <w:proofErr w:type="spellEnd"/>
      <w:r>
        <w:rPr>
          <w:sz w:val="22"/>
          <w:szCs w:val="22"/>
        </w:rPr>
        <w:t xml:space="preserve"> and T. Ehrlich, eds., </w:t>
      </w:r>
      <w:r>
        <w:rPr>
          <w:i/>
          <w:sz w:val="22"/>
          <w:szCs w:val="22"/>
        </w:rPr>
        <w:t>Philanthropy and the Nonprofit Sector in a Changing America</w:t>
      </w:r>
      <w:r>
        <w:rPr>
          <w:sz w:val="22"/>
          <w:szCs w:val="22"/>
        </w:rPr>
        <w:t xml:space="preserve">. Bloomington: Indiana University Press.  </w:t>
      </w:r>
    </w:p>
    <w:p w14:paraId="57557FD5" w14:textId="77777777" w:rsidR="00D00B16" w:rsidRDefault="00365F6D">
      <w:pPr>
        <w:ind w:left="720" w:hanging="720"/>
        <w:rPr>
          <w:sz w:val="22"/>
          <w:szCs w:val="22"/>
        </w:rPr>
      </w:pPr>
      <w:proofErr w:type="spellStart"/>
      <w:r>
        <w:rPr>
          <w:sz w:val="22"/>
          <w:szCs w:val="22"/>
        </w:rPr>
        <w:t>Chasins</w:t>
      </w:r>
      <w:proofErr w:type="spellEnd"/>
      <w:r>
        <w:rPr>
          <w:sz w:val="22"/>
          <w:szCs w:val="22"/>
        </w:rPr>
        <w:t xml:space="preserve">, Sarah, </w:t>
      </w:r>
      <w:proofErr w:type="spellStart"/>
      <w:r>
        <w:rPr>
          <w:sz w:val="22"/>
          <w:szCs w:val="22"/>
        </w:rPr>
        <w:t>Shaon</w:t>
      </w:r>
      <w:proofErr w:type="spellEnd"/>
      <w:r>
        <w:rPr>
          <w:sz w:val="22"/>
          <w:szCs w:val="22"/>
        </w:rPr>
        <w:t xml:space="preserve"> Barman, Rastislav </w:t>
      </w:r>
      <w:proofErr w:type="spellStart"/>
      <w:r>
        <w:rPr>
          <w:sz w:val="22"/>
          <w:szCs w:val="22"/>
        </w:rPr>
        <w:t>Bodik</w:t>
      </w:r>
      <w:proofErr w:type="spellEnd"/>
      <w:r>
        <w:rPr>
          <w:sz w:val="22"/>
          <w:szCs w:val="22"/>
        </w:rPr>
        <w:t xml:space="preserve">, and </w:t>
      </w:r>
      <w:proofErr w:type="spellStart"/>
      <w:r>
        <w:rPr>
          <w:sz w:val="22"/>
          <w:szCs w:val="22"/>
        </w:rPr>
        <w:t>Sumit</w:t>
      </w:r>
      <w:proofErr w:type="spellEnd"/>
      <w:r>
        <w:rPr>
          <w:sz w:val="22"/>
          <w:szCs w:val="22"/>
        </w:rPr>
        <w:t xml:space="preserve"> </w:t>
      </w:r>
      <w:proofErr w:type="spellStart"/>
      <w:r>
        <w:rPr>
          <w:sz w:val="22"/>
          <w:szCs w:val="22"/>
        </w:rPr>
        <w:t>Gulwani</w:t>
      </w:r>
      <w:proofErr w:type="spellEnd"/>
      <w:r>
        <w:rPr>
          <w:sz w:val="22"/>
          <w:szCs w:val="22"/>
        </w:rPr>
        <w:t>. 2015. “Browser Record and Replay as a Building Block for End-User Web Automation Tools.” Proceedings of the 24th International Conference on World Wide Web: 179-182.</w:t>
      </w:r>
    </w:p>
    <w:p w14:paraId="0615E2C1" w14:textId="77777777" w:rsidR="00D00B16" w:rsidRDefault="00365F6D">
      <w:pPr>
        <w:ind w:left="720" w:hanging="720"/>
        <w:rPr>
          <w:sz w:val="22"/>
          <w:szCs w:val="22"/>
        </w:rPr>
      </w:pPr>
      <w:r>
        <w:rPr>
          <w:sz w:val="22"/>
          <w:szCs w:val="22"/>
        </w:rPr>
        <w:t xml:space="preserve">Community Foundation Atlas. 2017. “U.S. Community Foundations.” Website available at:  </w:t>
      </w:r>
      <w:hyperlink r:id="rId8" w:anchor="directory=1">
        <w:r>
          <w:rPr>
            <w:color w:val="0563C1"/>
            <w:sz w:val="22"/>
            <w:szCs w:val="22"/>
            <w:u w:val="single"/>
          </w:rPr>
          <w:t>http://communityfoundationatlas.org/explore/#directory=1</w:t>
        </w:r>
      </w:hyperlink>
      <w:r>
        <w:rPr>
          <w:sz w:val="22"/>
          <w:szCs w:val="22"/>
        </w:rPr>
        <w:t xml:space="preserve">  </w:t>
      </w:r>
    </w:p>
    <w:p w14:paraId="10A8A776" w14:textId="77777777" w:rsidR="00D00B16" w:rsidRDefault="00365F6D">
      <w:pPr>
        <w:ind w:left="720" w:hanging="720"/>
        <w:rPr>
          <w:sz w:val="22"/>
          <w:szCs w:val="22"/>
        </w:rPr>
      </w:pPr>
      <w:r>
        <w:rPr>
          <w:sz w:val="22"/>
          <w:szCs w:val="22"/>
        </w:rPr>
        <w:t xml:space="preserve">Council on Foundations. 2017. “Community Foundation Locator.” Website available at: </w:t>
      </w:r>
      <w:hyperlink r:id="rId9">
        <w:r>
          <w:rPr>
            <w:color w:val="0563C1"/>
            <w:sz w:val="22"/>
            <w:szCs w:val="22"/>
            <w:u w:val="single"/>
          </w:rPr>
          <w:t>http://www.cof.org/community-foundation-locator</w:t>
        </w:r>
      </w:hyperlink>
    </w:p>
    <w:p w14:paraId="312D06D3" w14:textId="77777777" w:rsidR="00D00B16" w:rsidRDefault="00365F6D">
      <w:pPr>
        <w:ind w:left="720" w:hanging="720"/>
        <w:rPr>
          <w:sz w:val="22"/>
          <w:szCs w:val="22"/>
        </w:rPr>
      </w:pPr>
      <w:r>
        <w:rPr>
          <w:sz w:val="22"/>
          <w:szCs w:val="22"/>
        </w:rPr>
        <w:t xml:space="preserve">DiMaggio, Paul, and Walter Powell. 1983. “The Iron Cage Revisited: Institutional Isomorphism and Collective Rationality in Organizational Fields.” </w:t>
      </w:r>
      <w:r>
        <w:rPr>
          <w:i/>
          <w:sz w:val="22"/>
          <w:szCs w:val="22"/>
        </w:rPr>
        <w:t>American Sociological Review</w:t>
      </w:r>
      <w:r>
        <w:rPr>
          <w:sz w:val="22"/>
          <w:szCs w:val="22"/>
        </w:rPr>
        <w:t xml:space="preserve"> 48(2): 147-160.</w:t>
      </w:r>
    </w:p>
    <w:p w14:paraId="276BA5E5" w14:textId="77777777" w:rsidR="00D00B16" w:rsidRDefault="00365F6D">
      <w:pPr>
        <w:ind w:left="720" w:hanging="720"/>
        <w:rPr>
          <w:sz w:val="22"/>
          <w:szCs w:val="22"/>
        </w:rPr>
      </w:pPr>
      <w:proofErr w:type="spellStart"/>
      <w:r>
        <w:rPr>
          <w:sz w:val="22"/>
          <w:szCs w:val="22"/>
        </w:rPr>
        <w:t>Drori</w:t>
      </w:r>
      <w:proofErr w:type="spellEnd"/>
      <w:r>
        <w:rPr>
          <w:sz w:val="22"/>
          <w:szCs w:val="22"/>
        </w:rPr>
        <w:t xml:space="preserve">, Gili, John W. Meyer, and </w:t>
      </w:r>
      <w:proofErr w:type="spellStart"/>
      <w:r>
        <w:rPr>
          <w:sz w:val="22"/>
          <w:szCs w:val="22"/>
        </w:rPr>
        <w:t>Hokyu</w:t>
      </w:r>
      <w:proofErr w:type="spellEnd"/>
      <w:r>
        <w:rPr>
          <w:sz w:val="22"/>
          <w:szCs w:val="22"/>
        </w:rPr>
        <w:t xml:space="preserve"> Hwang, Eds. 2006. </w:t>
      </w:r>
      <w:r>
        <w:rPr>
          <w:i/>
          <w:sz w:val="22"/>
          <w:szCs w:val="22"/>
        </w:rPr>
        <w:t>Globalization and Organization: World Society and Organizational Change</w:t>
      </w:r>
      <w:r>
        <w:rPr>
          <w:sz w:val="22"/>
          <w:szCs w:val="22"/>
        </w:rPr>
        <w:t xml:space="preserve">. Oxford, UK: Oxford University Press. </w:t>
      </w:r>
    </w:p>
    <w:p w14:paraId="67C8027A" w14:textId="77777777" w:rsidR="00D00B16" w:rsidRDefault="00365F6D">
      <w:pPr>
        <w:ind w:left="720" w:hanging="720"/>
        <w:rPr>
          <w:sz w:val="22"/>
          <w:szCs w:val="22"/>
        </w:rPr>
      </w:pPr>
      <w:proofErr w:type="spellStart"/>
      <w:r>
        <w:rPr>
          <w:sz w:val="22"/>
          <w:szCs w:val="22"/>
        </w:rPr>
        <w:t>Drori</w:t>
      </w:r>
      <w:proofErr w:type="spellEnd"/>
      <w:r>
        <w:rPr>
          <w:sz w:val="22"/>
          <w:szCs w:val="22"/>
        </w:rPr>
        <w:t xml:space="preserve">, Gili, John W. Meyer, and </w:t>
      </w:r>
      <w:proofErr w:type="spellStart"/>
      <w:r>
        <w:rPr>
          <w:sz w:val="22"/>
          <w:szCs w:val="22"/>
        </w:rPr>
        <w:t>Hokyu</w:t>
      </w:r>
      <w:proofErr w:type="spellEnd"/>
      <w:r>
        <w:rPr>
          <w:sz w:val="22"/>
          <w:szCs w:val="22"/>
        </w:rPr>
        <w:t xml:space="preserve"> Hwang. 2009. “Global Organization: Rationalization and </w:t>
      </w:r>
      <w:proofErr w:type="spellStart"/>
      <w:r>
        <w:rPr>
          <w:sz w:val="22"/>
          <w:szCs w:val="22"/>
        </w:rPr>
        <w:t>Actorhood</w:t>
      </w:r>
      <w:proofErr w:type="spellEnd"/>
      <w:r>
        <w:rPr>
          <w:sz w:val="22"/>
          <w:szCs w:val="22"/>
        </w:rPr>
        <w:t xml:space="preserve"> as Dominant Scripts.” Pp. 17-43 in </w:t>
      </w:r>
      <w:r>
        <w:rPr>
          <w:i/>
          <w:sz w:val="22"/>
          <w:szCs w:val="22"/>
        </w:rPr>
        <w:t>Research in the Sociology of Organizations, Volume 27 (Institutions and Ideology)</w:t>
      </w:r>
      <w:r>
        <w:rPr>
          <w:sz w:val="22"/>
          <w:szCs w:val="22"/>
        </w:rPr>
        <w:t xml:space="preserve">. Emerald Group Publishing. </w:t>
      </w:r>
    </w:p>
    <w:p w14:paraId="7F13FCAD" w14:textId="77777777" w:rsidR="00D00B16" w:rsidRDefault="00365F6D">
      <w:pPr>
        <w:ind w:left="720" w:hanging="720"/>
        <w:rPr>
          <w:sz w:val="22"/>
          <w:szCs w:val="22"/>
        </w:rPr>
      </w:pPr>
      <w:r>
        <w:rPr>
          <w:sz w:val="22"/>
          <w:szCs w:val="22"/>
        </w:rPr>
        <w:t xml:space="preserve">Dur, Andreas and Gemma Mateo. 2016. </w:t>
      </w:r>
      <w:r>
        <w:rPr>
          <w:i/>
          <w:sz w:val="22"/>
          <w:szCs w:val="22"/>
        </w:rPr>
        <w:t>Insiders versus Outsiders: Interest Group Politics in Multilevel Europe.</w:t>
      </w:r>
      <w:r>
        <w:rPr>
          <w:sz w:val="22"/>
          <w:szCs w:val="22"/>
        </w:rPr>
        <w:t xml:space="preserve"> Oxford, UK: Oxford University Press.</w:t>
      </w:r>
    </w:p>
    <w:p w14:paraId="3CD16A71" w14:textId="77777777" w:rsidR="00D00B16" w:rsidRDefault="00365F6D">
      <w:pPr>
        <w:ind w:left="720" w:hanging="720"/>
        <w:rPr>
          <w:sz w:val="22"/>
          <w:szCs w:val="22"/>
        </w:rPr>
      </w:pPr>
      <w:r>
        <w:rPr>
          <w:sz w:val="22"/>
          <w:szCs w:val="22"/>
        </w:rPr>
        <w:t xml:space="preserve">Edwards, Michael. 2008. </w:t>
      </w:r>
      <w:r w:rsidRPr="009D370D">
        <w:rPr>
          <w:i/>
          <w:sz w:val="22"/>
          <w:szCs w:val="22"/>
        </w:rPr>
        <w:t>Small Change: Why Business Won’t Save the World</w:t>
      </w:r>
      <w:r>
        <w:rPr>
          <w:sz w:val="22"/>
          <w:szCs w:val="22"/>
        </w:rPr>
        <w:t>. San Francisco: Demos.</w:t>
      </w:r>
    </w:p>
    <w:p w14:paraId="48ED329D" w14:textId="77777777" w:rsidR="00D00B16" w:rsidRDefault="00365F6D">
      <w:pPr>
        <w:ind w:left="720" w:hanging="720"/>
        <w:rPr>
          <w:sz w:val="22"/>
          <w:szCs w:val="22"/>
        </w:rPr>
      </w:pPr>
      <w:r>
        <w:rPr>
          <w:sz w:val="22"/>
          <w:szCs w:val="22"/>
        </w:rPr>
        <w:t xml:space="preserve">Eikenberry, Angela, and Jodie </w:t>
      </w:r>
      <w:proofErr w:type="spellStart"/>
      <w:r>
        <w:rPr>
          <w:sz w:val="22"/>
          <w:szCs w:val="22"/>
        </w:rPr>
        <w:t>Kluver</w:t>
      </w:r>
      <w:proofErr w:type="spellEnd"/>
      <w:r>
        <w:rPr>
          <w:sz w:val="22"/>
          <w:szCs w:val="22"/>
        </w:rPr>
        <w:t xml:space="preserve">. 2004. “The Marketization of the Nonprofit Sector: Civil Society at Risk?” </w:t>
      </w:r>
      <w:r w:rsidRPr="009D370D">
        <w:rPr>
          <w:i/>
          <w:sz w:val="22"/>
          <w:szCs w:val="22"/>
        </w:rPr>
        <w:t>Public Administration Review</w:t>
      </w:r>
      <w:r>
        <w:rPr>
          <w:sz w:val="22"/>
          <w:szCs w:val="22"/>
        </w:rPr>
        <w:t xml:space="preserve"> 64(2): 132-140.</w:t>
      </w:r>
    </w:p>
    <w:p w14:paraId="4EBB8867" w14:textId="77777777" w:rsidR="00D00B16" w:rsidRDefault="00365F6D">
      <w:pPr>
        <w:ind w:left="720" w:hanging="720"/>
        <w:rPr>
          <w:sz w:val="22"/>
          <w:szCs w:val="22"/>
        </w:rPr>
      </w:pPr>
      <w:r>
        <w:rPr>
          <w:sz w:val="22"/>
          <w:szCs w:val="22"/>
        </w:rPr>
        <w:t xml:space="preserve">Fleishman, Joel. 2007. </w:t>
      </w:r>
      <w:r>
        <w:rPr>
          <w:i/>
          <w:sz w:val="22"/>
          <w:szCs w:val="22"/>
        </w:rPr>
        <w:t>The Foundation: A Great American Secret</w:t>
      </w:r>
      <w:r>
        <w:rPr>
          <w:sz w:val="22"/>
          <w:szCs w:val="22"/>
        </w:rPr>
        <w:t>. New York: Public Affairs.</w:t>
      </w:r>
    </w:p>
    <w:p w14:paraId="0B6CA951" w14:textId="77777777" w:rsidR="00D00B16" w:rsidRDefault="00365F6D">
      <w:pPr>
        <w:ind w:left="720" w:hanging="720"/>
        <w:rPr>
          <w:sz w:val="22"/>
          <w:szCs w:val="22"/>
        </w:rPr>
      </w:pPr>
      <w:r>
        <w:rPr>
          <w:sz w:val="22"/>
          <w:szCs w:val="22"/>
        </w:rPr>
        <w:t xml:space="preserve">Foundation Center. 2017. “Foundation Stats.” Available at: </w:t>
      </w:r>
      <w:hyperlink r:id="rId10">
        <w:r>
          <w:rPr>
            <w:color w:val="0563C1"/>
            <w:sz w:val="22"/>
            <w:szCs w:val="22"/>
            <w:u w:val="single"/>
          </w:rPr>
          <w:t>http://data.foundationcenter.org/</w:t>
        </w:r>
      </w:hyperlink>
      <w:r>
        <w:rPr>
          <w:sz w:val="22"/>
          <w:szCs w:val="22"/>
        </w:rPr>
        <w:t xml:space="preserve"> </w:t>
      </w:r>
    </w:p>
    <w:p w14:paraId="62A8505B" w14:textId="77777777" w:rsidR="00D00B16" w:rsidRDefault="00365F6D">
      <w:pPr>
        <w:ind w:left="720" w:hanging="720"/>
        <w:rPr>
          <w:sz w:val="22"/>
          <w:szCs w:val="22"/>
        </w:rPr>
      </w:pPr>
      <w:r>
        <w:rPr>
          <w:sz w:val="22"/>
          <w:szCs w:val="22"/>
        </w:rPr>
        <w:lastRenderedPageBreak/>
        <w:t xml:space="preserve">Foundation Center. 2017a. “Foundation Directory Online.” Available at: </w:t>
      </w:r>
      <w:hyperlink r:id="rId11">
        <w:r>
          <w:rPr>
            <w:color w:val="0563C1"/>
            <w:sz w:val="22"/>
            <w:szCs w:val="22"/>
            <w:u w:val="single"/>
          </w:rPr>
          <w:t>https://fconline.foundationcenter.org/</w:t>
        </w:r>
      </w:hyperlink>
      <w:r>
        <w:rPr>
          <w:sz w:val="22"/>
          <w:szCs w:val="22"/>
        </w:rPr>
        <w:t xml:space="preserve"> </w:t>
      </w:r>
    </w:p>
    <w:p w14:paraId="6E1F9B48" w14:textId="77777777" w:rsidR="00D00B16" w:rsidRDefault="00365F6D">
      <w:pPr>
        <w:ind w:left="720" w:hanging="720"/>
        <w:rPr>
          <w:sz w:val="22"/>
          <w:szCs w:val="22"/>
        </w:rPr>
      </w:pPr>
      <w:r>
        <w:rPr>
          <w:sz w:val="22"/>
          <w:szCs w:val="22"/>
        </w:rPr>
        <w:t xml:space="preserve">Foundation Center. 2011. </w:t>
      </w:r>
      <w:r>
        <w:rPr>
          <w:i/>
          <w:sz w:val="22"/>
          <w:szCs w:val="22"/>
        </w:rPr>
        <w:t>Key Facts on Foundations’ Public Policy-Related Activities</w:t>
      </w:r>
      <w:r>
        <w:rPr>
          <w:sz w:val="22"/>
          <w:szCs w:val="22"/>
        </w:rPr>
        <w:t xml:space="preserve">. Washington, D.C.: Foundation Center. </w:t>
      </w:r>
    </w:p>
    <w:p w14:paraId="4D950C65" w14:textId="77777777" w:rsidR="00D00B16" w:rsidRDefault="00365F6D">
      <w:pPr>
        <w:ind w:left="720" w:hanging="720"/>
        <w:rPr>
          <w:sz w:val="22"/>
          <w:szCs w:val="22"/>
        </w:rPr>
      </w:pPr>
      <w:r>
        <w:rPr>
          <w:sz w:val="22"/>
          <w:szCs w:val="22"/>
        </w:rPr>
        <w:t xml:space="preserve">Foundation Center. 2010. </w:t>
      </w:r>
      <w:r>
        <w:rPr>
          <w:i/>
          <w:sz w:val="22"/>
          <w:szCs w:val="22"/>
        </w:rPr>
        <w:t>Key Facts on Social Justice Grantmaking</w:t>
      </w:r>
      <w:r>
        <w:rPr>
          <w:sz w:val="22"/>
          <w:szCs w:val="22"/>
        </w:rPr>
        <w:t xml:space="preserve">. Washington, D.C.: Foundation Center. </w:t>
      </w:r>
    </w:p>
    <w:p w14:paraId="6A09669D" w14:textId="77777777" w:rsidR="00D00B16" w:rsidRDefault="00365F6D">
      <w:pPr>
        <w:ind w:left="720" w:hanging="720"/>
        <w:rPr>
          <w:sz w:val="22"/>
          <w:szCs w:val="22"/>
        </w:rPr>
      </w:pPr>
      <w:r>
        <w:rPr>
          <w:sz w:val="22"/>
          <w:szCs w:val="22"/>
        </w:rPr>
        <w:t xml:space="preserve">Friedland, Roger, and Robert R. Alford. 1991. “Bringing Society Back In: Symbols, Practices and Institutional Contradictions.” Pp. 232-263 in </w:t>
      </w:r>
      <w:r>
        <w:rPr>
          <w:i/>
          <w:sz w:val="22"/>
          <w:szCs w:val="22"/>
        </w:rPr>
        <w:t>New Institutionalism in Organizational Analysis</w:t>
      </w:r>
      <w:r>
        <w:rPr>
          <w:sz w:val="22"/>
          <w:szCs w:val="22"/>
        </w:rPr>
        <w:t xml:space="preserve">, edited by Walter W. Powell and Paul DiMaggio. Chicago: University of Chicago Press. </w:t>
      </w:r>
    </w:p>
    <w:p w14:paraId="05B292C5" w14:textId="77777777" w:rsidR="00D00B16" w:rsidRDefault="00365F6D">
      <w:pPr>
        <w:ind w:left="720" w:hanging="720"/>
        <w:rPr>
          <w:sz w:val="22"/>
          <w:szCs w:val="22"/>
        </w:rPr>
      </w:pPr>
      <w:proofErr w:type="spellStart"/>
      <w:r>
        <w:rPr>
          <w:sz w:val="22"/>
          <w:szCs w:val="22"/>
        </w:rPr>
        <w:t>Frumkin</w:t>
      </w:r>
      <w:proofErr w:type="spellEnd"/>
      <w:r>
        <w:rPr>
          <w:sz w:val="22"/>
          <w:szCs w:val="22"/>
        </w:rPr>
        <w:t xml:space="preserve">, Peter. 2006. </w:t>
      </w:r>
      <w:r>
        <w:rPr>
          <w:i/>
          <w:sz w:val="22"/>
          <w:szCs w:val="22"/>
        </w:rPr>
        <w:t>Strategic Giving: The Art and Science of Philanthropy</w:t>
      </w:r>
      <w:r>
        <w:rPr>
          <w:sz w:val="22"/>
          <w:szCs w:val="22"/>
        </w:rPr>
        <w:t xml:space="preserve">. Chicago: University of Chicago Press. </w:t>
      </w:r>
    </w:p>
    <w:p w14:paraId="2EB53B1A" w14:textId="77777777" w:rsidR="00D00B16" w:rsidRDefault="00365F6D">
      <w:pPr>
        <w:ind w:left="720" w:hanging="720"/>
        <w:rPr>
          <w:sz w:val="22"/>
          <w:szCs w:val="22"/>
        </w:rPr>
      </w:pPr>
      <w:proofErr w:type="spellStart"/>
      <w:r>
        <w:rPr>
          <w:sz w:val="22"/>
          <w:szCs w:val="22"/>
        </w:rPr>
        <w:t>Frumkin</w:t>
      </w:r>
      <w:proofErr w:type="spellEnd"/>
      <w:r>
        <w:rPr>
          <w:sz w:val="22"/>
          <w:szCs w:val="22"/>
        </w:rPr>
        <w:t xml:space="preserve">, Peter. 2002. </w:t>
      </w:r>
      <w:r>
        <w:rPr>
          <w:i/>
          <w:sz w:val="22"/>
          <w:szCs w:val="22"/>
        </w:rPr>
        <w:t>On Being Nonprofit</w:t>
      </w:r>
      <w:r>
        <w:rPr>
          <w:sz w:val="22"/>
          <w:szCs w:val="22"/>
        </w:rPr>
        <w:t>. Cambridge: Harvard University Press.</w:t>
      </w:r>
    </w:p>
    <w:p w14:paraId="79A91C60" w14:textId="77777777" w:rsidR="00D00B16" w:rsidRDefault="00365F6D">
      <w:pPr>
        <w:ind w:left="720" w:hanging="720"/>
        <w:rPr>
          <w:sz w:val="22"/>
          <w:szCs w:val="22"/>
        </w:rPr>
      </w:pPr>
      <w:proofErr w:type="spellStart"/>
      <w:r>
        <w:rPr>
          <w:sz w:val="22"/>
          <w:szCs w:val="22"/>
        </w:rPr>
        <w:t>Frumkin</w:t>
      </w:r>
      <w:proofErr w:type="spellEnd"/>
      <w:r>
        <w:rPr>
          <w:sz w:val="22"/>
          <w:szCs w:val="22"/>
        </w:rPr>
        <w:t xml:space="preserve">, Peter. 1998. “The Long Recoil from Regulation: Private Philanthropic Foundations and the Tax Reform Act of 1969.” </w:t>
      </w:r>
      <w:r>
        <w:rPr>
          <w:i/>
          <w:sz w:val="22"/>
          <w:szCs w:val="22"/>
        </w:rPr>
        <w:t>American Review of Public Administration</w:t>
      </w:r>
      <w:r>
        <w:rPr>
          <w:sz w:val="22"/>
          <w:szCs w:val="22"/>
        </w:rPr>
        <w:t xml:space="preserve"> 28(3): 266-286. </w:t>
      </w:r>
    </w:p>
    <w:p w14:paraId="67B27719" w14:textId="77777777" w:rsidR="00D00B16" w:rsidRDefault="00365F6D">
      <w:pPr>
        <w:ind w:left="720" w:hanging="720"/>
        <w:rPr>
          <w:sz w:val="22"/>
          <w:szCs w:val="22"/>
        </w:rPr>
      </w:pPr>
      <w:proofErr w:type="spellStart"/>
      <w:r>
        <w:rPr>
          <w:sz w:val="22"/>
          <w:szCs w:val="22"/>
        </w:rPr>
        <w:t>Fyall</w:t>
      </w:r>
      <w:proofErr w:type="spellEnd"/>
      <w:r>
        <w:rPr>
          <w:sz w:val="22"/>
          <w:szCs w:val="22"/>
        </w:rPr>
        <w:t xml:space="preserve">, Rachel. 2017. “Nonprofits as Advocates and Providers: A Conceptual Framework.” </w:t>
      </w:r>
      <w:r>
        <w:rPr>
          <w:i/>
          <w:sz w:val="22"/>
          <w:szCs w:val="22"/>
        </w:rPr>
        <w:t>Policy Studies Journal</w:t>
      </w:r>
      <w:r>
        <w:rPr>
          <w:sz w:val="22"/>
          <w:szCs w:val="22"/>
        </w:rPr>
        <w:t xml:space="preserve"> 41(1): 121-143.</w:t>
      </w:r>
    </w:p>
    <w:p w14:paraId="448FED66" w14:textId="77777777" w:rsidR="00D00B16" w:rsidRDefault="00365F6D">
      <w:pPr>
        <w:ind w:left="720" w:hanging="720"/>
        <w:rPr>
          <w:sz w:val="22"/>
          <w:szCs w:val="22"/>
        </w:rPr>
      </w:pPr>
      <w:proofErr w:type="spellStart"/>
      <w:r>
        <w:rPr>
          <w:sz w:val="22"/>
          <w:szCs w:val="22"/>
        </w:rPr>
        <w:t>Galaskiewicz</w:t>
      </w:r>
      <w:proofErr w:type="spellEnd"/>
      <w:r>
        <w:rPr>
          <w:sz w:val="22"/>
          <w:szCs w:val="22"/>
        </w:rPr>
        <w:t xml:space="preserve">, Joseph, Wolfgang Bielefeld, and Myron Dowell. 2006. “Networks and Organizational Growth: A Study of Community Based Nonprofits.” </w:t>
      </w:r>
      <w:r>
        <w:rPr>
          <w:i/>
          <w:sz w:val="22"/>
          <w:szCs w:val="22"/>
        </w:rPr>
        <w:t>Administrative Science Quarterly</w:t>
      </w:r>
      <w:r>
        <w:rPr>
          <w:sz w:val="22"/>
          <w:szCs w:val="22"/>
        </w:rPr>
        <w:t xml:space="preserve"> 51(3): 337-380. </w:t>
      </w:r>
    </w:p>
    <w:p w14:paraId="60932A6F" w14:textId="77777777" w:rsidR="00D00B16" w:rsidRDefault="00365F6D">
      <w:pPr>
        <w:ind w:left="720" w:hanging="720"/>
        <w:rPr>
          <w:sz w:val="22"/>
          <w:szCs w:val="22"/>
        </w:rPr>
      </w:pPr>
      <w:proofErr w:type="spellStart"/>
      <w:r>
        <w:rPr>
          <w:sz w:val="22"/>
          <w:szCs w:val="22"/>
        </w:rPr>
        <w:t>Garrow</w:t>
      </w:r>
      <w:proofErr w:type="spellEnd"/>
      <w:r>
        <w:rPr>
          <w:sz w:val="22"/>
          <w:szCs w:val="22"/>
        </w:rPr>
        <w:t xml:space="preserve">, Eve, and Oscar </w:t>
      </w:r>
      <w:proofErr w:type="spellStart"/>
      <w:r>
        <w:rPr>
          <w:sz w:val="22"/>
          <w:szCs w:val="22"/>
        </w:rPr>
        <w:t>Grusky</w:t>
      </w:r>
      <w:proofErr w:type="spellEnd"/>
      <w:r>
        <w:rPr>
          <w:sz w:val="22"/>
          <w:szCs w:val="22"/>
        </w:rPr>
        <w:t xml:space="preserve">. 2013. “Institutional Logic and Street-Level Discretion: The Case of HIV Test Counseling.” </w:t>
      </w:r>
      <w:r>
        <w:rPr>
          <w:i/>
          <w:sz w:val="22"/>
          <w:szCs w:val="22"/>
        </w:rPr>
        <w:t>Journal of Public Administration Research and Theory</w:t>
      </w:r>
      <w:r>
        <w:rPr>
          <w:sz w:val="22"/>
          <w:szCs w:val="22"/>
        </w:rPr>
        <w:t xml:space="preserve"> 23(1): 103-131. </w:t>
      </w:r>
    </w:p>
    <w:p w14:paraId="08CFD000" w14:textId="77777777" w:rsidR="00D00B16" w:rsidRDefault="00365F6D">
      <w:pPr>
        <w:ind w:left="720" w:hanging="720"/>
        <w:rPr>
          <w:sz w:val="22"/>
          <w:szCs w:val="22"/>
        </w:rPr>
      </w:pPr>
      <w:proofErr w:type="spellStart"/>
      <w:r>
        <w:rPr>
          <w:sz w:val="22"/>
          <w:szCs w:val="22"/>
        </w:rPr>
        <w:t>Gilens</w:t>
      </w:r>
      <w:proofErr w:type="spellEnd"/>
      <w:r>
        <w:rPr>
          <w:sz w:val="22"/>
          <w:szCs w:val="22"/>
        </w:rPr>
        <w:t xml:space="preserve">, Martin. 2012. </w:t>
      </w:r>
      <w:r>
        <w:rPr>
          <w:i/>
          <w:sz w:val="22"/>
          <w:szCs w:val="22"/>
        </w:rPr>
        <w:t>Affluence and Influence: Economic Inequality and Political Power in America</w:t>
      </w:r>
      <w:r>
        <w:rPr>
          <w:sz w:val="22"/>
          <w:szCs w:val="22"/>
        </w:rPr>
        <w:t xml:space="preserve">. Princeton: Princeton University Press. </w:t>
      </w:r>
    </w:p>
    <w:p w14:paraId="276B4427" w14:textId="77777777" w:rsidR="00D00B16" w:rsidRDefault="00365F6D">
      <w:pPr>
        <w:ind w:left="720" w:hanging="720"/>
        <w:rPr>
          <w:sz w:val="22"/>
          <w:szCs w:val="22"/>
        </w:rPr>
      </w:pPr>
      <w:proofErr w:type="spellStart"/>
      <w:r>
        <w:rPr>
          <w:sz w:val="22"/>
          <w:szCs w:val="22"/>
        </w:rPr>
        <w:t>Gioia</w:t>
      </w:r>
      <w:proofErr w:type="spellEnd"/>
      <w:r>
        <w:rPr>
          <w:sz w:val="22"/>
          <w:szCs w:val="22"/>
        </w:rPr>
        <w:t xml:space="preserve">, Dennis, </w:t>
      </w:r>
      <w:proofErr w:type="spellStart"/>
      <w:r>
        <w:rPr>
          <w:sz w:val="22"/>
          <w:szCs w:val="22"/>
        </w:rPr>
        <w:t>Majken</w:t>
      </w:r>
      <w:proofErr w:type="spellEnd"/>
      <w:r>
        <w:rPr>
          <w:sz w:val="22"/>
          <w:szCs w:val="22"/>
        </w:rPr>
        <w:t xml:space="preserve"> Schultz, and Kevin Corley. 2000. “Organizational Identity, Image, and Adaptive Instability.” </w:t>
      </w:r>
      <w:r>
        <w:rPr>
          <w:i/>
          <w:sz w:val="22"/>
          <w:szCs w:val="22"/>
        </w:rPr>
        <w:t>Academy of Management Review</w:t>
      </w:r>
      <w:r>
        <w:rPr>
          <w:sz w:val="22"/>
          <w:szCs w:val="22"/>
        </w:rPr>
        <w:t xml:space="preserve"> 25(1): 63-81.</w:t>
      </w:r>
    </w:p>
    <w:p w14:paraId="59224FD4" w14:textId="77777777" w:rsidR="00D00B16" w:rsidRDefault="00365F6D">
      <w:pPr>
        <w:ind w:left="720" w:hanging="720"/>
        <w:rPr>
          <w:sz w:val="22"/>
          <w:szCs w:val="22"/>
        </w:rPr>
      </w:pPr>
      <w:r>
        <w:rPr>
          <w:sz w:val="22"/>
          <w:szCs w:val="22"/>
        </w:rPr>
        <w:t xml:space="preserve">Goss, Kristin. 2016. “Policy Plutocrats: How America’s Wealthy Seek to Influence Governance.” </w:t>
      </w:r>
      <w:r>
        <w:rPr>
          <w:i/>
          <w:sz w:val="22"/>
          <w:szCs w:val="22"/>
        </w:rPr>
        <w:t>PS: Political Science &amp; Politics</w:t>
      </w:r>
      <w:r>
        <w:rPr>
          <w:sz w:val="22"/>
          <w:szCs w:val="22"/>
        </w:rPr>
        <w:t xml:space="preserve"> 49(3): 442-448.</w:t>
      </w:r>
    </w:p>
    <w:p w14:paraId="145D52AF" w14:textId="77777777" w:rsidR="00D00B16" w:rsidRDefault="00365F6D">
      <w:pPr>
        <w:ind w:left="720" w:hanging="720"/>
        <w:rPr>
          <w:sz w:val="22"/>
          <w:szCs w:val="22"/>
        </w:rPr>
      </w:pPr>
      <w:r>
        <w:rPr>
          <w:sz w:val="22"/>
          <w:szCs w:val="22"/>
        </w:rPr>
        <w:t xml:space="preserve">Goss, Kristin. 2007. “Foundations of Feminism: How Philanthropic Patrons Shaped Gender Politics.” </w:t>
      </w:r>
      <w:r>
        <w:rPr>
          <w:i/>
          <w:sz w:val="22"/>
          <w:szCs w:val="22"/>
        </w:rPr>
        <w:t>Social Science Quarterly</w:t>
      </w:r>
      <w:r>
        <w:rPr>
          <w:sz w:val="22"/>
          <w:szCs w:val="22"/>
        </w:rPr>
        <w:t xml:space="preserve"> 88(5): 1174-1191. </w:t>
      </w:r>
    </w:p>
    <w:p w14:paraId="5B39AECE" w14:textId="77777777" w:rsidR="00D00B16" w:rsidRDefault="00365F6D">
      <w:pPr>
        <w:ind w:left="720" w:hanging="720"/>
        <w:rPr>
          <w:sz w:val="22"/>
          <w:szCs w:val="22"/>
        </w:rPr>
      </w:pPr>
      <w:proofErr w:type="spellStart"/>
      <w:r>
        <w:rPr>
          <w:sz w:val="22"/>
          <w:szCs w:val="22"/>
        </w:rPr>
        <w:t>Graddy</w:t>
      </w:r>
      <w:proofErr w:type="spellEnd"/>
      <w:r>
        <w:rPr>
          <w:sz w:val="22"/>
          <w:szCs w:val="22"/>
        </w:rPr>
        <w:t xml:space="preserve">, Elizabeth, and Donald Morgan. 2006. “Community Foundations, Organizational Strategy, and Public Policy.” </w:t>
      </w:r>
      <w:r>
        <w:rPr>
          <w:i/>
          <w:sz w:val="22"/>
          <w:szCs w:val="22"/>
        </w:rPr>
        <w:t>Nonprofit and Voluntary Sector Quarterly</w:t>
      </w:r>
      <w:r>
        <w:rPr>
          <w:sz w:val="22"/>
          <w:szCs w:val="22"/>
        </w:rPr>
        <w:t xml:space="preserve"> 35(4): 605-630. </w:t>
      </w:r>
    </w:p>
    <w:p w14:paraId="4EF40D9F" w14:textId="77777777" w:rsidR="00D00B16" w:rsidRDefault="00365F6D">
      <w:pPr>
        <w:ind w:left="720" w:hanging="720"/>
        <w:rPr>
          <w:sz w:val="22"/>
          <w:szCs w:val="22"/>
        </w:rPr>
      </w:pPr>
      <w:proofErr w:type="spellStart"/>
      <w:r>
        <w:rPr>
          <w:sz w:val="22"/>
          <w:szCs w:val="22"/>
        </w:rPr>
        <w:t>Graddy</w:t>
      </w:r>
      <w:proofErr w:type="spellEnd"/>
      <w:r>
        <w:rPr>
          <w:sz w:val="22"/>
          <w:szCs w:val="22"/>
        </w:rPr>
        <w:t xml:space="preserve">, Elizabeth, and Lili Wang. 2008. “Community Foundation Development and Social Capital.”  </w:t>
      </w:r>
      <w:r>
        <w:rPr>
          <w:i/>
          <w:sz w:val="22"/>
          <w:szCs w:val="22"/>
        </w:rPr>
        <w:t>Nonprofit and Voluntary Sector Quarterly</w:t>
      </w:r>
      <w:r>
        <w:rPr>
          <w:sz w:val="22"/>
          <w:szCs w:val="22"/>
        </w:rPr>
        <w:t xml:space="preserve"> 38(3): 392-412. </w:t>
      </w:r>
    </w:p>
    <w:p w14:paraId="03BB5F1D" w14:textId="77777777" w:rsidR="00D00B16" w:rsidRDefault="00365F6D">
      <w:pPr>
        <w:ind w:left="720" w:hanging="720"/>
        <w:rPr>
          <w:sz w:val="22"/>
          <w:szCs w:val="22"/>
        </w:rPr>
      </w:pPr>
      <w:proofErr w:type="spellStart"/>
      <w:r>
        <w:rPr>
          <w:sz w:val="22"/>
          <w:szCs w:val="22"/>
        </w:rPr>
        <w:t>Grønbjerg</w:t>
      </w:r>
      <w:proofErr w:type="spellEnd"/>
      <w:r>
        <w:rPr>
          <w:sz w:val="22"/>
          <w:szCs w:val="22"/>
        </w:rPr>
        <w:t xml:space="preserve">, Kirsten. 2006. “Foundation Legitimacy at the Community Level in the United States.” Pp. 150-176 in </w:t>
      </w:r>
      <w:r>
        <w:rPr>
          <w:i/>
          <w:sz w:val="22"/>
          <w:szCs w:val="22"/>
        </w:rPr>
        <w:t>The Legitimacy of Philanthropic Foundations</w:t>
      </w:r>
      <w:r>
        <w:rPr>
          <w:sz w:val="22"/>
          <w:szCs w:val="22"/>
        </w:rPr>
        <w:t xml:space="preserve">, edited by Kenneth Prewitt et al. New York: Russell Sage Foundation. </w:t>
      </w:r>
    </w:p>
    <w:p w14:paraId="463C808D" w14:textId="77777777" w:rsidR="00D00B16" w:rsidRDefault="00365F6D">
      <w:pPr>
        <w:ind w:left="720" w:hanging="720"/>
        <w:rPr>
          <w:sz w:val="22"/>
          <w:szCs w:val="22"/>
        </w:rPr>
      </w:pPr>
      <w:r>
        <w:rPr>
          <w:sz w:val="22"/>
          <w:szCs w:val="22"/>
        </w:rPr>
        <w:t xml:space="preserve">Guo, Chao, and Will Brown. 2006. “Community Foundation Performance: Bridging Community Resources and Needs.” </w:t>
      </w:r>
      <w:r>
        <w:rPr>
          <w:i/>
          <w:sz w:val="22"/>
          <w:szCs w:val="22"/>
        </w:rPr>
        <w:t>Nonprofit and Voluntary Sector Quarterly</w:t>
      </w:r>
      <w:r>
        <w:rPr>
          <w:sz w:val="22"/>
          <w:szCs w:val="22"/>
        </w:rPr>
        <w:t xml:space="preserve"> 35(2): 267-287. </w:t>
      </w:r>
    </w:p>
    <w:p w14:paraId="1A1C70B9" w14:textId="77777777" w:rsidR="00D00B16" w:rsidRDefault="00365F6D">
      <w:pPr>
        <w:ind w:left="720" w:hanging="720"/>
        <w:rPr>
          <w:sz w:val="22"/>
          <w:szCs w:val="22"/>
        </w:rPr>
      </w:pPr>
      <w:r>
        <w:rPr>
          <w:sz w:val="22"/>
          <w:szCs w:val="22"/>
        </w:rPr>
        <w:t xml:space="preserve">Hall, Peter </w:t>
      </w:r>
      <w:proofErr w:type="spellStart"/>
      <w:r>
        <w:rPr>
          <w:sz w:val="22"/>
          <w:szCs w:val="22"/>
        </w:rPr>
        <w:t>Dobkin</w:t>
      </w:r>
      <w:proofErr w:type="spellEnd"/>
      <w:r>
        <w:rPr>
          <w:sz w:val="22"/>
          <w:szCs w:val="22"/>
        </w:rPr>
        <w:t xml:space="preserve">. 2006. “A Historical Overview of Philanthropy, Voluntary Associations, and Nonprofit Organizations in the United States, 1600-2000.” Pp. 32-66 in </w:t>
      </w:r>
      <w:r>
        <w:rPr>
          <w:i/>
          <w:sz w:val="22"/>
          <w:szCs w:val="22"/>
        </w:rPr>
        <w:t>The Nonprofit Sector: A Research Handbook</w:t>
      </w:r>
      <w:r>
        <w:rPr>
          <w:sz w:val="22"/>
          <w:szCs w:val="22"/>
        </w:rPr>
        <w:t xml:space="preserve">, edited by W. W. Powell and R. Steinberg (Yale: Yale University Press). </w:t>
      </w:r>
    </w:p>
    <w:p w14:paraId="501D3855" w14:textId="77777777" w:rsidR="00D00B16" w:rsidRDefault="00365F6D">
      <w:pPr>
        <w:ind w:left="720" w:hanging="720"/>
        <w:rPr>
          <w:sz w:val="22"/>
          <w:szCs w:val="22"/>
        </w:rPr>
      </w:pPr>
      <w:r>
        <w:rPr>
          <w:sz w:val="22"/>
          <w:szCs w:val="22"/>
        </w:rPr>
        <w:t xml:space="preserve">Hammack, David, and Helmut </w:t>
      </w:r>
      <w:proofErr w:type="spellStart"/>
      <w:r>
        <w:rPr>
          <w:sz w:val="22"/>
          <w:szCs w:val="22"/>
        </w:rPr>
        <w:t>Anheier</w:t>
      </w:r>
      <w:proofErr w:type="spellEnd"/>
      <w:r>
        <w:rPr>
          <w:sz w:val="22"/>
          <w:szCs w:val="22"/>
        </w:rPr>
        <w:t xml:space="preserve">. 2010. “American Foundations: Their Roles and Contributions to Society.” Pp. 3-27 in H. </w:t>
      </w:r>
      <w:proofErr w:type="spellStart"/>
      <w:r>
        <w:rPr>
          <w:sz w:val="22"/>
          <w:szCs w:val="22"/>
        </w:rPr>
        <w:t>Anheier</w:t>
      </w:r>
      <w:proofErr w:type="spellEnd"/>
      <w:r>
        <w:rPr>
          <w:sz w:val="22"/>
          <w:szCs w:val="22"/>
        </w:rPr>
        <w:t xml:space="preserve"> and D. Hammack, eds., </w:t>
      </w:r>
      <w:r>
        <w:rPr>
          <w:i/>
          <w:sz w:val="22"/>
          <w:szCs w:val="22"/>
        </w:rPr>
        <w:t>American Foundations: Roles and Contributions</w:t>
      </w:r>
      <w:r>
        <w:rPr>
          <w:sz w:val="22"/>
          <w:szCs w:val="22"/>
        </w:rPr>
        <w:t xml:space="preserve">. Washington, D.C.: Brookings Institution Press. </w:t>
      </w:r>
    </w:p>
    <w:p w14:paraId="0C06E787" w14:textId="77777777" w:rsidR="00D00B16" w:rsidRDefault="00365F6D">
      <w:pPr>
        <w:ind w:left="720" w:hanging="720"/>
        <w:rPr>
          <w:sz w:val="22"/>
          <w:szCs w:val="22"/>
        </w:rPr>
      </w:pPr>
      <w:r>
        <w:rPr>
          <w:sz w:val="22"/>
          <w:szCs w:val="22"/>
        </w:rPr>
        <w:t xml:space="preserve">Hertel-Fernandez, Alexander. 2016. “Explaining Liberal Policy Woes in the States: The Role of Donors.” </w:t>
      </w:r>
      <w:r>
        <w:rPr>
          <w:i/>
          <w:sz w:val="22"/>
          <w:szCs w:val="22"/>
        </w:rPr>
        <w:t>PS: Political Science &amp; Politics</w:t>
      </w:r>
      <w:r>
        <w:rPr>
          <w:sz w:val="22"/>
          <w:szCs w:val="22"/>
        </w:rPr>
        <w:t xml:space="preserve"> 49(3): 461-465. </w:t>
      </w:r>
    </w:p>
    <w:p w14:paraId="7FECE6ED" w14:textId="77777777" w:rsidR="00D00B16" w:rsidRDefault="00365F6D">
      <w:pPr>
        <w:ind w:left="720" w:hanging="720"/>
        <w:rPr>
          <w:sz w:val="22"/>
          <w:szCs w:val="22"/>
        </w:rPr>
      </w:pPr>
      <w:proofErr w:type="spellStart"/>
      <w:r>
        <w:rPr>
          <w:sz w:val="22"/>
          <w:szCs w:val="22"/>
        </w:rPr>
        <w:t>Hojnacki</w:t>
      </w:r>
      <w:proofErr w:type="spellEnd"/>
      <w:r>
        <w:rPr>
          <w:sz w:val="22"/>
          <w:szCs w:val="22"/>
        </w:rPr>
        <w:t xml:space="preserve">, Marie, David C. Kimball, Frank R. Baumgartner, Jeffrey M. Berry, and Beth L. Leech. 2012. “Studying Organizational Advocacy and Influence: Reexamining Interest Group Research.” </w:t>
      </w:r>
      <w:r>
        <w:rPr>
          <w:i/>
          <w:sz w:val="22"/>
          <w:szCs w:val="22"/>
        </w:rPr>
        <w:t>Annual Review of Political Science</w:t>
      </w:r>
      <w:r>
        <w:rPr>
          <w:sz w:val="22"/>
          <w:szCs w:val="22"/>
        </w:rPr>
        <w:t xml:space="preserve"> 15: 379-399. </w:t>
      </w:r>
    </w:p>
    <w:p w14:paraId="3E641DD7" w14:textId="77777777" w:rsidR="00D00B16" w:rsidRDefault="00365F6D">
      <w:pPr>
        <w:ind w:left="720" w:hanging="720"/>
        <w:rPr>
          <w:sz w:val="22"/>
          <w:szCs w:val="22"/>
        </w:rPr>
      </w:pPr>
      <w:r>
        <w:rPr>
          <w:sz w:val="22"/>
          <w:szCs w:val="22"/>
        </w:rPr>
        <w:t xml:space="preserve">Hwang, </w:t>
      </w:r>
      <w:proofErr w:type="spellStart"/>
      <w:r>
        <w:rPr>
          <w:sz w:val="22"/>
          <w:szCs w:val="22"/>
        </w:rPr>
        <w:t>Hokyu</w:t>
      </w:r>
      <w:proofErr w:type="spellEnd"/>
      <w:r>
        <w:rPr>
          <w:sz w:val="22"/>
          <w:szCs w:val="22"/>
        </w:rPr>
        <w:t xml:space="preserve">, and Walter W. Powell. 2009. “The Rationalization of Charity: The Influences of Professionalism in the Nonprofit Sector.” </w:t>
      </w:r>
      <w:r>
        <w:rPr>
          <w:i/>
          <w:sz w:val="22"/>
          <w:szCs w:val="22"/>
        </w:rPr>
        <w:t>Administrative Science Quarterly</w:t>
      </w:r>
      <w:r>
        <w:rPr>
          <w:sz w:val="22"/>
          <w:szCs w:val="22"/>
        </w:rPr>
        <w:t xml:space="preserve"> 54(2): 268-298</w:t>
      </w:r>
    </w:p>
    <w:p w14:paraId="21D991CE" w14:textId="77777777" w:rsidR="00D00B16" w:rsidRDefault="00365F6D">
      <w:pPr>
        <w:ind w:left="720" w:hanging="720"/>
        <w:rPr>
          <w:sz w:val="22"/>
          <w:szCs w:val="22"/>
        </w:rPr>
      </w:pPr>
      <w:r>
        <w:rPr>
          <w:sz w:val="22"/>
          <w:szCs w:val="22"/>
        </w:rPr>
        <w:t xml:space="preserve">Internal Revenue Service. 2017. “SOI Tax Stats – Annual Extract of Tax-Exempt Organization Financial Data.” Website available at: </w:t>
      </w:r>
      <w:hyperlink r:id="rId12">
        <w:r>
          <w:rPr>
            <w:color w:val="0563C1"/>
            <w:sz w:val="22"/>
            <w:szCs w:val="22"/>
            <w:u w:val="single"/>
          </w:rPr>
          <w:t>https://www.irs.gov/statistics/soi-tax-stats-annual-extract-of-tax-exempt-organization-financial-data</w:t>
        </w:r>
      </w:hyperlink>
      <w:r>
        <w:rPr>
          <w:sz w:val="22"/>
          <w:szCs w:val="22"/>
        </w:rPr>
        <w:t xml:space="preserve"> </w:t>
      </w:r>
    </w:p>
    <w:p w14:paraId="32BB575D" w14:textId="77777777" w:rsidR="00D00B16" w:rsidRDefault="00365F6D">
      <w:pPr>
        <w:ind w:left="720" w:hanging="720"/>
        <w:rPr>
          <w:sz w:val="22"/>
          <w:szCs w:val="22"/>
        </w:rPr>
      </w:pPr>
      <w:r>
        <w:rPr>
          <w:sz w:val="22"/>
          <w:szCs w:val="22"/>
        </w:rPr>
        <w:lastRenderedPageBreak/>
        <w:t xml:space="preserve">Jenkins, J. Craig. 2006. “Nonprofit Organizations and Political Advocacy.” Pp. 307-332 in </w:t>
      </w:r>
      <w:r>
        <w:rPr>
          <w:i/>
          <w:sz w:val="22"/>
          <w:szCs w:val="22"/>
        </w:rPr>
        <w:t>The Nonprofit Sector: A Research Handbook</w:t>
      </w:r>
      <w:r>
        <w:rPr>
          <w:sz w:val="22"/>
          <w:szCs w:val="22"/>
        </w:rPr>
        <w:t xml:space="preserve"> (2</w:t>
      </w:r>
      <w:r>
        <w:rPr>
          <w:sz w:val="22"/>
          <w:szCs w:val="22"/>
          <w:vertAlign w:val="superscript"/>
        </w:rPr>
        <w:t>nd</w:t>
      </w:r>
      <w:r>
        <w:rPr>
          <w:sz w:val="22"/>
          <w:szCs w:val="22"/>
        </w:rPr>
        <w:t xml:space="preserve"> ed.), edited by Walter Powell and Richard Steinberg. New Haven, CT: Yale University Press. </w:t>
      </w:r>
    </w:p>
    <w:p w14:paraId="58136838" w14:textId="77777777" w:rsidR="00D00B16" w:rsidRDefault="00365F6D">
      <w:pPr>
        <w:ind w:left="720" w:hanging="720"/>
        <w:rPr>
          <w:sz w:val="22"/>
          <w:szCs w:val="22"/>
        </w:rPr>
      </w:pPr>
      <w:r>
        <w:rPr>
          <w:sz w:val="22"/>
          <w:szCs w:val="22"/>
        </w:rPr>
        <w:t xml:space="preserve">Jenkins, J. Craig. 1998. “Channeling Social Protest.” Pp. 206-216 in </w:t>
      </w:r>
      <w:r>
        <w:rPr>
          <w:i/>
          <w:sz w:val="22"/>
          <w:szCs w:val="22"/>
        </w:rPr>
        <w:t xml:space="preserve">Private Action and the Public Good, </w:t>
      </w:r>
      <w:r>
        <w:rPr>
          <w:sz w:val="22"/>
          <w:szCs w:val="22"/>
        </w:rPr>
        <w:t>edited by Walter W. Powell and Elizabeth Clemens. New Haven: Yale University Press.</w:t>
      </w:r>
    </w:p>
    <w:p w14:paraId="7B921996" w14:textId="77777777" w:rsidR="00D00B16" w:rsidRDefault="00365F6D">
      <w:pPr>
        <w:ind w:left="720" w:hanging="720"/>
        <w:rPr>
          <w:sz w:val="22"/>
          <w:szCs w:val="22"/>
        </w:rPr>
      </w:pPr>
      <w:r>
        <w:rPr>
          <w:sz w:val="22"/>
          <w:szCs w:val="22"/>
        </w:rPr>
        <w:t xml:space="preserve">Jenkins, Craig. 1989. “Social Movement Philanthropic and American Democracy.” Pp. 292-314 in </w:t>
      </w:r>
      <w:r>
        <w:rPr>
          <w:i/>
          <w:sz w:val="22"/>
          <w:szCs w:val="22"/>
        </w:rPr>
        <w:t>Philanthropic Giving: Studies in Varieties and Goals</w:t>
      </w:r>
      <w:r>
        <w:rPr>
          <w:sz w:val="22"/>
          <w:szCs w:val="22"/>
        </w:rPr>
        <w:t xml:space="preserve">, edited by Richard </w:t>
      </w:r>
      <w:proofErr w:type="spellStart"/>
      <w:r>
        <w:rPr>
          <w:sz w:val="22"/>
          <w:szCs w:val="22"/>
        </w:rPr>
        <w:t>Magat</w:t>
      </w:r>
      <w:proofErr w:type="spellEnd"/>
      <w:r>
        <w:rPr>
          <w:sz w:val="22"/>
          <w:szCs w:val="22"/>
        </w:rPr>
        <w:t>. New York: Oxford University Press.</w:t>
      </w:r>
    </w:p>
    <w:p w14:paraId="2EEC8941" w14:textId="77777777" w:rsidR="00D00B16" w:rsidRDefault="00365F6D">
      <w:pPr>
        <w:ind w:left="720" w:hanging="720"/>
        <w:rPr>
          <w:sz w:val="22"/>
          <w:szCs w:val="22"/>
        </w:rPr>
      </w:pPr>
      <w:r>
        <w:rPr>
          <w:sz w:val="22"/>
          <w:szCs w:val="22"/>
        </w:rPr>
        <w:t xml:space="preserve">Jenkins, J. Craig, and Chris M. Eckert. 1986. “Channeling Black Insurgency: Elite Patronage and Professional Social Movement Organizations in the Development of the Black Movement.” </w:t>
      </w:r>
      <w:r>
        <w:rPr>
          <w:i/>
          <w:sz w:val="22"/>
          <w:szCs w:val="22"/>
        </w:rPr>
        <w:t>American Sociological Review</w:t>
      </w:r>
      <w:r>
        <w:rPr>
          <w:sz w:val="22"/>
          <w:szCs w:val="22"/>
        </w:rPr>
        <w:t xml:space="preserve"> 51: 812-829.</w:t>
      </w:r>
    </w:p>
    <w:p w14:paraId="435A3C88" w14:textId="77777777" w:rsidR="00D00B16" w:rsidRDefault="00365F6D">
      <w:pPr>
        <w:ind w:left="720" w:hanging="720"/>
        <w:rPr>
          <w:sz w:val="22"/>
          <w:szCs w:val="22"/>
        </w:rPr>
      </w:pPr>
      <w:r>
        <w:rPr>
          <w:sz w:val="22"/>
          <w:szCs w:val="22"/>
        </w:rPr>
        <w:t xml:space="preserve">Jensen Courtney. 2013. “Foundations and the Discourse of Philanthropy.” </w:t>
      </w:r>
      <w:r>
        <w:rPr>
          <w:i/>
          <w:sz w:val="22"/>
          <w:szCs w:val="22"/>
        </w:rPr>
        <w:t>Administrative Theory &amp; Praxis</w:t>
      </w:r>
      <w:r>
        <w:rPr>
          <w:sz w:val="22"/>
          <w:szCs w:val="22"/>
        </w:rPr>
        <w:t xml:space="preserve"> 35(1): 106-127. </w:t>
      </w:r>
    </w:p>
    <w:p w14:paraId="77D116E7" w14:textId="77777777" w:rsidR="00D00B16" w:rsidRDefault="00365F6D">
      <w:pPr>
        <w:tabs>
          <w:tab w:val="left" w:pos="3600"/>
          <w:tab w:val="left" w:pos="5796"/>
        </w:tabs>
        <w:ind w:left="720" w:hanging="720"/>
        <w:rPr>
          <w:sz w:val="22"/>
          <w:szCs w:val="22"/>
        </w:rPr>
      </w:pPr>
      <w:r>
        <w:rPr>
          <w:sz w:val="22"/>
          <w:szCs w:val="22"/>
        </w:rPr>
        <w:t xml:space="preserve">Jones, Bryan, and Frank Baumgartner. 2005. </w:t>
      </w:r>
      <w:r>
        <w:rPr>
          <w:i/>
          <w:sz w:val="22"/>
          <w:szCs w:val="22"/>
        </w:rPr>
        <w:t>The Politics of Attention: How Government Prioritizes Problems</w:t>
      </w:r>
      <w:r>
        <w:rPr>
          <w:sz w:val="22"/>
          <w:szCs w:val="22"/>
        </w:rPr>
        <w:t xml:space="preserve">. Chicago: University of Chicago Press. </w:t>
      </w:r>
    </w:p>
    <w:p w14:paraId="2B689288" w14:textId="77777777" w:rsidR="00D00B16" w:rsidRDefault="00365F6D">
      <w:pPr>
        <w:ind w:left="720" w:hanging="720"/>
        <w:rPr>
          <w:sz w:val="22"/>
          <w:szCs w:val="22"/>
        </w:rPr>
      </w:pPr>
      <w:r>
        <w:rPr>
          <w:sz w:val="22"/>
          <w:szCs w:val="22"/>
        </w:rPr>
        <w:t xml:space="preserve">Kasper, Gabriel, Justin Marcoux, and Jess </w:t>
      </w:r>
      <w:proofErr w:type="spellStart"/>
      <w:r>
        <w:rPr>
          <w:sz w:val="22"/>
          <w:szCs w:val="22"/>
        </w:rPr>
        <w:t>Ausinheiler</w:t>
      </w:r>
      <w:proofErr w:type="spellEnd"/>
      <w:r>
        <w:rPr>
          <w:sz w:val="22"/>
          <w:szCs w:val="22"/>
        </w:rPr>
        <w:t xml:space="preserve">. 2014. </w:t>
      </w:r>
      <w:r>
        <w:rPr>
          <w:i/>
          <w:sz w:val="22"/>
          <w:szCs w:val="22"/>
        </w:rPr>
        <w:t>What’s Next for Community Philanthropy?</w:t>
      </w:r>
      <w:r>
        <w:rPr>
          <w:sz w:val="22"/>
          <w:szCs w:val="22"/>
        </w:rPr>
        <w:t xml:space="preserve"> The Monitor Institute.</w:t>
      </w:r>
    </w:p>
    <w:p w14:paraId="65CA338F" w14:textId="77777777" w:rsidR="00D00B16" w:rsidRDefault="00365F6D">
      <w:pPr>
        <w:ind w:left="720" w:hanging="720"/>
        <w:rPr>
          <w:sz w:val="22"/>
          <w:szCs w:val="22"/>
        </w:rPr>
      </w:pPr>
      <w:proofErr w:type="spellStart"/>
      <w:r>
        <w:rPr>
          <w:sz w:val="22"/>
          <w:szCs w:val="22"/>
        </w:rPr>
        <w:t>Klüver</w:t>
      </w:r>
      <w:proofErr w:type="spellEnd"/>
      <w:r>
        <w:rPr>
          <w:sz w:val="22"/>
          <w:szCs w:val="22"/>
        </w:rPr>
        <w:t xml:space="preserve">, Heike. 2013. </w:t>
      </w:r>
      <w:r>
        <w:rPr>
          <w:i/>
          <w:sz w:val="22"/>
          <w:szCs w:val="22"/>
        </w:rPr>
        <w:t>Lobbying the European Union: Interest Groups, Lobbying Coalitions, and Policy Change</w:t>
      </w:r>
      <w:r>
        <w:rPr>
          <w:sz w:val="22"/>
          <w:szCs w:val="22"/>
        </w:rPr>
        <w:t>. Oxford, UK: Oxford University Press.</w:t>
      </w:r>
    </w:p>
    <w:p w14:paraId="1928F215" w14:textId="77777777" w:rsidR="00D00B16" w:rsidRDefault="00365F6D">
      <w:pPr>
        <w:ind w:left="720" w:hanging="720"/>
        <w:rPr>
          <w:sz w:val="22"/>
          <w:szCs w:val="22"/>
        </w:rPr>
      </w:pPr>
      <w:r>
        <w:rPr>
          <w:sz w:val="22"/>
          <w:szCs w:val="22"/>
        </w:rPr>
        <w:t xml:space="preserve">Kohl Arenas, Erica. 2015. </w:t>
      </w:r>
      <w:r>
        <w:rPr>
          <w:i/>
          <w:sz w:val="22"/>
          <w:szCs w:val="22"/>
        </w:rPr>
        <w:t>The Self-Help Myth: How Philanthropy Fails to Alleviate Poverty</w:t>
      </w:r>
      <w:r>
        <w:rPr>
          <w:sz w:val="22"/>
          <w:szCs w:val="22"/>
        </w:rPr>
        <w:t>. Berkeley: University of California Press.</w:t>
      </w:r>
    </w:p>
    <w:p w14:paraId="52DBD024" w14:textId="77777777" w:rsidR="00D00B16" w:rsidRDefault="00365F6D">
      <w:pPr>
        <w:ind w:left="720" w:hanging="720"/>
        <w:rPr>
          <w:sz w:val="22"/>
          <w:szCs w:val="22"/>
        </w:rPr>
      </w:pPr>
      <w:r>
        <w:rPr>
          <w:sz w:val="22"/>
          <w:szCs w:val="22"/>
        </w:rPr>
        <w:t xml:space="preserve">Lawrence, Thomas B., and Roy </w:t>
      </w:r>
      <w:proofErr w:type="spellStart"/>
      <w:r>
        <w:rPr>
          <w:sz w:val="22"/>
          <w:szCs w:val="22"/>
        </w:rPr>
        <w:t>Suddaby</w:t>
      </w:r>
      <w:proofErr w:type="spellEnd"/>
      <w:r>
        <w:rPr>
          <w:sz w:val="22"/>
          <w:szCs w:val="22"/>
        </w:rPr>
        <w:t xml:space="preserve">. 2006. “Institutions and Institutional Work.” Pp 215-254 in </w:t>
      </w:r>
      <w:r>
        <w:rPr>
          <w:i/>
          <w:sz w:val="22"/>
          <w:szCs w:val="22"/>
        </w:rPr>
        <w:t>Handbook of Organization Studies</w:t>
      </w:r>
      <w:r>
        <w:rPr>
          <w:sz w:val="22"/>
          <w:szCs w:val="22"/>
        </w:rPr>
        <w:t>, 2</w:t>
      </w:r>
      <w:r>
        <w:rPr>
          <w:sz w:val="22"/>
          <w:szCs w:val="22"/>
          <w:vertAlign w:val="superscript"/>
        </w:rPr>
        <w:t>nd</w:t>
      </w:r>
      <w:r>
        <w:rPr>
          <w:sz w:val="22"/>
          <w:szCs w:val="22"/>
        </w:rPr>
        <w:t xml:space="preserve"> Ed., edited by S. Clegg, C. Hardy, T. Lawrence, and W. Nord. London: Sage. </w:t>
      </w:r>
    </w:p>
    <w:p w14:paraId="55CCDDFA" w14:textId="77777777" w:rsidR="00D00B16" w:rsidRDefault="00365F6D">
      <w:pPr>
        <w:ind w:left="720" w:hanging="720"/>
        <w:rPr>
          <w:sz w:val="22"/>
          <w:szCs w:val="22"/>
        </w:rPr>
      </w:pPr>
      <w:r>
        <w:rPr>
          <w:sz w:val="22"/>
          <w:szCs w:val="22"/>
        </w:rPr>
        <w:t xml:space="preserve">Le, Quoc, and Tomas </w:t>
      </w:r>
      <w:proofErr w:type="spellStart"/>
      <w:r>
        <w:rPr>
          <w:sz w:val="22"/>
          <w:szCs w:val="22"/>
        </w:rPr>
        <w:t>Mikolov</w:t>
      </w:r>
      <w:proofErr w:type="spellEnd"/>
      <w:r>
        <w:rPr>
          <w:sz w:val="22"/>
          <w:szCs w:val="22"/>
        </w:rPr>
        <w:t>. 2014. “Distributed Representations of Sentences and Documents.” Proceedings of the 31</w:t>
      </w:r>
      <w:r>
        <w:rPr>
          <w:sz w:val="22"/>
          <w:szCs w:val="22"/>
          <w:vertAlign w:val="superscript"/>
        </w:rPr>
        <w:t>st</w:t>
      </w:r>
      <w:r>
        <w:rPr>
          <w:sz w:val="22"/>
          <w:szCs w:val="22"/>
        </w:rPr>
        <w:t xml:space="preserve"> International Conference on Machine Learning, Beijing, China. </w:t>
      </w:r>
    </w:p>
    <w:p w14:paraId="2F6CA50D" w14:textId="77777777" w:rsidR="00D00B16" w:rsidRDefault="00365F6D">
      <w:pPr>
        <w:ind w:left="720" w:hanging="720"/>
        <w:rPr>
          <w:sz w:val="22"/>
          <w:szCs w:val="22"/>
        </w:rPr>
      </w:pPr>
      <w:r>
        <w:rPr>
          <w:sz w:val="22"/>
          <w:szCs w:val="22"/>
        </w:rPr>
        <w:t xml:space="preserve">Lee, Matthew, Tommaso Ramus, and Antonio Vaccaro. 2018. “From Protest to Product: Strategic Frame Brokerage in a Commercial Social Movement Organization.” </w:t>
      </w:r>
      <w:r>
        <w:rPr>
          <w:i/>
          <w:sz w:val="22"/>
          <w:szCs w:val="22"/>
        </w:rPr>
        <w:t>Academy of Management Journal</w:t>
      </w:r>
      <w:r>
        <w:rPr>
          <w:sz w:val="22"/>
          <w:szCs w:val="22"/>
        </w:rPr>
        <w:t>, forthcoming (</w:t>
      </w:r>
      <w:hyperlink r:id="rId13" w:history="1">
        <w:r>
          <w:rPr>
            <w:color w:val="0563C1"/>
            <w:sz w:val="22"/>
            <w:szCs w:val="22"/>
            <w:u w:val="single"/>
          </w:rPr>
          <w:t>https://doi.org/10.5465/amj.2016.0223</w:t>
        </w:r>
      </w:hyperlink>
      <w:r>
        <w:rPr>
          <w:sz w:val="22"/>
          <w:szCs w:val="22"/>
        </w:rPr>
        <w:t>)</w:t>
      </w:r>
    </w:p>
    <w:p w14:paraId="7604A668" w14:textId="77777777" w:rsidR="00D00B16" w:rsidRDefault="00365F6D">
      <w:pPr>
        <w:ind w:left="720" w:hanging="720"/>
        <w:rPr>
          <w:sz w:val="22"/>
          <w:szCs w:val="22"/>
        </w:rPr>
      </w:pPr>
      <w:r>
        <w:rPr>
          <w:sz w:val="22"/>
          <w:szCs w:val="22"/>
        </w:rPr>
        <w:t xml:space="preserve">Leroux, Kelly and Holly T. </w:t>
      </w:r>
      <w:proofErr w:type="spellStart"/>
      <w:r>
        <w:rPr>
          <w:sz w:val="22"/>
          <w:szCs w:val="22"/>
        </w:rPr>
        <w:t>Goerdel</w:t>
      </w:r>
      <w:proofErr w:type="spellEnd"/>
      <w:r>
        <w:rPr>
          <w:sz w:val="22"/>
          <w:szCs w:val="22"/>
        </w:rPr>
        <w:t xml:space="preserve">. 2009. “Political Advocacy by Nonprofit Organizations: A Strategic Management Explanation.” </w:t>
      </w:r>
      <w:r>
        <w:rPr>
          <w:i/>
          <w:sz w:val="22"/>
          <w:szCs w:val="22"/>
        </w:rPr>
        <w:t>Public Performance &amp; Management Review</w:t>
      </w:r>
      <w:r>
        <w:rPr>
          <w:sz w:val="22"/>
          <w:szCs w:val="22"/>
        </w:rPr>
        <w:t xml:space="preserve"> 32(4): 514-536.</w:t>
      </w:r>
    </w:p>
    <w:p w14:paraId="2B70D6F3" w14:textId="77777777" w:rsidR="00D00B16" w:rsidRDefault="00365F6D">
      <w:pPr>
        <w:ind w:left="720" w:hanging="720"/>
        <w:rPr>
          <w:sz w:val="22"/>
          <w:szCs w:val="22"/>
        </w:rPr>
      </w:pPr>
      <w:r>
        <w:rPr>
          <w:sz w:val="22"/>
          <w:szCs w:val="22"/>
        </w:rPr>
        <w:t xml:space="preserve">Lowry, Robert. 1999. “Foundation Patronage Toward Citizen Groups and Think Tanks: Who Gets Grants.” </w:t>
      </w:r>
      <w:r>
        <w:rPr>
          <w:i/>
          <w:sz w:val="22"/>
          <w:szCs w:val="22"/>
        </w:rPr>
        <w:t>Journal of Politics</w:t>
      </w:r>
      <w:r>
        <w:rPr>
          <w:sz w:val="22"/>
          <w:szCs w:val="22"/>
        </w:rPr>
        <w:t xml:space="preserve"> 61(3): 758-776. </w:t>
      </w:r>
    </w:p>
    <w:p w14:paraId="22F2E2CC" w14:textId="77777777" w:rsidR="00D00B16" w:rsidRDefault="00365F6D">
      <w:pPr>
        <w:ind w:left="720" w:hanging="720"/>
        <w:rPr>
          <w:sz w:val="22"/>
          <w:szCs w:val="22"/>
        </w:rPr>
      </w:pPr>
      <w:r>
        <w:rPr>
          <w:sz w:val="22"/>
          <w:szCs w:val="22"/>
        </w:rPr>
        <w:t xml:space="preserve">Mahoney, Christine. 2007. “Lobbying Success in the United States and the European </w:t>
      </w:r>
      <w:proofErr w:type="gramStart"/>
      <w:r>
        <w:rPr>
          <w:sz w:val="22"/>
          <w:szCs w:val="22"/>
        </w:rPr>
        <w:t>Union.“</w:t>
      </w:r>
      <w:proofErr w:type="gramEnd"/>
      <w:r>
        <w:rPr>
          <w:sz w:val="22"/>
          <w:szCs w:val="22"/>
        </w:rPr>
        <w:t xml:space="preserve"> </w:t>
      </w:r>
      <w:r>
        <w:rPr>
          <w:i/>
          <w:sz w:val="22"/>
          <w:szCs w:val="22"/>
        </w:rPr>
        <w:t>Journal of Public Policy</w:t>
      </w:r>
      <w:r>
        <w:rPr>
          <w:sz w:val="22"/>
          <w:szCs w:val="22"/>
        </w:rPr>
        <w:t xml:space="preserve"> 27(1): 35-56.</w:t>
      </w:r>
    </w:p>
    <w:p w14:paraId="5AF380A1" w14:textId="77777777" w:rsidR="00D00B16" w:rsidRDefault="00365F6D">
      <w:pPr>
        <w:ind w:left="720" w:hanging="720"/>
        <w:rPr>
          <w:sz w:val="22"/>
          <w:szCs w:val="22"/>
        </w:rPr>
      </w:pPr>
      <w:r>
        <w:rPr>
          <w:sz w:val="22"/>
          <w:szCs w:val="22"/>
        </w:rPr>
        <w:t xml:space="preserve">Marshall, Jeff, and David Suárez. 2014. “The Flow of Management Practices: An Analysis of NGO Monitoring and Evaluation Dynamics” </w:t>
      </w:r>
      <w:r>
        <w:rPr>
          <w:i/>
          <w:sz w:val="22"/>
          <w:szCs w:val="22"/>
        </w:rPr>
        <w:t xml:space="preserve">Nonprofit and Voluntary Sector Quarterly </w:t>
      </w:r>
      <w:r>
        <w:rPr>
          <w:sz w:val="22"/>
          <w:szCs w:val="22"/>
        </w:rPr>
        <w:t>43(6): 1033-1051.</w:t>
      </w:r>
    </w:p>
    <w:p w14:paraId="4A9A7622" w14:textId="77777777" w:rsidR="00D00B16" w:rsidRDefault="00365F6D">
      <w:pPr>
        <w:ind w:left="720" w:hanging="720"/>
        <w:rPr>
          <w:sz w:val="22"/>
          <w:szCs w:val="22"/>
        </w:rPr>
      </w:pPr>
      <w:proofErr w:type="spellStart"/>
      <w:r>
        <w:rPr>
          <w:sz w:val="22"/>
          <w:szCs w:val="22"/>
        </w:rPr>
        <w:t>Marwell</w:t>
      </w:r>
      <w:proofErr w:type="spellEnd"/>
      <w:r>
        <w:rPr>
          <w:sz w:val="22"/>
          <w:szCs w:val="22"/>
        </w:rPr>
        <w:t xml:space="preserve">, Nicole P. 2004. “Privatizing the Welfare State: Nonprofit Community Organizations.” </w:t>
      </w:r>
      <w:r>
        <w:rPr>
          <w:i/>
          <w:sz w:val="22"/>
          <w:szCs w:val="22"/>
        </w:rPr>
        <w:t>American Sociological Review</w:t>
      </w:r>
      <w:r>
        <w:rPr>
          <w:sz w:val="22"/>
          <w:szCs w:val="22"/>
        </w:rPr>
        <w:t xml:space="preserve"> 69: 265-291.</w:t>
      </w:r>
    </w:p>
    <w:p w14:paraId="22B2C16F" w14:textId="77777777" w:rsidR="00D00B16" w:rsidRDefault="00365F6D">
      <w:pPr>
        <w:ind w:left="720" w:hanging="720"/>
        <w:rPr>
          <w:sz w:val="22"/>
          <w:szCs w:val="22"/>
        </w:rPr>
      </w:pPr>
      <w:r>
        <w:rPr>
          <w:sz w:val="22"/>
          <w:szCs w:val="22"/>
        </w:rPr>
        <w:t xml:space="preserve">Mayer, Jane. 2016. </w:t>
      </w:r>
      <w:r w:rsidRPr="009D370D">
        <w:rPr>
          <w:i/>
          <w:sz w:val="22"/>
          <w:szCs w:val="22"/>
        </w:rPr>
        <w:t>Dark Money: The Hidden History of the Billionaires Behind the Rise of the Radical Right</w:t>
      </w:r>
      <w:r>
        <w:rPr>
          <w:sz w:val="22"/>
          <w:szCs w:val="22"/>
        </w:rPr>
        <w:t xml:space="preserve">. New York: Doubleday. </w:t>
      </w:r>
    </w:p>
    <w:p w14:paraId="3EB372F3" w14:textId="77777777" w:rsidR="00D00B16" w:rsidRDefault="00365F6D">
      <w:pPr>
        <w:ind w:left="720" w:hanging="720"/>
        <w:rPr>
          <w:sz w:val="22"/>
          <w:szCs w:val="22"/>
        </w:rPr>
      </w:pPr>
      <w:r>
        <w:rPr>
          <w:sz w:val="22"/>
          <w:szCs w:val="22"/>
        </w:rPr>
        <w:t xml:space="preserve">Meyer, John W., and Patricia Bromley. 2013. “The Worldwide Expansion of ‘Organization.’” </w:t>
      </w:r>
      <w:r>
        <w:rPr>
          <w:i/>
          <w:sz w:val="22"/>
          <w:szCs w:val="22"/>
        </w:rPr>
        <w:t>Sociological Theory</w:t>
      </w:r>
      <w:r>
        <w:rPr>
          <w:sz w:val="22"/>
          <w:szCs w:val="22"/>
        </w:rPr>
        <w:t xml:space="preserve"> 31(4): 366-389. </w:t>
      </w:r>
    </w:p>
    <w:p w14:paraId="054DB3E4" w14:textId="77777777" w:rsidR="00D00B16" w:rsidRPr="009D370D" w:rsidRDefault="00365F6D">
      <w:pPr>
        <w:tabs>
          <w:tab w:val="left" w:pos="3600"/>
          <w:tab w:val="left" w:pos="5796"/>
        </w:tabs>
        <w:ind w:left="720" w:hanging="720"/>
        <w:rPr>
          <w:sz w:val="22"/>
          <w:szCs w:val="22"/>
        </w:rPr>
      </w:pPr>
      <w:r w:rsidRPr="009D370D">
        <w:rPr>
          <w:sz w:val="22"/>
          <w:szCs w:val="22"/>
        </w:rPr>
        <w:t xml:space="preserve">Minkoff, Debra. 2016. “The Payoffs of Organizational Membership for Political Activism in Established Democracies.” </w:t>
      </w:r>
      <w:r w:rsidRPr="009D370D">
        <w:rPr>
          <w:i/>
          <w:sz w:val="22"/>
          <w:szCs w:val="22"/>
        </w:rPr>
        <w:t>American Journal of Sociology</w:t>
      </w:r>
      <w:r w:rsidRPr="009D370D">
        <w:rPr>
          <w:sz w:val="22"/>
          <w:szCs w:val="22"/>
        </w:rPr>
        <w:t xml:space="preserve"> 122(2): 425-468. </w:t>
      </w:r>
    </w:p>
    <w:p w14:paraId="10FADC9E" w14:textId="77777777" w:rsidR="00D00B16" w:rsidRDefault="00365F6D">
      <w:pPr>
        <w:ind w:left="720" w:hanging="720"/>
        <w:rPr>
          <w:sz w:val="22"/>
          <w:szCs w:val="22"/>
        </w:rPr>
      </w:pPr>
      <w:r>
        <w:rPr>
          <w:sz w:val="22"/>
          <w:szCs w:val="22"/>
        </w:rPr>
        <w:t xml:space="preserve">Minkoff, Debra. 2002. “The Emergence of Hybrid Organizational Forms: Combining Identity-Based Service Provision and Political Action.” </w:t>
      </w:r>
      <w:r>
        <w:rPr>
          <w:i/>
          <w:sz w:val="22"/>
          <w:szCs w:val="22"/>
        </w:rPr>
        <w:t>Nonprofit and Voluntary Sector Quarterly</w:t>
      </w:r>
      <w:r>
        <w:rPr>
          <w:sz w:val="22"/>
          <w:szCs w:val="22"/>
        </w:rPr>
        <w:t xml:space="preserve"> 31(3): 377-401.</w:t>
      </w:r>
    </w:p>
    <w:p w14:paraId="69ED6C1F" w14:textId="6C59D39D" w:rsidR="00416783" w:rsidRDefault="00416783">
      <w:pPr>
        <w:ind w:left="720" w:hanging="720"/>
        <w:rPr>
          <w:sz w:val="22"/>
          <w:szCs w:val="22"/>
        </w:rPr>
      </w:pPr>
      <w:r>
        <w:rPr>
          <w:sz w:val="22"/>
          <w:szCs w:val="22"/>
        </w:rPr>
        <w:t xml:space="preserve">Moody, Michael. 2008. “’Building a Culture’: The Construction and Evolution of Venture Philanthropy as a New Organizational Field.” </w:t>
      </w:r>
      <w:r w:rsidRPr="004373EF">
        <w:rPr>
          <w:i/>
          <w:sz w:val="22"/>
          <w:szCs w:val="22"/>
        </w:rPr>
        <w:t>Nonprofit and Voluntary Sector Quarterly</w:t>
      </w:r>
      <w:r>
        <w:rPr>
          <w:sz w:val="22"/>
          <w:szCs w:val="22"/>
        </w:rPr>
        <w:t xml:space="preserve"> 37(2): 324-35. </w:t>
      </w:r>
    </w:p>
    <w:p w14:paraId="02EE4203" w14:textId="5459BEEC" w:rsidR="00D00B16" w:rsidRDefault="00365F6D">
      <w:pPr>
        <w:ind w:left="720" w:hanging="720"/>
        <w:rPr>
          <w:sz w:val="22"/>
          <w:szCs w:val="22"/>
        </w:rPr>
      </w:pPr>
      <w:r>
        <w:rPr>
          <w:sz w:val="22"/>
          <w:szCs w:val="22"/>
        </w:rPr>
        <w:t xml:space="preserve">Mosley, Jennifer, and Joe </w:t>
      </w:r>
      <w:proofErr w:type="spellStart"/>
      <w:r>
        <w:rPr>
          <w:sz w:val="22"/>
          <w:szCs w:val="22"/>
        </w:rPr>
        <w:t>Galaskiewicz</w:t>
      </w:r>
      <w:proofErr w:type="spellEnd"/>
      <w:r>
        <w:rPr>
          <w:sz w:val="22"/>
          <w:szCs w:val="22"/>
        </w:rPr>
        <w:t xml:space="preserve">. 2015. “The Relationship Between Philanthropic Foundation Funding and State-Level Policy in the Era of Welfare Reform.” </w:t>
      </w:r>
      <w:r>
        <w:rPr>
          <w:i/>
          <w:sz w:val="22"/>
          <w:szCs w:val="22"/>
        </w:rPr>
        <w:t>Nonprofit and Voluntary Sector Quarterly</w:t>
      </w:r>
      <w:r>
        <w:rPr>
          <w:sz w:val="22"/>
          <w:szCs w:val="22"/>
        </w:rPr>
        <w:t xml:space="preserve"> 44(6): 1225-1254. </w:t>
      </w:r>
    </w:p>
    <w:p w14:paraId="096731CE" w14:textId="77777777" w:rsidR="00D00B16" w:rsidRDefault="00365F6D">
      <w:pPr>
        <w:ind w:left="720" w:hanging="720"/>
        <w:rPr>
          <w:sz w:val="22"/>
          <w:szCs w:val="22"/>
        </w:rPr>
      </w:pPr>
      <w:r>
        <w:rPr>
          <w:sz w:val="22"/>
          <w:szCs w:val="22"/>
        </w:rPr>
        <w:lastRenderedPageBreak/>
        <w:t xml:space="preserve">Mosley, Jennifer. 2013. “The Beliefs of Homeless Service Managers about Policy Advocacy: Definitions, Legal Understanding, and Motivations to Participate.” </w:t>
      </w:r>
      <w:r>
        <w:rPr>
          <w:i/>
          <w:sz w:val="22"/>
          <w:szCs w:val="22"/>
        </w:rPr>
        <w:t>Administration in Social Work</w:t>
      </w:r>
      <w:r>
        <w:rPr>
          <w:sz w:val="22"/>
          <w:szCs w:val="22"/>
        </w:rPr>
        <w:t xml:space="preserve"> 37(1): 73-89. </w:t>
      </w:r>
    </w:p>
    <w:p w14:paraId="56EE4E9B" w14:textId="77777777" w:rsidR="00D00B16" w:rsidRDefault="00365F6D">
      <w:pPr>
        <w:ind w:left="720" w:hanging="720"/>
        <w:rPr>
          <w:sz w:val="22"/>
          <w:szCs w:val="22"/>
        </w:rPr>
      </w:pPr>
      <w:r>
        <w:rPr>
          <w:sz w:val="22"/>
          <w:szCs w:val="22"/>
        </w:rPr>
        <w:t xml:space="preserve">Mosley, Jennifer. 2012. “Keeping the Lights On: How Government Funding Concerns Drive the Advocacy Agendas of Nonprofit Homeless Service Providers.” </w:t>
      </w:r>
      <w:r>
        <w:rPr>
          <w:i/>
          <w:sz w:val="22"/>
          <w:szCs w:val="22"/>
        </w:rPr>
        <w:t>Journal of Public Administration Research and Theory</w:t>
      </w:r>
      <w:r>
        <w:rPr>
          <w:sz w:val="22"/>
          <w:szCs w:val="22"/>
        </w:rPr>
        <w:t xml:space="preserve"> 22(4): 841-866.  </w:t>
      </w:r>
    </w:p>
    <w:p w14:paraId="0F4A6592" w14:textId="77777777" w:rsidR="00D00B16" w:rsidRDefault="00365F6D">
      <w:pPr>
        <w:ind w:left="720" w:hanging="720"/>
        <w:rPr>
          <w:sz w:val="22"/>
          <w:szCs w:val="22"/>
        </w:rPr>
      </w:pPr>
      <w:r>
        <w:rPr>
          <w:sz w:val="22"/>
          <w:szCs w:val="22"/>
        </w:rPr>
        <w:t xml:space="preserve">Nickel, Patricia, and Angela Eikenberry. 2009. “A Critique of the Discourse of Marketized Philanthropy.” </w:t>
      </w:r>
      <w:r w:rsidRPr="009D370D">
        <w:rPr>
          <w:i/>
          <w:sz w:val="22"/>
          <w:szCs w:val="22"/>
        </w:rPr>
        <w:t>American Behavioral Scientist</w:t>
      </w:r>
      <w:r>
        <w:rPr>
          <w:sz w:val="22"/>
          <w:szCs w:val="22"/>
        </w:rPr>
        <w:t xml:space="preserve"> 52(7): 974-989.</w:t>
      </w:r>
    </w:p>
    <w:p w14:paraId="3427515B" w14:textId="77777777" w:rsidR="00D00B16" w:rsidRDefault="00365F6D">
      <w:pPr>
        <w:ind w:left="720" w:hanging="720"/>
        <w:rPr>
          <w:sz w:val="22"/>
          <w:szCs w:val="22"/>
        </w:rPr>
      </w:pPr>
      <w:r>
        <w:rPr>
          <w:sz w:val="22"/>
          <w:szCs w:val="22"/>
        </w:rPr>
        <w:t xml:space="preserve">O’Connor, Alice. 2010. “Foundations, Social Movements, and the Contradictions of Liberal Philanthropy.” Pp. 328-346 in H. </w:t>
      </w:r>
      <w:proofErr w:type="spellStart"/>
      <w:r>
        <w:rPr>
          <w:sz w:val="22"/>
          <w:szCs w:val="22"/>
        </w:rPr>
        <w:t>Anheier</w:t>
      </w:r>
      <w:proofErr w:type="spellEnd"/>
      <w:r>
        <w:rPr>
          <w:sz w:val="22"/>
          <w:szCs w:val="22"/>
        </w:rPr>
        <w:t xml:space="preserve"> and D. Hammack, eds., </w:t>
      </w:r>
      <w:r>
        <w:rPr>
          <w:i/>
          <w:sz w:val="22"/>
          <w:szCs w:val="22"/>
        </w:rPr>
        <w:t>American Foundations: Roles and Contributions</w:t>
      </w:r>
      <w:r>
        <w:rPr>
          <w:sz w:val="22"/>
          <w:szCs w:val="22"/>
        </w:rPr>
        <w:t xml:space="preserve">. Washington, D.C.: Brookings. </w:t>
      </w:r>
    </w:p>
    <w:p w14:paraId="6368D631" w14:textId="77777777" w:rsidR="00D00B16" w:rsidRDefault="00365F6D">
      <w:pPr>
        <w:ind w:left="720" w:hanging="720"/>
        <w:rPr>
          <w:sz w:val="22"/>
          <w:szCs w:val="22"/>
        </w:rPr>
      </w:pPr>
      <w:r>
        <w:rPr>
          <w:sz w:val="22"/>
          <w:szCs w:val="22"/>
        </w:rPr>
        <w:t xml:space="preserve">Powell, Walter W., Aaron Horvath, and Christof </w:t>
      </w:r>
      <w:proofErr w:type="spellStart"/>
      <w:r>
        <w:rPr>
          <w:sz w:val="22"/>
          <w:szCs w:val="22"/>
        </w:rPr>
        <w:t>Brandtner</w:t>
      </w:r>
      <w:proofErr w:type="spellEnd"/>
      <w:r>
        <w:rPr>
          <w:sz w:val="22"/>
          <w:szCs w:val="22"/>
        </w:rPr>
        <w:t xml:space="preserve">. 2016. “Click and Mortar: Organizations on the Web.” </w:t>
      </w:r>
      <w:r>
        <w:rPr>
          <w:i/>
          <w:sz w:val="22"/>
          <w:szCs w:val="22"/>
        </w:rPr>
        <w:t>Research in Organizational Behavior</w:t>
      </w:r>
      <w:r>
        <w:rPr>
          <w:sz w:val="22"/>
          <w:szCs w:val="22"/>
        </w:rPr>
        <w:t xml:space="preserve">, forthcoming. </w:t>
      </w:r>
    </w:p>
    <w:p w14:paraId="47EDF03D" w14:textId="77777777" w:rsidR="00D00B16" w:rsidRDefault="00365F6D">
      <w:pPr>
        <w:ind w:left="720" w:hanging="720"/>
        <w:rPr>
          <w:sz w:val="22"/>
          <w:szCs w:val="22"/>
        </w:rPr>
      </w:pPr>
      <w:r>
        <w:rPr>
          <w:sz w:val="22"/>
          <w:szCs w:val="22"/>
        </w:rPr>
        <w:t xml:space="preserve">Prewitt, Kenneth. 1999. “Foundations as Mirrors of Public Culture.” </w:t>
      </w:r>
      <w:r>
        <w:rPr>
          <w:i/>
          <w:sz w:val="22"/>
          <w:szCs w:val="22"/>
        </w:rPr>
        <w:t>American Behavioral Scientist</w:t>
      </w:r>
      <w:r>
        <w:rPr>
          <w:sz w:val="22"/>
          <w:szCs w:val="22"/>
        </w:rPr>
        <w:t xml:space="preserve"> 4(6): 977-986. </w:t>
      </w:r>
    </w:p>
    <w:p w14:paraId="0E263738" w14:textId="77777777" w:rsidR="00D00B16" w:rsidRDefault="00365F6D">
      <w:pPr>
        <w:ind w:left="720" w:hanging="720"/>
        <w:rPr>
          <w:sz w:val="22"/>
          <w:szCs w:val="22"/>
        </w:rPr>
      </w:pPr>
      <w:r>
        <w:rPr>
          <w:sz w:val="22"/>
          <w:szCs w:val="22"/>
        </w:rPr>
        <w:t xml:space="preserve">Prewitt, Kenneth, </w:t>
      </w:r>
      <w:proofErr w:type="spellStart"/>
      <w:r>
        <w:rPr>
          <w:sz w:val="22"/>
          <w:szCs w:val="22"/>
        </w:rPr>
        <w:t>Mattei</w:t>
      </w:r>
      <w:proofErr w:type="spellEnd"/>
      <w:r>
        <w:rPr>
          <w:sz w:val="22"/>
          <w:szCs w:val="22"/>
        </w:rPr>
        <w:t xml:space="preserve"> Dogan, Steven </w:t>
      </w:r>
      <w:proofErr w:type="spellStart"/>
      <w:r>
        <w:rPr>
          <w:sz w:val="22"/>
          <w:szCs w:val="22"/>
        </w:rPr>
        <w:t>Heydemann</w:t>
      </w:r>
      <w:proofErr w:type="spellEnd"/>
      <w:r>
        <w:rPr>
          <w:sz w:val="22"/>
          <w:szCs w:val="22"/>
        </w:rPr>
        <w:t xml:space="preserve">, and Stefan </w:t>
      </w:r>
      <w:proofErr w:type="spellStart"/>
      <w:r>
        <w:rPr>
          <w:sz w:val="22"/>
          <w:szCs w:val="22"/>
        </w:rPr>
        <w:t>Toepler</w:t>
      </w:r>
      <w:proofErr w:type="spellEnd"/>
      <w:r>
        <w:rPr>
          <w:sz w:val="22"/>
          <w:szCs w:val="22"/>
        </w:rPr>
        <w:t xml:space="preserve">, eds. 2006. </w:t>
      </w:r>
      <w:r>
        <w:rPr>
          <w:i/>
          <w:sz w:val="22"/>
          <w:szCs w:val="22"/>
        </w:rPr>
        <w:t>The Legitimacy of Philanthropic Foundations</w:t>
      </w:r>
      <w:r>
        <w:rPr>
          <w:sz w:val="22"/>
          <w:szCs w:val="22"/>
        </w:rPr>
        <w:t xml:space="preserve">. New York: The Russell Sage Foundation. </w:t>
      </w:r>
    </w:p>
    <w:p w14:paraId="6B2117C3" w14:textId="77777777" w:rsidR="00D00B16" w:rsidRDefault="00365F6D">
      <w:pPr>
        <w:ind w:left="720" w:hanging="720"/>
        <w:rPr>
          <w:sz w:val="22"/>
          <w:szCs w:val="22"/>
        </w:rPr>
      </w:pPr>
      <w:r>
        <w:rPr>
          <w:sz w:val="22"/>
          <w:szCs w:val="22"/>
        </w:rPr>
        <w:t>Quinn, Rand, Megan Tompkins-</w:t>
      </w:r>
      <w:proofErr w:type="spellStart"/>
      <w:r>
        <w:rPr>
          <w:sz w:val="22"/>
          <w:szCs w:val="22"/>
        </w:rPr>
        <w:t>Stange</w:t>
      </w:r>
      <w:proofErr w:type="spellEnd"/>
      <w:r>
        <w:rPr>
          <w:sz w:val="22"/>
          <w:szCs w:val="22"/>
        </w:rPr>
        <w:t xml:space="preserve">, and Debra Meyerson. 2014. “Beyond Grantmaking: Philanthropic Foundations as Agents of Change and Institutional Entrepreneurs.” </w:t>
      </w:r>
      <w:r>
        <w:rPr>
          <w:i/>
          <w:sz w:val="22"/>
          <w:szCs w:val="22"/>
        </w:rPr>
        <w:t>Nonprofit and Voluntary Sector Quarterly</w:t>
      </w:r>
      <w:r>
        <w:rPr>
          <w:sz w:val="22"/>
          <w:szCs w:val="22"/>
        </w:rPr>
        <w:t xml:space="preserve"> 43(6): 950-968. </w:t>
      </w:r>
    </w:p>
    <w:p w14:paraId="6F998B6C" w14:textId="77777777" w:rsidR="00D00B16" w:rsidRDefault="00365F6D">
      <w:pPr>
        <w:ind w:left="720" w:hanging="720"/>
        <w:rPr>
          <w:sz w:val="22"/>
          <w:szCs w:val="22"/>
        </w:rPr>
      </w:pPr>
      <w:proofErr w:type="spellStart"/>
      <w:r>
        <w:rPr>
          <w:sz w:val="22"/>
          <w:szCs w:val="22"/>
        </w:rPr>
        <w:t>Reckhow</w:t>
      </w:r>
      <w:proofErr w:type="spellEnd"/>
      <w:r>
        <w:rPr>
          <w:sz w:val="22"/>
          <w:szCs w:val="22"/>
        </w:rPr>
        <w:t xml:space="preserve">, Sarah. 2016. “More than Patrons: How Foundations Fuel Policy Change and Backlash.” </w:t>
      </w:r>
      <w:r>
        <w:rPr>
          <w:i/>
          <w:sz w:val="22"/>
          <w:szCs w:val="22"/>
        </w:rPr>
        <w:t>PS: Political Science &amp; Politics</w:t>
      </w:r>
      <w:r>
        <w:rPr>
          <w:sz w:val="22"/>
          <w:szCs w:val="22"/>
        </w:rPr>
        <w:t xml:space="preserve"> 49(3): 449-454. </w:t>
      </w:r>
    </w:p>
    <w:p w14:paraId="7086AA8A" w14:textId="77777777" w:rsidR="00D00B16" w:rsidRDefault="00365F6D">
      <w:pPr>
        <w:ind w:left="720" w:hanging="720"/>
        <w:rPr>
          <w:sz w:val="22"/>
          <w:szCs w:val="22"/>
        </w:rPr>
      </w:pPr>
      <w:proofErr w:type="spellStart"/>
      <w:r>
        <w:rPr>
          <w:sz w:val="22"/>
          <w:szCs w:val="22"/>
        </w:rPr>
        <w:t>Reckhow</w:t>
      </w:r>
      <w:proofErr w:type="spellEnd"/>
      <w:r>
        <w:rPr>
          <w:sz w:val="22"/>
          <w:szCs w:val="22"/>
        </w:rPr>
        <w:t xml:space="preserve">, Sarah. 2013. </w:t>
      </w:r>
      <w:r>
        <w:rPr>
          <w:i/>
          <w:sz w:val="22"/>
          <w:szCs w:val="22"/>
        </w:rPr>
        <w:t>Follow the Money: How Foundation Dollars Change Public School Politics</w:t>
      </w:r>
      <w:r>
        <w:rPr>
          <w:sz w:val="22"/>
          <w:szCs w:val="22"/>
        </w:rPr>
        <w:t>. New York: Oxford University Press.</w:t>
      </w:r>
    </w:p>
    <w:p w14:paraId="79495728" w14:textId="77777777" w:rsidR="00D00B16" w:rsidRDefault="00365F6D">
      <w:pPr>
        <w:ind w:left="720" w:hanging="720"/>
        <w:rPr>
          <w:sz w:val="22"/>
          <w:szCs w:val="22"/>
        </w:rPr>
      </w:pPr>
      <w:r>
        <w:rPr>
          <w:sz w:val="22"/>
          <w:szCs w:val="22"/>
        </w:rPr>
        <w:t xml:space="preserve">Reich, Rob, Chiara </w:t>
      </w:r>
      <w:proofErr w:type="spellStart"/>
      <w:r>
        <w:rPr>
          <w:sz w:val="22"/>
          <w:szCs w:val="22"/>
        </w:rPr>
        <w:t>Cordelli</w:t>
      </w:r>
      <w:proofErr w:type="spellEnd"/>
      <w:r>
        <w:rPr>
          <w:sz w:val="22"/>
          <w:szCs w:val="22"/>
        </w:rPr>
        <w:t xml:space="preserve">, and Lucy </w:t>
      </w:r>
      <w:proofErr w:type="spellStart"/>
      <w:r>
        <w:rPr>
          <w:sz w:val="22"/>
          <w:szCs w:val="22"/>
        </w:rPr>
        <w:t>Bernholz</w:t>
      </w:r>
      <w:proofErr w:type="spellEnd"/>
      <w:r>
        <w:rPr>
          <w:sz w:val="22"/>
          <w:szCs w:val="22"/>
        </w:rPr>
        <w:t xml:space="preserve"> (Eds.). 2017. </w:t>
      </w:r>
      <w:r>
        <w:rPr>
          <w:i/>
          <w:sz w:val="22"/>
          <w:szCs w:val="22"/>
        </w:rPr>
        <w:t>Philanthropy in Democratic Societies: History, Institutions, Values</w:t>
      </w:r>
      <w:r>
        <w:rPr>
          <w:sz w:val="22"/>
          <w:szCs w:val="22"/>
        </w:rPr>
        <w:t xml:space="preserve">. Chicago: University of Chicago Press. </w:t>
      </w:r>
    </w:p>
    <w:p w14:paraId="0DA19072" w14:textId="77777777" w:rsidR="00D00B16" w:rsidRDefault="00365F6D">
      <w:pPr>
        <w:ind w:left="720" w:hanging="720"/>
        <w:rPr>
          <w:sz w:val="22"/>
          <w:szCs w:val="22"/>
        </w:rPr>
      </w:pPr>
      <w:r>
        <w:rPr>
          <w:sz w:val="22"/>
          <w:szCs w:val="22"/>
        </w:rPr>
        <w:t xml:space="preserve">Reid, Elizabeth. 2006. “Nonprofit Advocacy and Political Participation.” Pp. 343-372 in </w:t>
      </w:r>
      <w:r>
        <w:rPr>
          <w:i/>
          <w:sz w:val="22"/>
          <w:szCs w:val="22"/>
        </w:rPr>
        <w:t>Nonprofits and Government</w:t>
      </w:r>
      <w:r>
        <w:rPr>
          <w:sz w:val="22"/>
          <w:szCs w:val="22"/>
        </w:rPr>
        <w:t xml:space="preserve"> (2d. ed.), edited by Elizabeth Boris and C.E. </w:t>
      </w:r>
      <w:proofErr w:type="spellStart"/>
      <w:r>
        <w:rPr>
          <w:sz w:val="22"/>
          <w:szCs w:val="22"/>
        </w:rPr>
        <w:t>Steurle</w:t>
      </w:r>
      <w:proofErr w:type="spellEnd"/>
      <w:r>
        <w:rPr>
          <w:sz w:val="22"/>
          <w:szCs w:val="22"/>
        </w:rPr>
        <w:t>. Washington, DC: Urban Institute Press.</w:t>
      </w:r>
    </w:p>
    <w:p w14:paraId="0A2F2315" w14:textId="77777777" w:rsidR="00D00B16" w:rsidRDefault="00365F6D">
      <w:pPr>
        <w:ind w:left="720" w:hanging="720"/>
        <w:rPr>
          <w:sz w:val="22"/>
          <w:szCs w:val="22"/>
        </w:rPr>
      </w:pPr>
      <w:r>
        <w:rPr>
          <w:sz w:val="22"/>
          <w:szCs w:val="22"/>
        </w:rPr>
        <w:t xml:space="preserve">Rich, Andrew. 2004. </w:t>
      </w:r>
      <w:r>
        <w:rPr>
          <w:i/>
          <w:sz w:val="22"/>
          <w:szCs w:val="22"/>
        </w:rPr>
        <w:t>Think Tanks and the Politics of Expertise</w:t>
      </w:r>
      <w:r>
        <w:rPr>
          <w:sz w:val="22"/>
          <w:szCs w:val="22"/>
        </w:rPr>
        <w:t xml:space="preserve">. New York: Cambridge University Press. </w:t>
      </w:r>
    </w:p>
    <w:p w14:paraId="4D61A2E9" w14:textId="77777777" w:rsidR="00D00B16" w:rsidRDefault="00365F6D">
      <w:pPr>
        <w:ind w:left="720" w:hanging="720"/>
        <w:rPr>
          <w:sz w:val="22"/>
          <w:szCs w:val="22"/>
        </w:rPr>
      </w:pPr>
      <w:proofErr w:type="spellStart"/>
      <w:r>
        <w:rPr>
          <w:sz w:val="22"/>
          <w:szCs w:val="22"/>
        </w:rPr>
        <w:t>Roelofs</w:t>
      </w:r>
      <w:proofErr w:type="spellEnd"/>
      <w:r>
        <w:rPr>
          <w:sz w:val="22"/>
          <w:szCs w:val="22"/>
        </w:rPr>
        <w:t xml:space="preserve">, Joan. 2003. </w:t>
      </w:r>
      <w:r>
        <w:rPr>
          <w:i/>
          <w:sz w:val="22"/>
          <w:szCs w:val="22"/>
        </w:rPr>
        <w:t>Foundations and Public Policy: The Mask of Pluralism</w:t>
      </w:r>
      <w:r>
        <w:rPr>
          <w:sz w:val="22"/>
          <w:szCs w:val="22"/>
        </w:rPr>
        <w:t xml:space="preserve">. Albany, NY: SUNY Press. </w:t>
      </w:r>
    </w:p>
    <w:p w14:paraId="35B3AD05" w14:textId="77777777" w:rsidR="00D00B16" w:rsidRDefault="00365F6D">
      <w:pPr>
        <w:ind w:left="720" w:hanging="720"/>
        <w:rPr>
          <w:sz w:val="22"/>
          <w:szCs w:val="22"/>
        </w:rPr>
      </w:pPr>
      <w:proofErr w:type="spellStart"/>
      <w:r>
        <w:rPr>
          <w:sz w:val="22"/>
          <w:szCs w:val="22"/>
        </w:rPr>
        <w:t>Schlozman</w:t>
      </w:r>
      <w:proofErr w:type="spellEnd"/>
      <w:r>
        <w:rPr>
          <w:sz w:val="22"/>
          <w:szCs w:val="22"/>
        </w:rPr>
        <w:t xml:space="preserve">, Key Lehman, Sidney </w:t>
      </w:r>
      <w:proofErr w:type="spellStart"/>
      <w:r>
        <w:rPr>
          <w:sz w:val="22"/>
          <w:szCs w:val="22"/>
        </w:rPr>
        <w:t>Verba</w:t>
      </w:r>
      <w:proofErr w:type="spellEnd"/>
      <w:r>
        <w:rPr>
          <w:sz w:val="22"/>
          <w:szCs w:val="22"/>
        </w:rPr>
        <w:t xml:space="preserve">, and Henry Brady. 2012. </w:t>
      </w:r>
      <w:r>
        <w:rPr>
          <w:i/>
          <w:sz w:val="22"/>
          <w:szCs w:val="22"/>
        </w:rPr>
        <w:t>The Unheavenly Chorus: Unequal Political Voice and the Broken Promise of American Democracy</w:t>
      </w:r>
      <w:r>
        <w:rPr>
          <w:sz w:val="22"/>
          <w:szCs w:val="22"/>
        </w:rPr>
        <w:t>. Princeton: Princeton University Press.</w:t>
      </w:r>
    </w:p>
    <w:p w14:paraId="490173A1" w14:textId="77777777" w:rsidR="00D00B16" w:rsidRDefault="00365F6D">
      <w:pPr>
        <w:ind w:left="720" w:hanging="720"/>
        <w:rPr>
          <w:sz w:val="22"/>
          <w:szCs w:val="22"/>
        </w:rPr>
      </w:pPr>
      <w:r>
        <w:rPr>
          <w:sz w:val="22"/>
          <w:szCs w:val="22"/>
        </w:rPr>
        <w:t xml:space="preserve">Seattle Foundation. 2017. “Seattle Foundation.” Website available at: </w:t>
      </w:r>
      <w:hyperlink r:id="rId14">
        <w:r>
          <w:rPr>
            <w:color w:val="0563C1"/>
            <w:sz w:val="22"/>
            <w:szCs w:val="22"/>
            <w:u w:val="single"/>
          </w:rPr>
          <w:t>https://www.seattlefoundation.org/</w:t>
        </w:r>
      </w:hyperlink>
      <w:r>
        <w:rPr>
          <w:sz w:val="22"/>
          <w:szCs w:val="22"/>
        </w:rPr>
        <w:t xml:space="preserve">  </w:t>
      </w:r>
    </w:p>
    <w:p w14:paraId="57BDC705" w14:textId="77777777" w:rsidR="00D00B16" w:rsidRDefault="00365F6D">
      <w:pPr>
        <w:ind w:left="720" w:hanging="720"/>
        <w:rPr>
          <w:sz w:val="22"/>
          <w:szCs w:val="22"/>
        </w:rPr>
      </w:pPr>
      <w:r>
        <w:rPr>
          <w:sz w:val="22"/>
          <w:szCs w:val="22"/>
        </w:rPr>
        <w:t xml:space="preserve">Small, Mario. 2006. “Neighborhood Institutions as Resource Brokers: Childcare Centers, Interorganizational Ties, and Resource Access among the Poor.” </w:t>
      </w:r>
      <w:r>
        <w:rPr>
          <w:i/>
          <w:sz w:val="22"/>
          <w:szCs w:val="22"/>
        </w:rPr>
        <w:t>Social Problems</w:t>
      </w:r>
      <w:r>
        <w:rPr>
          <w:sz w:val="22"/>
          <w:szCs w:val="22"/>
        </w:rPr>
        <w:t xml:space="preserve"> 53(2): 274-292. </w:t>
      </w:r>
    </w:p>
    <w:p w14:paraId="2688FB5C" w14:textId="77777777" w:rsidR="00D00B16" w:rsidRDefault="00365F6D">
      <w:pPr>
        <w:ind w:left="720" w:hanging="720"/>
        <w:rPr>
          <w:sz w:val="22"/>
          <w:szCs w:val="22"/>
        </w:rPr>
      </w:pPr>
      <w:r>
        <w:rPr>
          <w:sz w:val="22"/>
          <w:szCs w:val="22"/>
        </w:rPr>
        <w:t xml:space="preserve">Snow, David E. 2004. “Framing Processes, Ideology, and Discursive Fields.” Pp. 380-412 in </w:t>
      </w:r>
      <w:r>
        <w:rPr>
          <w:i/>
          <w:sz w:val="22"/>
          <w:szCs w:val="22"/>
        </w:rPr>
        <w:t>The Blackwell Companion to Social Movements,</w:t>
      </w:r>
      <w:r>
        <w:rPr>
          <w:sz w:val="22"/>
          <w:szCs w:val="22"/>
        </w:rPr>
        <w:t xml:space="preserve"> edited by David Snow, Sarah Soule, and </w:t>
      </w:r>
      <w:proofErr w:type="spellStart"/>
      <w:r>
        <w:rPr>
          <w:sz w:val="22"/>
          <w:szCs w:val="22"/>
        </w:rPr>
        <w:t>Hanspeter</w:t>
      </w:r>
      <w:proofErr w:type="spellEnd"/>
      <w:r>
        <w:rPr>
          <w:sz w:val="22"/>
          <w:szCs w:val="22"/>
        </w:rPr>
        <w:t xml:space="preserve"> </w:t>
      </w:r>
      <w:proofErr w:type="spellStart"/>
      <w:r>
        <w:rPr>
          <w:sz w:val="22"/>
          <w:szCs w:val="22"/>
        </w:rPr>
        <w:t>Kriesi</w:t>
      </w:r>
      <w:proofErr w:type="spellEnd"/>
      <w:r>
        <w:rPr>
          <w:sz w:val="22"/>
          <w:szCs w:val="22"/>
        </w:rPr>
        <w:t xml:space="preserve">. Malden, MA: Blackwell.  </w:t>
      </w:r>
    </w:p>
    <w:p w14:paraId="701FCB84" w14:textId="77777777" w:rsidR="00D00B16" w:rsidRDefault="00365F6D">
      <w:pPr>
        <w:ind w:left="720" w:hanging="720"/>
        <w:rPr>
          <w:sz w:val="22"/>
          <w:szCs w:val="22"/>
        </w:rPr>
      </w:pPr>
      <w:r>
        <w:rPr>
          <w:sz w:val="22"/>
          <w:szCs w:val="22"/>
        </w:rPr>
        <w:t xml:space="preserve">Snow, David A., E. Burke Rochford, Steven K. Worden, and Robert D. </w:t>
      </w:r>
      <w:proofErr w:type="spellStart"/>
      <w:r>
        <w:rPr>
          <w:sz w:val="22"/>
          <w:szCs w:val="22"/>
        </w:rPr>
        <w:t>Benford</w:t>
      </w:r>
      <w:proofErr w:type="spellEnd"/>
      <w:r>
        <w:rPr>
          <w:sz w:val="22"/>
          <w:szCs w:val="22"/>
        </w:rPr>
        <w:t xml:space="preserve">. 1986. “Frame Alignment Processes, </w:t>
      </w:r>
      <w:proofErr w:type="spellStart"/>
      <w:r>
        <w:rPr>
          <w:sz w:val="22"/>
          <w:szCs w:val="22"/>
        </w:rPr>
        <w:t>Micromobilization</w:t>
      </w:r>
      <w:proofErr w:type="spellEnd"/>
      <w:r>
        <w:rPr>
          <w:sz w:val="22"/>
          <w:szCs w:val="22"/>
        </w:rPr>
        <w:t xml:space="preserve">, and Movement Participation.” </w:t>
      </w:r>
      <w:r>
        <w:rPr>
          <w:i/>
          <w:sz w:val="22"/>
          <w:szCs w:val="22"/>
        </w:rPr>
        <w:t>American Sociological Review</w:t>
      </w:r>
      <w:r>
        <w:rPr>
          <w:sz w:val="22"/>
          <w:szCs w:val="22"/>
        </w:rPr>
        <w:t xml:space="preserve"> 51:464-481.  </w:t>
      </w:r>
    </w:p>
    <w:p w14:paraId="0ECF71A8" w14:textId="77777777" w:rsidR="00D00B16" w:rsidRDefault="00365F6D">
      <w:pPr>
        <w:ind w:left="720" w:hanging="720"/>
        <w:rPr>
          <w:sz w:val="22"/>
          <w:szCs w:val="22"/>
        </w:rPr>
      </w:pPr>
      <w:r>
        <w:rPr>
          <w:sz w:val="22"/>
          <w:szCs w:val="22"/>
        </w:rPr>
        <w:t xml:space="preserve">Stewart, Amanda, and Lewis Faulk. 2014. “Administrative Growth and Grant Payouts in Nonprofit Foundations: Fulfilling the Public Good amid Professionalization?” </w:t>
      </w:r>
      <w:r>
        <w:rPr>
          <w:i/>
          <w:sz w:val="22"/>
          <w:szCs w:val="22"/>
        </w:rPr>
        <w:t>Public Administration Review</w:t>
      </w:r>
      <w:r>
        <w:rPr>
          <w:sz w:val="22"/>
          <w:szCs w:val="22"/>
        </w:rPr>
        <w:t xml:space="preserve"> 74(5): 630-639.  </w:t>
      </w:r>
    </w:p>
    <w:p w14:paraId="4747E052" w14:textId="77777777" w:rsidR="00D00B16" w:rsidRDefault="00365F6D">
      <w:pPr>
        <w:ind w:left="720" w:hanging="720"/>
        <w:rPr>
          <w:sz w:val="22"/>
          <w:szCs w:val="22"/>
        </w:rPr>
      </w:pPr>
      <w:proofErr w:type="spellStart"/>
      <w:r>
        <w:rPr>
          <w:sz w:val="22"/>
          <w:szCs w:val="22"/>
        </w:rPr>
        <w:t>Strolovich</w:t>
      </w:r>
      <w:proofErr w:type="spellEnd"/>
      <w:r>
        <w:rPr>
          <w:sz w:val="22"/>
          <w:szCs w:val="22"/>
        </w:rPr>
        <w:t xml:space="preserve">, Dara. 2007. </w:t>
      </w:r>
      <w:r>
        <w:rPr>
          <w:i/>
          <w:sz w:val="22"/>
          <w:szCs w:val="22"/>
        </w:rPr>
        <w:t>Affirmative Advocacy: Race, Class, and Gender in Interest Group Politics</w:t>
      </w:r>
      <w:r>
        <w:rPr>
          <w:sz w:val="22"/>
          <w:szCs w:val="22"/>
        </w:rPr>
        <w:t xml:space="preserve">. Chicago: University of Chicago Press. </w:t>
      </w:r>
    </w:p>
    <w:p w14:paraId="2B757CA9" w14:textId="77777777" w:rsidR="00D00B16" w:rsidRDefault="00365F6D">
      <w:pPr>
        <w:ind w:left="720" w:hanging="720"/>
        <w:rPr>
          <w:sz w:val="22"/>
          <w:szCs w:val="22"/>
        </w:rPr>
      </w:pPr>
      <w:r>
        <w:rPr>
          <w:sz w:val="22"/>
          <w:szCs w:val="22"/>
        </w:rPr>
        <w:t xml:space="preserve">Suárez, David. 2012. “Grantmaking as Advocacy: The Emergence of Social Justice Philanthropy.” </w:t>
      </w:r>
      <w:r>
        <w:rPr>
          <w:i/>
          <w:sz w:val="22"/>
          <w:szCs w:val="22"/>
        </w:rPr>
        <w:t>Nonprofit Management &amp; Leadership</w:t>
      </w:r>
      <w:r>
        <w:rPr>
          <w:sz w:val="22"/>
          <w:szCs w:val="22"/>
        </w:rPr>
        <w:t xml:space="preserve"> 22(3): 259-280. </w:t>
      </w:r>
    </w:p>
    <w:p w14:paraId="553C3530" w14:textId="77777777" w:rsidR="00D00B16" w:rsidRDefault="00365F6D">
      <w:pPr>
        <w:ind w:left="720" w:hanging="720"/>
        <w:rPr>
          <w:sz w:val="22"/>
          <w:szCs w:val="22"/>
        </w:rPr>
      </w:pPr>
      <w:r>
        <w:rPr>
          <w:sz w:val="22"/>
          <w:szCs w:val="22"/>
        </w:rPr>
        <w:t xml:space="preserve">Suárez, David. 2010. “Street Credentials and Management Backgrounds: Careers of Nonprofit Executives in an Evolving Sector.” </w:t>
      </w:r>
      <w:r>
        <w:rPr>
          <w:i/>
          <w:sz w:val="22"/>
          <w:szCs w:val="22"/>
        </w:rPr>
        <w:t>Nonprofit and Voluntary Sector Quarterly</w:t>
      </w:r>
      <w:r>
        <w:rPr>
          <w:sz w:val="22"/>
          <w:szCs w:val="22"/>
        </w:rPr>
        <w:t xml:space="preserve"> 39(4): 696-716.</w:t>
      </w:r>
    </w:p>
    <w:p w14:paraId="01D14B75" w14:textId="77777777" w:rsidR="00D00B16" w:rsidRDefault="00365F6D">
      <w:pPr>
        <w:ind w:left="720" w:hanging="720"/>
        <w:rPr>
          <w:sz w:val="22"/>
          <w:szCs w:val="22"/>
        </w:rPr>
      </w:pPr>
      <w:r>
        <w:rPr>
          <w:sz w:val="22"/>
          <w:szCs w:val="22"/>
        </w:rPr>
        <w:t xml:space="preserve">Suárez, David and Nicole Esparza. 2017. “Institutional Change and Management in Public-Nonprofit Partnerships.” </w:t>
      </w:r>
      <w:r>
        <w:rPr>
          <w:i/>
          <w:sz w:val="22"/>
          <w:szCs w:val="22"/>
        </w:rPr>
        <w:t xml:space="preserve">American Review of Public Administration </w:t>
      </w:r>
      <w:r>
        <w:rPr>
          <w:sz w:val="22"/>
          <w:szCs w:val="22"/>
        </w:rPr>
        <w:t>47(6):648-660.</w:t>
      </w:r>
    </w:p>
    <w:p w14:paraId="554872E3" w14:textId="77777777" w:rsidR="00D00B16" w:rsidRDefault="00365F6D">
      <w:pPr>
        <w:ind w:left="720" w:hanging="720"/>
        <w:rPr>
          <w:sz w:val="22"/>
          <w:szCs w:val="22"/>
        </w:rPr>
      </w:pPr>
      <w:r>
        <w:rPr>
          <w:sz w:val="22"/>
          <w:szCs w:val="22"/>
        </w:rPr>
        <w:t xml:space="preserve">Suárez, David and </w:t>
      </w:r>
      <w:proofErr w:type="spellStart"/>
      <w:r>
        <w:rPr>
          <w:sz w:val="22"/>
          <w:szCs w:val="22"/>
        </w:rPr>
        <w:t>Hokyu</w:t>
      </w:r>
      <w:proofErr w:type="spellEnd"/>
      <w:r>
        <w:rPr>
          <w:sz w:val="22"/>
          <w:szCs w:val="22"/>
        </w:rPr>
        <w:t xml:space="preserve"> Hwang. 2008. “Civic Engagement and Nonprofit Lobbying in California.” </w:t>
      </w:r>
      <w:r>
        <w:rPr>
          <w:i/>
          <w:sz w:val="22"/>
          <w:szCs w:val="22"/>
        </w:rPr>
        <w:t>Nonprofit and Voluntary Sector Quarterly</w:t>
      </w:r>
      <w:r>
        <w:rPr>
          <w:sz w:val="22"/>
          <w:szCs w:val="22"/>
        </w:rPr>
        <w:t xml:space="preserve"> 37(1): 92-112.</w:t>
      </w:r>
    </w:p>
    <w:p w14:paraId="576C4ED3" w14:textId="77777777" w:rsidR="00D00B16" w:rsidRDefault="00365F6D">
      <w:pPr>
        <w:ind w:left="720" w:hanging="720"/>
        <w:rPr>
          <w:sz w:val="22"/>
          <w:szCs w:val="22"/>
        </w:rPr>
      </w:pPr>
      <w:proofErr w:type="spellStart"/>
      <w:r>
        <w:rPr>
          <w:sz w:val="22"/>
          <w:szCs w:val="22"/>
        </w:rPr>
        <w:lastRenderedPageBreak/>
        <w:t>Suddaby</w:t>
      </w:r>
      <w:proofErr w:type="spellEnd"/>
      <w:r>
        <w:rPr>
          <w:sz w:val="22"/>
          <w:szCs w:val="22"/>
        </w:rPr>
        <w:t xml:space="preserve">, Roy, and Royston Greenwood. 2005. “Rhetorical Strategies of Legitimacy.” </w:t>
      </w:r>
      <w:r>
        <w:rPr>
          <w:i/>
          <w:sz w:val="22"/>
          <w:szCs w:val="22"/>
        </w:rPr>
        <w:t>Administrative Science Quarterly</w:t>
      </w:r>
      <w:r>
        <w:rPr>
          <w:sz w:val="22"/>
          <w:szCs w:val="22"/>
        </w:rPr>
        <w:t xml:space="preserve"> 50(1): 35-67.</w:t>
      </w:r>
    </w:p>
    <w:p w14:paraId="7118D5C2" w14:textId="77777777" w:rsidR="00D00B16" w:rsidRDefault="00365F6D">
      <w:pPr>
        <w:ind w:left="720" w:hanging="720"/>
        <w:rPr>
          <w:sz w:val="22"/>
          <w:szCs w:val="22"/>
        </w:rPr>
      </w:pPr>
      <w:r>
        <w:rPr>
          <w:sz w:val="22"/>
          <w:szCs w:val="22"/>
        </w:rPr>
        <w:t xml:space="preserve">Thornton, Patricia, William Ocasio, and Michael Lounsbury. 2012. </w:t>
      </w:r>
      <w:r>
        <w:rPr>
          <w:i/>
          <w:sz w:val="22"/>
          <w:szCs w:val="22"/>
        </w:rPr>
        <w:t>The Institutional Logics Perspective</w:t>
      </w:r>
      <w:r>
        <w:rPr>
          <w:sz w:val="22"/>
          <w:szCs w:val="22"/>
        </w:rPr>
        <w:t>. Oxford: Oxford University Press.</w:t>
      </w:r>
    </w:p>
    <w:p w14:paraId="60CD5CE6" w14:textId="77777777" w:rsidR="00D00B16" w:rsidRDefault="00365F6D">
      <w:pPr>
        <w:ind w:left="720" w:hanging="720"/>
        <w:rPr>
          <w:sz w:val="22"/>
          <w:szCs w:val="22"/>
        </w:rPr>
      </w:pPr>
      <w:r>
        <w:rPr>
          <w:sz w:val="22"/>
          <w:szCs w:val="22"/>
        </w:rPr>
        <w:t>Tompkins-</w:t>
      </w:r>
      <w:proofErr w:type="spellStart"/>
      <w:r>
        <w:rPr>
          <w:sz w:val="22"/>
          <w:szCs w:val="22"/>
        </w:rPr>
        <w:t>Stange</w:t>
      </w:r>
      <w:proofErr w:type="spellEnd"/>
      <w:r>
        <w:rPr>
          <w:sz w:val="22"/>
          <w:szCs w:val="22"/>
        </w:rPr>
        <w:t xml:space="preserve">, Megan. 2016. </w:t>
      </w:r>
      <w:r>
        <w:rPr>
          <w:i/>
          <w:sz w:val="22"/>
          <w:szCs w:val="22"/>
        </w:rPr>
        <w:t>Policy Patrons: Philanthropy, Education Reform, and the Politics of Influence</w:t>
      </w:r>
      <w:r>
        <w:rPr>
          <w:sz w:val="22"/>
          <w:szCs w:val="22"/>
        </w:rPr>
        <w:t xml:space="preserve">. Harvard: Harvard Education Press. </w:t>
      </w:r>
    </w:p>
    <w:p w14:paraId="4171D346" w14:textId="77777777" w:rsidR="00D00B16" w:rsidRDefault="00365F6D">
      <w:pPr>
        <w:ind w:left="720" w:hanging="720"/>
        <w:rPr>
          <w:sz w:val="22"/>
          <w:szCs w:val="22"/>
        </w:rPr>
      </w:pPr>
      <w:r>
        <w:rPr>
          <w:sz w:val="22"/>
          <w:szCs w:val="22"/>
        </w:rPr>
        <w:t xml:space="preserve">Walker, Jack L. 1991. </w:t>
      </w:r>
      <w:r>
        <w:rPr>
          <w:i/>
          <w:sz w:val="22"/>
          <w:szCs w:val="22"/>
        </w:rPr>
        <w:t>Mobilizing Interest Groups in America: Patrons, Professions, and Social Movements</w:t>
      </w:r>
      <w:r>
        <w:rPr>
          <w:sz w:val="22"/>
          <w:szCs w:val="22"/>
        </w:rPr>
        <w:t xml:space="preserve">. Ann Arbor, MI: University of Michigan Press. </w:t>
      </w:r>
    </w:p>
    <w:p w14:paraId="46C2F79A" w14:textId="77777777" w:rsidR="00D00B16" w:rsidRDefault="00365F6D">
      <w:pPr>
        <w:ind w:left="720" w:hanging="720"/>
        <w:rPr>
          <w:sz w:val="22"/>
          <w:szCs w:val="22"/>
        </w:rPr>
      </w:pPr>
      <w:r>
        <w:rPr>
          <w:sz w:val="22"/>
          <w:szCs w:val="22"/>
        </w:rPr>
        <w:t xml:space="preserve">Webb Farley, Kathryn. 2018. “Shifting Notions of Philanthropy: Themes in Scholarship and Practice.” </w:t>
      </w:r>
      <w:r w:rsidRPr="009D370D">
        <w:rPr>
          <w:i/>
          <w:sz w:val="22"/>
          <w:szCs w:val="22"/>
        </w:rPr>
        <w:t>PS: Political Science &amp; Politics</w:t>
      </w:r>
      <w:r>
        <w:rPr>
          <w:sz w:val="22"/>
          <w:szCs w:val="22"/>
        </w:rPr>
        <w:t xml:space="preserve"> 51(Jan): 48-53. </w:t>
      </w:r>
    </w:p>
    <w:p w14:paraId="40A19A40" w14:textId="77777777" w:rsidR="00D00B16" w:rsidRDefault="00365F6D">
      <w:pPr>
        <w:ind w:left="720" w:hanging="720"/>
        <w:rPr>
          <w:sz w:val="22"/>
          <w:szCs w:val="22"/>
        </w:rPr>
      </w:pPr>
      <w:r>
        <w:rPr>
          <w:sz w:val="22"/>
          <w:szCs w:val="22"/>
        </w:rPr>
        <w:t xml:space="preserve">Webb Farley, Kathryn, Kristin Goss, and Steven R. Smith. 2018. “Introduction to Advancing Philanthropic Scholarship: The Implications of Transformation.” </w:t>
      </w:r>
      <w:r w:rsidRPr="009D370D">
        <w:rPr>
          <w:i/>
          <w:sz w:val="22"/>
          <w:szCs w:val="22"/>
        </w:rPr>
        <w:t>PS: Political Science &amp; Politics</w:t>
      </w:r>
      <w:r>
        <w:rPr>
          <w:sz w:val="22"/>
          <w:szCs w:val="22"/>
        </w:rPr>
        <w:t xml:space="preserve"> 51(Jan): 39-42. </w:t>
      </w:r>
    </w:p>
    <w:p w14:paraId="12A751C9" w14:textId="77777777" w:rsidR="00D00B16" w:rsidRDefault="00365F6D">
      <w:pPr>
        <w:ind w:left="720" w:hanging="720"/>
        <w:rPr>
          <w:sz w:val="22"/>
          <w:szCs w:val="22"/>
        </w:rPr>
      </w:pPr>
      <w:r>
        <w:rPr>
          <w:sz w:val="22"/>
          <w:szCs w:val="22"/>
        </w:rPr>
        <w:t xml:space="preserve">Wilkerson, John and Andreu Casas. 2017. “Large-Scale Computerized Text Analysis in Political Science: Opportunities and </w:t>
      </w:r>
      <w:proofErr w:type="gramStart"/>
      <w:r>
        <w:rPr>
          <w:sz w:val="22"/>
          <w:szCs w:val="22"/>
        </w:rPr>
        <w:t>Challenges.“</w:t>
      </w:r>
      <w:proofErr w:type="gramEnd"/>
      <w:r>
        <w:rPr>
          <w:sz w:val="22"/>
          <w:szCs w:val="22"/>
        </w:rPr>
        <w:t xml:space="preserve"> </w:t>
      </w:r>
      <w:r>
        <w:rPr>
          <w:i/>
          <w:sz w:val="22"/>
          <w:szCs w:val="22"/>
        </w:rPr>
        <w:t>Annual Review of Political Science</w:t>
      </w:r>
      <w:r>
        <w:rPr>
          <w:sz w:val="22"/>
          <w:szCs w:val="22"/>
        </w:rPr>
        <w:t xml:space="preserve"> 20: 529-544.</w:t>
      </w:r>
    </w:p>
    <w:p w14:paraId="37F938E7" w14:textId="77777777" w:rsidR="00D00B16" w:rsidRDefault="00365F6D">
      <w:pPr>
        <w:ind w:left="720" w:hanging="720"/>
        <w:rPr>
          <w:sz w:val="22"/>
          <w:szCs w:val="22"/>
        </w:rPr>
      </w:pPr>
      <w:proofErr w:type="spellStart"/>
      <w:r>
        <w:rPr>
          <w:sz w:val="22"/>
          <w:szCs w:val="22"/>
        </w:rPr>
        <w:t>Zunz</w:t>
      </w:r>
      <w:proofErr w:type="spellEnd"/>
      <w:r>
        <w:rPr>
          <w:sz w:val="22"/>
          <w:szCs w:val="22"/>
        </w:rPr>
        <w:t xml:space="preserve">, Olivier. 2012. </w:t>
      </w:r>
      <w:r>
        <w:rPr>
          <w:i/>
          <w:sz w:val="22"/>
          <w:szCs w:val="22"/>
        </w:rPr>
        <w:t>Philanthropy in America</w:t>
      </w:r>
      <w:r>
        <w:rPr>
          <w:sz w:val="22"/>
          <w:szCs w:val="22"/>
        </w:rPr>
        <w:t>. Princeton: Princeton University Press.</w:t>
      </w:r>
    </w:p>
    <w:p w14:paraId="6F08C830" w14:textId="77777777" w:rsidR="00D00B16" w:rsidRDefault="00365F6D">
      <w:pPr>
        <w:rPr>
          <w:sz w:val="22"/>
          <w:szCs w:val="22"/>
        </w:rPr>
      </w:pPr>
      <w:r>
        <w:br w:type="page"/>
      </w:r>
    </w:p>
    <w:p w14:paraId="3EF4C436" w14:textId="77777777" w:rsidR="00D00B16" w:rsidRDefault="00365F6D">
      <w:pPr>
        <w:widowControl w:val="0"/>
        <w:rPr>
          <w:sz w:val="22"/>
          <w:szCs w:val="22"/>
        </w:rPr>
      </w:pPr>
      <w:r>
        <w:rPr>
          <w:sz w:val="22"/>
          <w:szCs w:val="22"/>
        </w:rPr>
        <w:lastRenderedPageBreak/>
        <w:t>Table 1. Variables, Means, and Standard Deviations (N=590)</w:t>
      </w:r>
    </w:p>
    <w:tbl>
      <w:tblPr>
        <w:tblStyle w:val="a"/>
        <w:tblW w:w="9975" w:type="dxa"/>
        <w:tblBorders>
          <w:top w:val="single" w:sz="8" w:space="0" w:color="000000"/>
          <w:left w:val="single" w:sz="8" w:space="0" w:color="000000"/>
          <w:bottom w:val="single" w:sz="8" w:space="0" w:color="000000"/>
          <w:right w:val="single" w:sz="8" w:space="0" w:color="000000"/>
          <w:insideH w:val="single" w:sz="8" w:space="0" w:color="BFBFBF"/>
          <w:insideV w:val="single" w:sz="8" w:space="0" w:color="000000"/>
        </w:tblBorders>
        <w:tblLayout w:type="fixed"/>
        <w:tblLook w:val="0000" w:firstRow="0" w:lastRow="0" w:firstColumn="0" w:lastColumn="0" w:noHBand="0" w:noVBand="0"/>
      </w:tblPr>
      <w:tblGrid>
        <w:gridCol w:w="5929"/>
        <w:gridCol w:w="1974"/>
        <w:gridCol w:w="2072"/>
      </w:tblGrid>
      <w:tr w:rsidR="00D00B16" w14:paraId="0BE6AE56" w14:textId="77777777">
        <w:trPr>
          <w:trHeight w:val="340"/>
        </w:trPr>
        <w:tc>
          <w:tcPr>
            <w:tcW w:w="5929" w:type="dxa"/>
            <w:tcBorders>
              <w:top w:val="single" w:sz="8" w:space="0" w:color="000000"/>
              <w:bottom w:val="single" w:sz="8" w:space="0" w:color="000000"/>
            </w:tcBorders>
            <w:tcMar>
              <w:top w:w="0" w:type="dxa"/>
              <w:right w:w="0" w:type="dxa"/>
            </w:tcMar>
            <w:vAlign w:val="center"/>
          </w:tcPr>
          <w:p w14:paraId="4F181F50" w14:textId="77777777" w:rsidR="00D00B16" w:rsidRDefault="00D00B16">
            <w:pPr>
              <w:widowControl w:val="0"/>
              <w:rPr>
                <w:sz w:val="22"/>
                <w:szCs w:val="22"/>
              </w:rPr>
            </w:pPr>
          </w:p>
        </w:tc>
        <w:tc>
          <w:tcPr>
            <w:tcW w:w="1974" w:type="dxa"/>
            <w:tcBorders>
              <w:top w:val="single" w:sz="8" w:space="0" w:color="000000"/>
              <w:bottom w:val="single" w:sz="8" w:space="0" w:color="000000"/>
            </w:tcBorders>
            <w:tcMar>
              <w:top w:w="0" w:type="dxa"/>
              <w:right w:w="0" w:type="dxa"/>
            </w:tcMar>
            <w:vAlign w:val="center"/>
          </w:tcPr>
          <w:p w14:paraId="6B7615C7" w14:textId="77777777" w:rsidR="00D00B16" w:rsidRDefault="00365F6D">
            <w:pPr>
              <w:widowControl w:val="0"/>
              <w:jc w:val="center"/>
              <w:rPr>
                <w:sz w:val="22"/>
                <w:szCs w:val="22"/>
              </w:rPr>
            </w:pPr>
            <w:r>
              <w:rPr>
                <w:sz w:val="22"/>
                <w:szCs w:val="22"/>
              </w:rPr>
              <w:t>Mean</w:t>
            </w:r>
          </w:p>
        </w:tc>
        <w:tc>
          <w:tcPr>
            <w:tcW w:w="2072" w:type="dxa"/>
            <w:tcBorders>
              <w:top w:val="single" w:sz="8" w:space="0" w:color="000000"/>
              <w:bottom w:val="single" w:sz="8" w:space="0" w:color="000000"/>
            </w:tcBorders>
            <w:tcMar>
              <w:top w:w="0" w:type="dxa"/>
              <w:right w:w="0" w:type="dxa"/>
            </w:tcMar>
            <w:vAlign w:val="center"/>
          </w:tcPr>
          <w:p w14:paraId="2C2E6BB4" w14:textId="77777777" w:rsidR="00D00B16" w:rsidRDefault="00365F6D">
            <w:pPr>
              <w:widowControl w:val="0"/>
              <w:jc w:val="center"/>
              <w:rPr>
                <w:sz w:val="22"/>
                <w:szCs w:val="22"/>
              </w:rPr>
            </w:pPr>
            <w:r>
              <w:rPr>
                <w:sz w:val="22"/>
                <w:szCs w:val="22"/>
              </w:rPr>
              <w:t>S.D.</w:t>
            </w:r>
          </w:p>
        </w:tc>
      </w:tr>
      <w:tr w:rsidR="00D00B16" w14:paraId="3D95CEAE" w14:textId="77777777">
        <w:trPr>
          <w:trHeight w:val="340"/>
        </w:trPr>
        <w:tc>
          <w:tcPr>
            <w:tcW w:w="5929" w:type="dxa"/>
            <w:tcBorders>
              <w:top w:val="single" w:sz="8" w:space="0" w:color="000000"/>
              <w:bottom w:val="nil"/>
            </w:tcBorders>
            <w:tcMar>
              <w:top w:w="0" w:type="dxa"/>
              <w:right w:w="0" w:type="dxa"/>
            </w:tcMar>
            <w:vAlign w:val="center"/>
          </w:tcPr>
          <w:p w14:paraId="2BBAD9D5" w14:textId="77777777" w:rsidR="00D00B16" w:rsidRDefault="00365F6D">
            <w:pPr>
              <w:widowControl w:val="0"/>
              <w:rPr>
                <w:sz w:val="22"/>
                <w:szCs w:val="22"/>
                <w:u w:val="single"/>
              </w:rPr>
            </w:pPr>
            <w:r>
              <w:rPr>
                <w:sz w:val="22"/>
                <w:szCs w:val="22"/>
                <w:u w:val="single"/>
              </w:rPr>
              <w:t>Dependent Variable</w:t>
            </w:r>
          </w:p>
        </w:tc>
        <w:tc>
          <w:tcPr>
            <w:tcW w:w="1974" w:type="dxa"/>
            <w:tcBorders>
              <w:top w:val="single" w:sz="8" w:space="0" w:color="000000"/>
              <w:bottom w:val="nil"/>
            </w:tcBorders>
            <w:tcMar>
              <w:top w:w="0" w:type="dxa"/>
              <w:right w:w="0" w:type="dxa"/>
            </w:tcMar>
            <w:vAlign w:val="center"/>
          </w:tcPr>
          <w:p w14:paraId="3A4389E2" w14:textId="77777777" w:rsidR="00D00B16" w:rsidRDefault="00D00B16">
            <w:pPr>
              <w:widowControl w:val="0"/>
              <w:jc w:val="center"/>
              <w:rPr>
                <w:sz w:val="22"/>
                <w:szCs w:val="22"/>
              </w:rPr>
            </w:pPr>
          </w:p>
        </w:tc>
        <w:tc>
          <w:tcPr>
            <w:tcW w:w="2072" w:type="dxa"/>
            <w:tcBorders>
              <w:top w:val="single" w:sz="8" w:space="0" w:color="000000"/>
              <w:bottom w:val="nil"/>
            </w:tcBorders>
            <w:tcMar>
              <w:top w:w="0" w:type="dxa"/>
              <w:right w:w="0" w:type="dxa"/>
            </w:tcMar>
            <w:vAlign w:val="center"/>
          </w:tcPr>
          <w:p w14:paraId="4C0D8435" w14:textId="77777777" w:rsidR="00D00B16" w:rsidRDefault="00D00B16">
            <w:pPr>
              <w:widowControl w:val="0"/>
              <w:jc w:val="center"/>
              <w:rPr>
                <w:sz w:val="22"/>
                <w:szCs w:val="22"/>
              </w:rPr>
            </w:pPr>
          </w:p>
        </w:tc>
      </w:tr>
      <w:tr w:rsidR="00D00B16" w14:paraId="3926F60B" w14:textId="77777777">
        <w:trPr>
          <w:trHeight w:val="340"/>
        </w:trPr>
        <w:tc>
          <w:tcPr>
            <w:tcW w:w="5929" w:type="dxa"/>
            <w:tcBorders>
              <w:top w:val="nil"/>
              <w:bottom w:val="single" w:sz="8" w:space="0" w:color="000000"/>
            </w:tcBorders>
            <w:tcMar>
              <w:top w:w="0" w:type="dxa"/>
              <w:right w:w="0" w:type="dxa"/>
            </w:tcMar>
            <w:vAlign w:val="center"/>
          </w:tcPr>
          <w:p w14:paraId="3726B27E" w14:textId="77777777" w:rsidR="00D00B16" w:rsidRDefault="00365F6D">
            <w:pPr>
              <w:widowControl w:val="0"/>
              <w:ind w:left="360"/>
              <w:rPr>
                <w:sz w:val="22"/>
                <w:szCs w:val="22"/>
              </w:rPr>
            </w:pPr>
            <w:r>
              <w:rPr>
                <w:sz w:val="22"/>
                <w:szCs w:val="22"/>
              </w:rPr>
              <w:t>Proportion of Sentences Containing Advocacy Language</w:t>
            </w:r>
          </w:p>
        </w:tc>
        <w:tc>
          <w:tcPr>
            <w:tcW w:w="1974" w:type="dxa"/>
            <w:tcBorders>
              <w:top w:val="nil"/>
              <w:bottom w:val="single" w:sz="8" w:space="0" w:color="000000"/>
            </w:tcBorders>
            <w:tcMar>
              <w:top w:w="0" w:type="dxa"/>
              <w:right w:w="0" w:type="dxa"/>
            </w:tcMar>
            <w:vAlign w:val="center"/>
          </w:tcPr>
          <w:p w14:paraId="629A57F9" w14:textId="77777777" w:rsidR="00D00B16" w:rsidRDefault="00365F6D">
            <w:pPr>
              <w:widowControl w:val="0"/>
              <w:jc w:val="center"/>
              <w:rPr>
                <w:sz w:val="22"/>
                <w:szCs w:val="22"/>
              </w:rPr>
            </w:pPr>
            <w:r>
              <w:rPr>
                <w:sz w:val="22"/>
                <w:szCs w:val="22"/>
              </w:rPr>
              <w:t>.02</w:t>
            </w:r>
          </w:p>
        </w:tc>
        <w:tc>
          <w:tcPr>
            <w:tcW w:w="2072" w:type="dxa"/>
            <w:tcBorders>
              <w:top w:val="nil"/>
              <w:bottom w:val="single" w:sz="8" w:space="0" w:color="000000"/>
            </w:tcBorders>
            <w:tcMar>
              <w:top w:w="0" w:type="dxa"/>
              <w:right w:w="0" w:type="dxa"/>
            </w:tcMar>
            <w:vAlign w:val="center"/>
          </w:tcPr>
          <w:p w14:paraId="562DE13E" w14:textId="77777777" w:rsidR="00D00B16" w:rsidRDefault="00365F6D">
            <w:pPr>
              <w:widowControl w:val="0"/>
              <w:jc w:val="center"/>
              <w:rPr>
                <w:sz w:val="22"/>
                <w:szCs w:val="22"/>
              </w:rPr>
            </w:pPr>
            <w:r>
              <w:rPr>
                <w:sz w:val="22"/>
                <w:szCs w:val="22"/>
              </w:rPr>
              <w:t>.01</w:t>
            </w:r>
          </w:p>
        </w:tc>
      </w:tr>
      <w:tr w:rsidR="00D00B16" w14:paraId="2546E878" w14:textId="77777777">
        <w:trPr>
          <w:trHeight w:val="340"/>
        </w:trPr>
        <w:tc>
          <w:tcPr>
            <w:tcW w:w="5929" w:type="dxa"/>
            <w:tcBorders>
              <w:top w:val="nil"/>
              <w:bottom w:val="nil"/>
            </w:tcBorders>
            <w:tcMar>
              <w:top w:w="0" w:type="dxa"/>
              <w:right w:w="0" w:type="dxa"/>
            </w:tcMar>
            <w:vAlign w:val="center"/>
          </w:tcPr>
          <w:p w14:paraId="26B9DAC4" w14:textId="77777777" w:rsidR="00D00B16" w:rsidRDefault="00365F6D">
            <w:pPr>
              <w:widowControl w:val="0"/>
              <w:rPr>
                <w:sz w:val="22"/>
                <w:szCs w:val="22"/>
                <w:u w:val="single"/>
              </w:rPr>
            </w:pPr>
            <w:r>
              <w:rPr>
                <w:sz w:val="22"/>
                <w:szCs w:val="22"/>
                <w:u w:val="single"/>
              </w:rPr>
              <w:t>Independent Variables</w:t>
            </w:r>
          </w:p>
        </w:tc>
        <w:tc>
          <w:tcPr>
            <w:tcW w:w="1974" w:type="dxa"/>
            <w:tcBorders>
              <w:top w:val="nil"/>
              <w:bottom w:val="nil"/>
            </w:tcBorders>
            <w:tcMar>
              <w:top w:w="0" w:type="dxa"/>
              <w:right w:w="0" w:type="dxa"/>
            </w:tcMar>
            <w:vAlign w:val="center"/>
          </w:tcPr>
          <w:p w14:paraId="430A51B7" w14:textId="77777777" w:rsidR="00D00B16" w:rsidRDefault="00D00B16">
            <w:pPr>
              <w:widowControl w:val="0"/>
              <w:jc w:val="center"/>
              <w:rPr>
                <w:sz w:val="22"/>
                <w:szCs w:val="22"/>
              </w:rPr>
            </w:pPr>
          </w:p>
        </w:tc>
        <w:tc>
          <w:tcPr>
            <w:tcW w:w="2072" w:type="dxa"/>
            <w:tcBorders>
              <w:top w:val="nil"/>
              <w:bottom w:val="nil"/>
            </w:tcBorders>
            <w:tcMar>
              <w:top w:w="0" w:type="dxa"/>
              <w:right w:w="0" w:type="dxa"/>
            </w:tcMar>
            <w:vAlign w:val="center"/>
          </w:tcPr>
          <w:p w14:paraId="7DEDC260" w14:textId="77777777" w:rsidR="00D00B16" w:rsidRDefault="00D00B16">
            <w:pPr>
              <w:widowControl w:val="0"/>
              <w:jc w:val="center"/>
              <w:rPr>
                <w:sz w:val="22"/>
                <w:szCs w:val="22"/>
              </w:rPr>
            </w:pPr>
          </w:p>
        </w:tc>
      </w:tr>
      <w:tr w:rsidR="00D00B16" w14:paraId="116E0852" w14:textId="77777777">
        <w:trPr>
          <w:trHeight w:val="340"/>
        </w:trPr>
        <w:tc>
          <w:tcPr>
            <w:tcW w:w="5929" w:type="dxa"/>
            <w:tcBorders>
              <w:top w:val="nil"/>
              <w:bottom w:val="nil"/>
            </w:tcBorders>
            <w:tcMar>
              <w:top w:w="0" w:type="dxa"/>
              <w:right w:w="0" w:type="dxa"/>
            </w:tcMar>
            <w:vAlign w:val="center"/>
          </w:tcPr>
          <w:p w14:paraId="2C51065B" w14:textId="77777777" w:rsidR="00D00B16" w:rsidRDefault="00365F6D">
            <w:pPr>
              <w:widowControl w:val="0"/>
              <w:rPr>
                <w:i/>
                <w:sz w:val="22"/>
                <w:szCs w:val="22"/>
              </w:rPr>
            </w:pPr>
            <w:r>
              <w:rPr>
                <w:i/>
                <w:sz w:val="22"/>
                <w:szCs w:val="22"/>
              </w:rPr>
              <w:t>Environmental Context</w:t>
            </w:r>
          </w:p>
        </w:tc>
        <w:tc>
          <w:tcPr>
            <w:tcW w:w="1974" w:type="dxa"/>
            <w:tcBorders>
              <w:top w:val="nil"/>
              <w:bottom w:val="nil"/>
            </w:tcBorders>
            <w:tcMar>
              <w:top w:w="0" w:type="dxa"/>
              <w:right w:w="0" w:type="dxa"/>
            </w:tcMar>
            <w:vAlign w:val="center"/>
          </w:tcPr>
          <w:p w14:paraId="3B6DA4D4" w14:textId="77777777" w:rsidR="00D00B16" w:rsidRDefault="00D00B16">
            <w:pPr>
              <w:widowControl w:val="0"/>
              <w:jc w:val="center"/>
              <w:rPr>
                <w:sz w:val="22"/>
                <w:szCs w:val="22"/>
              </w:rPr>
            </w:pPr>
          </w:p>
        </w:tc>
        <w:tc>
          <w:tcPr>
            <w:tcW w:w="2072" w:type="dxa"/>
            <w:tcBorders>
              <w:top w:val="nil"/>
              <w:bottom w:val="nil"/>
            </w:tcBorders>
            <w:tcMar>
              <w:top w:w="0" w:type="dxa"/>
              <w:right w:w="0" w:type="dxa"/>
            </w:tcMar>
            <w:vAlign w:val="center"/>
          </w:tcPr>
          <w:p w14:paraId="785935B3" w14:textId="77777777" w:rsidR="00D00B16" w:rsidRDefault="00D00B16">
            <w:pPr>
              <w:widowControl w:val="0"/>
              <w:jc w:val="center"/>
              <w:rPr>
                <w:sz w:val="22"/>
                <w:szCs w:val="22"/>
              </w:rPr>
            </w:pPr>
          </w:p>
        </w:tc>
      </w:tr>
      <w:tr w:rsidR="00D00B16" w14:paraId="3450CC32" w14:textId="77777777">
        <w:trPr>
          <w:trHeight w:val="340"/>
        </w:trPr>
        <w:tc>
          <w:tcPr>
            <w:tcW w:w="5929" w:type="dxa"/>
            <w:tcBorders>
              <w:top w:val="nil"/>
              <w:bottom w:val="nil"/>
            </w:tcBorders>
            <w:tcMar>
              <w:top w:w="0" w:type="dxa"/>
              <w:right w:w="0" w:type="dxa"/>
            </w:tcMar>
            <w:vAlign w:val="center"/>
          </w:tcPr>
          <w:p w14:paraId="4541E1AB" w14:textId="0325DE23" w:rsidR="00D00B16" w:rsidRDefault="00BB4BE1">
            <w:pPr>
              <w:widowControl w:val="0"/>
              <w:ind w:firstLine="360"/>
              <w:rPr>
                <w:sz w:val="22"/>
                <w:szCs w:val="22"/>
              </w:rPr>
            </w:pPr>
            <w:r>
              <w:rPr>
                <w:sz w:val="22"/>
                <w:szCs w:val="22"/>
              </w:rPr>
              <w:t xml:space="preserve">Community </w:t>
            </w:r>
            <w:bookmarkStart w:id="1" w:name="_GoBack"/>
            <w:bookmarkEnd w:id="1"/>
            <w:r w:rsidR="00365F6D">
              <w:rPr>
                <w:sz w:val="22"/>
                <w:szCs w:val="22"/>
              </w:rPr>
              <w:t>Wealth</w:t>
            </w:r>
          </w:p>
        </w:tc>
        <w:tc>
          <w:tcPr>
            <w:tcW w:w="1974" w:type="dxa"/>
            <w:tcBorders>
              <w:top w:val="nil"/>
              <w:bottom w:val="nil"/>
            </w:tcBorders>
            <w:tcMar>
              <w:top w:w="0" w:type="dxa"/>
              <w:right w:w="0" w:type="dxa"/>
            </w:tcMar>
            <w:vAlign w:val="center"/>
          </w:tcPr>
          <w:p w14:paraId="0B7B3996" w14:textId="77777777" w:rsidR="00D00B16" w:rsidRDefault="00365F6D">
            <w:pPr>
              <w:widowControl w:val="0"/>
              <w:jc w:val="center"/>
              <w:rPr>
                <w:sz w:val="22"/>
                <w:szCs w:val="22"/>
              </w:rPr>
            </w:pPr>
            <w:r>
              <w:rPr>
                <w:sz w:val="22"/>
                <w:szCs w:val="22"/>
              </w:rPr>
              <w:t>-.01</w:t>
            </w:r>
          </w:p>
        </w:tc>
        <w:tc>
          <w:tcPr>
            <w:tcW w:w="2072" w:type="dxa"/>
            <w:tcBorders>
              <w:top w:val="nil"/>
              <w:bottom w:val="nil"/>
            </w:tcBorders>
            <w:tcMar>
              <w:top w:w="0" w:type="dxa"/>
              <w:right w:w="0" w:type="dxa"/>
            </w:tcMar>
            <w:vAlign w:val="center"/>
          </w:tcPr>
          <w:p w14:paraId="115CE884" w14:textId="77777777" w:rsidR="00D00B16" w:rsidRDefault="00365F6D">
            <w:pPr>
              <w:widowControl w:val="0"/>
              <w:jc w:val="center"/>
              <w:rPr>
                <w:sz w:val="22"/>
                <w:szCs w:val="22"/>
              </w:rPr>
            </w:pPr>
            <w:r>
              <w:rPr>
                <w:sz w:val="22"/>
                <w:szCs w:val="22"/>
              </w:rPr>
              <w:t>.93</w:t>
            </w:r>
          </w:p>
        </w:tc>
      </w:tr>
      <w:tr w:rsidR="00D00B16" w14:paraId="51278BAD" w14:textId="77777777">
        <w:trPr>
          <w:trHeight w:val="340"/>
        </w:trPr>
        <w:tc>
          <w:tcPr>
            <w:tcW w:w="5929" w:type="dxa"/>
            <w:tcBorders>
              <w:top w:val="nil"/>
              <w:bottom w:val="nil"/>
            </w:tcBorders>
            <w:tcMar>
              <w:top w:w="0" w:type="dxa"/>
              <w:right w:w="0" w:type="dxa"/>
            </w:tcMar>
            <w:vAlign w:val="center"/>
          </w:tcPr>
          <w:p w14:paraId="1AB67581" w14:textId="77777777" w:rsidR="00D00B16" w:rsidRDefault="00365F6D">
            <w:pPr>
              <w:widowControl w:val="0"/>
              <w:ind w:firstLine="360"/>
              <w:rPr>
                <w:sz w:val="22"/>
                <w:szCs w:val="22"/>
              </w:rPr>
            </w:pPr>
            <w:r>
              <w:rPr>
                <w:sz w:val="22"/>
                <w:szCs w:val="22"/>
              </w:rPr>
              <w:t>Political Liberalism</w:t>
            </w:r>
          </w:p>
        </w:tc>
        <w:tc>
          <w:tcPr>
            <w:tcW w:w="1974" w:type="dxa"/>
            <w:tcBorders>
              <w:top w:val="nil"/>
              <w:bottom w:val="nil"/>
            </w:tcBorders>
            <w:tcMar>
              <w:top w:w="0" w:type="dxa"/>
              <w:right w:w="0" w:type="dxa"/>
            </w:tcMar>
            <w:vAlign w:val="center"/>
          </w:tcPr>
          <w:p w14:paraId="64C69972" w14:textId="77777777" w:rsidR="00D00B16" w:rsidRDefault="00365F6D">
            <w:pPr>
              <w:widowControl w:val="0"/>
              <w:jc w:val="center"/>
              <w:rPr>
                <w:sz w:val="22"/>
                <w:szCs w:val="22"/>
              </w:rPr>
            </w:pPr>
            <w:r>
              <w:rPr>
                <w:sz w:val="22"/>
                <w:szCs w:val="22"/>
              </w:rPr>
              <w:t>51.12</w:t>
            </w:r>
          </w:p>
        </w:tc>
        <w:tc>
          <w:tcPr>
            <w:tcW w:w="2072" w:type="dxa"/>
            <w:tcBorders>
              <w:top w:val="nil"/>
              <w:bottom w:val="nil"/>
            </w:tcBorders>
            <w:tcMar>
              <w:top w:w="0" w:type="dxa"/>
              <w:right w:w="0" w:type="dxa"/>
            </w:tcMar>
            <w:vAlign w:val="center"/>
          </w:tcPr>
          <w:p w14:paraId="31F9A479" w14:textId="77777777" w:rsidR="00D00B16" w:rsidRDefault="00365F6D">
            <w:pPr>
              <w:widowControl w:val="0"/>
              <w:jc w:val="center"/>
              <w:rPr>
                <w:sz w:val="22"/>
                <w:szCs w:val="22"/>
              </w:rPr>
            </w:pPr>
            <w:r>
              <w:rPr>
                <w:sz w:val="22"/>
                <w:szCs w:val="22"/>
              </w:rPr>
              <w:t>13.02</w:t>
            </w:r>
          </w:p>
        </w:tc>
      </w:tr>
      <w:tr w:rsidR="00D00B16" w14:paraId="5F7342B1" w14:textId="77777777">
        <w:trPr>
          <w:trHeight w:val="400"/>
        </w:trPr>
        <w:tc>
          <w:tcPr>
            <w:tcW w:w="5929" w:type="dxa"/>
            <w:tcBorders>
              <w:top w:val="nil"/>
              <w:bottom w:val="nil"/>
            </w:tcBorders>
            <w:tcMar>
              <w:top w:w="0" w:type="dxa"/>
              <w:right w:w="0" w:type="dxa"/>
            </w:tcMar>
            <w:vAlign w:val="center"/>
          </w:tcPr>
          <w:p w14:paraId="75263DE4" w14:textId="77777777" w:rsidR="00D00B16" w:rsidRDefault="00365F6D">
            <w:pPr>
              <w:widowControl w:val="0"/>
              <w:rPr>
                <w:i/>
                <w:sz w:val="22"/>
                <w:szCs w:val="22"/>
              </w:rPr>
            </w:pPr>
            <w:r>
              <w:rPr>
                <w:i/>
                <w:sz w:val="22"/>
                <w:szCs w:val="22"/>
              </w:rPr>
              <w:t xml:space="preserve">Institutional Logics </w:t>
            </w:r>
          </w:p>
        </w:tc>
        <w:tc>
          <w:tcPr>
            <w:tcW w:w="1974" w:type="dxa"/>
            <w:tcBorders>
              <w:top w:val="nil"/>
              <w:bottom w:val="nil"/>
            </w:tcBorders>
            <w:tcMar>
              <w:top w:w="0" w:type="dxa"/>
              <w:right w:w="0" w:type="dxa"/>
            </w:tcMar>
            <w:vAlign w:val="center"/>
          </w:tcPr>
          <w:p w14:paraId="5721500F" w14:textId="77777777" w:rsidR="00D00B16" w:rsidRDefault="00D00B16">
            <w:pPr>
              <w:widowControl w:val="0"/>
              <w:jc w:val="center"/>
              <w:rPr>
                <w:sz w:val="22"/>
                <w:szCs w:val="22"/>
              </w:rPr>
            </w:pPr>
          </w:p>
        </w:tc>
        <w:tc>
          <w:tcPr>
            <w:tcW w:w="2072" w:type="dxa"/>
            <w:tcBorders>
              <w:top w:val="nil"/>
              <w:bottom w:val="nil"/>
            </w:tcBorders>
            <w:tcMar>
              <w:top w:w="0" w:type="dxa"/>
              <w:right w:w="0" w:type="dxa"/>
            </w:tcMar>
            <w:vAlign w:val="center"/>
          </w:tcPr>
          <w:p w14:paraId="34092F95" w14:textId="77777777" w:rsidR="00D00B16" w:rsidRDefault="00D00B16">
            <w:pPr>
              <w:widowControl w:val="0"/>
              <w:jc w:val="center"/>
              <w:rPr>
                <w:sz w:val="22"/>
                <w:szCs w:val="22"/>
              </w:rPr>
            </w:pPr>
          </w:p>
        </w:tc>
      </w:tr>
      <w:tr w:rsidR="00D00B16" w14:paraId="60037AA7" w14:textId="77777777">
        <w:trPr>
          <w:trHeight w:val="340"/>
        </w:trPr>
        <w:tc>
          <w:tcPr>
            <w:tcW w:w="5929" w:type="dxa"/>
            <w:tcBorders>
              <w:top w:val="nil"/>
              <w:bottom w:val="nil"/>
            </w:tcBorders>
            <w:tcMar>
              <w:top w:w="0" w:type="dxa"/>
              <w:right w:w="0" w:type="dxa"/>
            </w:tcMar>
            <w:vAlign w:val="center"/>
          </w:tcPr>
          <w:p w14:paraId="63D258CA" w14:textId="77777777" w:rsidR="00D00B16" w:rsidRDefault="00365F6D">
            <w:pPr>
              <w:widowControl w:val="0"/>
              <w:ind w:firstLine="360"/>
              <w:rPr>
                <w:sz w:val="22"/>
                <w:szCs w:val="22"/>
              </w:rPr>
            </w:pPr>
            <w:r>
              <w:rPr>
                <w:sz w:val="22"/>
                <w:szCs w:val="22"/>
              </w:rPr>
              <w:t>Community</w:t>
            </w:r>
          </w:p>
        </w:tc>
        <w:tc>
          <w:tcPr>
            <w:tcW w:w="1974" w:type="dxa"/>
            <w:tcBorders>
              <w:top w:val="nil"/>
              <w:bottom w:val="nil"/>
            </w:tcBorders>
            <w:tcMar>
              <w:top w:w="0" w:type="dxa"/>
              <w:right w:w="0" w:type="dxa"/>
            </w:tcMar>
            <w:vAlign w:val="center"/>
          </w:tcPr>
          <w:p w14:paraId="17A52B15" w14:textId="77777777" w:rsidR="00D00B16" w:rsidRDefault="00365F6D">
            <w:pPr>
              <w:widowControl w:val="0"/>
              <w:jc w:val="center"/>
              <w:rPr>
                <w:sz w:val="22"/>
                <w:szCs w:val="22"/>
              </w:rPr>
            </w:pPr>
            <w:r>
              <w:rPr>
                <w:sz w:val="22"/>
                <w:szCs w:val="22"/>
              </w:rPr>
              <w:t>.36</w:t>
            </w:r>
          </w:p>
        </w:tc>
        <w:tc>
          <w:tcPr>
            <w:tcW w:w="2072" w:type="dxa"/>
            <w:tcBorders>
              <w:top w:val="nil"/>
              <w:bottom w:val="nil"/>
            </w:tcBorders>
            <w:tcMar>
              <w:top w:w="0" w:type="dxa"/>
              <w:right w:w="0" w:type="dxa"/>
            </w:tcMar>
            <w:vAlign w:val="center"/>
          </w:tcPr>
          <w:p w14:paraId="3672751C" w14:textId="77777777" w:rsidR="00D00B16" w:rsidRDefault="00365F6D">
            <w:pPr>
              <w:widowControl w:val="0"/>
              <w:jc w:val="center"/>
              <w:rPr>
                <w:sz w:val="22"/>
                <w:szCs w:val="22"/>
              </w:rPr>
            </w:pPr>
            <w:r>
              <w:rPr>
                <w:sz w:val="22"/>
                <w:szCs w:val="22"/>
              </w:rPr>
              <w:t>--</w:t>
            </w:r>
          </w:p>
        </w:tc>
      </w:tr>
      <w:tr w:rsidR="00D00B16" w14:paraId="02E89140" w14:textId="77777777">
        <w:trPr>
          <w:trHeight w:val="340"/>
        </w:trPr>
        <w:tc>
          <w:tcPr>
            <w:tcW w:w="5929" w:type="dxa"/>
            <w:tcBorders>
              <w:top w:val="nil"/>
              <w:bottom w:val="nil"/>
            </w:tcBorders>
            <w:tcMar>
              <w:top w:w="0" w:type="dxa"/>
              <w:right w:w="0" w:type="dxa"/>
            </w:tcMar>
            <w:vAlign w:val="center"/>
          </w:tcPr>
          <w:p w14:paraId="00853D73" w14:textId="77777777" w:rsidR="00D00B16" w:rsidRDefault="00365F6D">
            <w:pPr>
              <w:widowControl w:val="0"/>
              <w:ind w:firstLine="360"/>
              <w:rPr>
                <w:sz w:val="22"/>
                <w:szCs w:val="22"/>
              </w:rPr>
            </w:pPr>
            <w:r>
              <w:rPr>
                <w:sz w:val="22"/>
                <w:szCs w:val="22"/>
              </w:rPr>
              <w:t>Donative Revenue (percent)</w:t>
            </w:r>
          </w:p>
        </w:tc>
        <w:tc>
          <w:tcPr>
            <w:tcW w:w="1974" w:type="dxa"/>
            <w:tcBorders>
              <w:top w:val="nil"/>
              <w:bottom w:val="nil"/>
            </w:tcBorders>
            <w:tcMar>
              <w:top w:w="0" w:type="dxa"/>
              <w:right w:w="0" w:type="dxa"/>
            </w:tcMar>
            <w:vAlign w:val="center"/>
          </w:tcPr>
          <w:p w14:paraId="12932405" w14:textId="77777777" w:rsidR="00D00B16" w:rsidRDefault="00365F6D">
            <w:pPr>
              <w:widowControl w:val="0"/>
              <w:jc w:val="center"/>
              <w:rPr>
                <w:sz w:val="22"/>
                <w:szCs w:val="22"/>
              </w:rPr>
            </w:pPr>
            <w:r>
              <w:rPr>
                <w:sz w:val="22"/>
                <w:szCs w:val="22"/>
              </w:rPr>
              <w:t>.64</w:t>
            </w:r>
          </w:p>
        </w:tc>
        <w:tc>
          <w:tcPr>
            <w:tcW w:w="2072" w:type="dxa"/>
            <w:tcBorders>
              <w:top w:val="nil"/>
              <w:bottom w:val="nil"/>
            </w:tcBorders>
            <w:tcMar>
              <w:top w:w="0" w:type="dxa"/>
              <w:right w:w="0" w:type="dxa"/>
            </w:tcMar>
            <w:vAlign w:val="center"/>
          </w:tcPr>
          <w:p w14:paraId="31D992FC" w14:textId="77777777" w:rsidR="00D00B16" w:rsidRDefault="00365F6D">
            <w:pPr>
              <w:widowControl w:val="0"/>
              <w:jc w:val="center"/>
              <w:rPr>
                <w:sz w:val="22"/>
                <w:szCs w:val="22"/>
              </w:rPr>
            </w:pPr>
            <w:r>
              <w:rPr>
                <w:sz w:val="22"/>
                <w:szCs w:val="22"/>
              </w:rPr>
              <w:t>.23</w:t>
            </w:r>
          </w:p>
        </w:tc>
      </w:tr>
      <w:tr w:rsidR="00D00B16" w14:paraId="5E47AA3E" w14:textId="77777777">
        <w:trPr>
          <w:trHeight w:val="340"/>
        </w:trPr>
        <w:tc>
          <w:tcPr>
            <w:tcW w:w="5929" w:type="dxa"/>
            <w:tcBorders>
              <w:top w:val="nil"/>
              <w:bottom w:val="nil"/>
            </w:tcBorders>
            <w:tcMar>
              <w:top w:w="0" w:type="dxa"/>
              <w:right w:w="0" w:type="dxa"/>
            </w:tcMar>
            <w:vAlign w:val="center"/>
          </w:tcPr>
          <w:p w14:paraId="2F18E8DB" w14:textId="77777777" w:rsidR="00D00B16" w:rsidRDefault="00365F6D">
            <w:pPr>
              <w:widowControl w:val="0"/>
              <w:ind w:firstLine="360"/>
              <w:rPr>
                <w:sz w:val="22"/>
                <w:szCs w:val="22"/>
              </w:rPr>
            </w:pPr>
            <w:r>
              <w:rPr>
                <w:sz w:val="22"/>
                <w:szCs w:val="22"/>
              </w:rPr>
              <w:t>Donative Dominance</w:t>
            </w:r>
          </w:p>
        </w:tc>
        <w:tc>
          <w:tcPr>
            <w:tcW w:w="1974" w:type="dxa"/>
            <w:tcBorders>
              <w:top w:val="nil"/>
              <w:bottom w:val="nil"/>
            </w:tcBorders>
            <w:tcMar>
              <w:top w:w="0" w:type="dxa"/>
              <w:right w:w="0" w:type="dxa"/>
            </w:tcMar>
            <w:vAlign w:val="center"/>
          </w:tcPr>
          <w:p w14:paraId="69A9D5EA" w14:textId="77777777" w:rsidR="00D00B16" w:rsidRDefault="00365F6D">
            <w:pPr>
              <w:widowControl w:val="0"/>
              <w:jc w:val="center"/>
              <w:rPr>
                <w:sz w:val="22"/>
                <w:szCs w:val="22"/>
              </w:rPr>
            </w:pPr>
            <w:r>
              <w:rPr>
                <w:sz w:val="22"/>
                <w:szCs w:val="22"/>
              </w:rPr>
              <w:t>.73</w:t>
            </w:r>
          </w:p>
        </w:tc>
        <w:tc>
          <w:tcPr>
            <w:tcW w:w="2072" w:type="dxa"/>
            <w:tcBorders>
              <w:top w:val="nil"/>
              <w:bottom w:val="nil"/>
            </w:tcBorders>
            <w:tcMar>
              <w:top w:w="0" w:type="dxa"/>
              <w:right w:w="0" w:type="dxa"/>
            </w:tcMar>
            <w:vAlign w:val="center"/>
          </w:tcPr>
          <w:p w14:paraId="33805B9F" w14:textId="77777777" w:rsidR="00D00B16" w:rsidRDefault="00365F6D">
            <w:pPr>
              <w:widowControl w:val="0"/>
              <w:jc w:val="center"/>
              <w:rPr>
                <w:sz w:val="22"/>
                <w:szCs w:val="22"/>
              </w:rPr>
            </w:pPr>
            <w:r>
              <w:rPr>
                <w:sz w:val="22"/>
                <w:szCs w:val="22"/>
              </w:rPr>
              <w:t>--</w:t>
            </w:r>
          </w:p>
        </w:tc>
      </w:tr>
      <w:tr w:rsidR="00D00B16" w14:paraId="6E192105" w14:textId="77777777">
        <w:trPr>
          <w:trHeight w:val="380"/>
        </w:trPr>
        <w:tc>
          <w:tcPr>
            <w:tcW w:w="5929" w:type="dxa"/>
            <w:tcBorders>
              <w:top w:val="nil"/>
              <w:bottom w:val="nil"/>
            </w:tcBorders>
            <w:tcMar>
              <w:top w:w="0" w:type="dxa"/>
              <w:right w:w="0" w:type="dxa"/>
            </w:tcMar>
            <w:vAlign w:val="center"/>
          </w:tcPr>
          <w:p w14:paraId="7E5AF14C" w14:textId="77777777" w:rsidR="00D00B16" w:rsidRDefault="00365F6D">
            <w:pPr>
              <w:widowControl w:val="0"/>
              <w:rPr>
                <w:i/>
                <w:sz w:val="22"/>
                <w:szCs w:val="22"/>
              </w:rPr>
            </w:pPr>
            <w:r>
              <w:rPr>
                <w:i/>
                <w:sz w:val="22"/>
                <w:szCs w:val="22"/>
              </w:rPr>
              <w:t>Identity and Embeddedness</w:t>
            </w:r>
          </w:p>
        </w:tc>
        <w:tc>
          <w:tcPr>
            <w:tcW w:w="1974" w:type="dxa"/>
            <w:tcBorders>
              <w:top w:val="nil"/>
              <w:bottom w:val="nil"/>
            </w:tcBorders>
            <w:tcMar>
              <w:top w:w="0" w:type="dxa"/>
              <w:right w:w="0" w:type="dxa"/>
            </w:tcMar>
            <w:vAlign w:val="center"/>
          </w:tcPr>
          <w:p w14:paraId="01E7FC94" w14:textId="77777777" w:rsidR="00D00B16" w:rsidRDefault="00D00B16">
            <w:pPr>
              <w:widowControl w:val="0"/>
              <w:jc w:val="center"/>
              <w:rPr>
                <w:sz w:val="22"/>
                <w:szCs w:val="22"/>
              </w:rPr>
            </w:pPr>
          </w:p>
        </w:tc>
        <w:tc>
          <w:tcPr>
            <w:tcW w:w="2072" w:type="dxa"/>
            <w:tcBorders>
              <w:top w:val="nil"/>
              <w:bottom w:val="nil"/>
            </w:tcBorders>
            <w:tcMar>
              <w:top w:w="0" w:type="dxa"/>
              <w:right w:w="0" w:type="dxa"/>
            </w:tcMar>
            <w:vAlign w:val="center"/>
          </w:tcPr>
          <w:p w14:paraId="3BD178EE" w14:textId="77777777" w:rsidR="00D00B16" w:rsidRDefault="00D00B16">
            <w:pPr>
              <w:widowControl w:val="0"/>
              <w:jc w:val="center"/>
              <w:rPr>
                <w:sz w:val="22"/>
                <w:szCs w:val="22"/>
              </w:rPr>
            </w:pPr>
          </w:p>
        </w:tc>
      </w:tr>
      <w:tr w:rsidR="00D00B16" w14:paraId="1B70930F" w14:textId="77777777">
        <w:trPr>
          <w:trHeight w:val="340"/>
        </w:trPr>
        <w:tc>
          <w:tcPr>
            <w:tcW w:w="5929" w:type="dxa"/>
            <w:tcBorders>
              <w:top w:val="nil"/>
              <w:bottom w:val="nil"/>
            </w:tcBorders>
            <w:tcMar>
              <w:top w:w="0" w:type="dxa"/>
              <w:right w:w="0" w:type="dxa"/>
            </w:tcMar>
            <w:vAlign w:val="center"/>
          </w:tcPr>
          <w:p w14:paraId="5514B680" w14:textId="77777777" w:rsidR="00D00B16" w:rsidRDefault="00365F6D">
            <w:pPr>
              <w:widowControl w:val="0"/>
              <w:ind w:left="330"/>
              <w:rPr>
                <w:sz w:val="22"/>
                <w:szCs w:val="22"/>
              </w:rPr>
            </w:pPr>
            <w:r>
              <w:rPr>
                <w:sz w:val="22"/>
                <w:szCs w:val="22"/>
              </w:rPr>
              <w:t>Memberships</w:t>
            </w:r>
          </w:p>
        </w:tc>
        <w:tc>
          <w:tcPr>
            <w:tcW w:w="1974" w:type="dxa"/>
            <w:tcBorders>
              <w:top w:val="nil"/>
              <w:bottom w:val="nil"/>
            </w:tcBorders>
            <w:tcMar>
              <w:top w:w="0" w:type="dxa"/>
              <w:right w:w="0" w:type="dxa"/>
            </w:tcMar>
            <w:vAlign w:val="center"/>
          </w:tcPr>
          <w:p w14:paraId="16AA25BE" w14:textId="77777777" w:rsidR="00D00B16" w:rsidRDefault="00365F6D">
            <w:pPr>
              <w:widowControl w:val="0"/>
              <w:jc w:val="center"/>
              <w:rPr>
                <w:sz w:val="22"/>
                <w:szCs w:val="22"/>
              </w:rPr>
            </w:pPr>
            <w:r>
              <w:rPr>
                <w:sz w:val="22"/>
                <w:szCs w:val="22"/>
              </w:rPr>
              <w:t>2.54</w:t>
            </w:r>
          </w:p>
        </w:tc>
        <w:tc>
          <w:tcPr>
            <w:tcW w:w="2072" w:type="dxa"/>
            <w:tcBorders>
              <w:top w:val="nil"/>
              <w:bottom w:val="nil"/>
            </w:tcBorders>
            <w:tcMar>
              <w:top w:w="0" w:type="dxa"/>
              <w:right w:w="0" w:type="dxa"/>
            </w:tcMar>
            <w:vAlign w:val="center"/>
          </w:tcPr>
          <w:p w14:paraId="1876AA51" w14:textId="77777777" w:rsidR="00D00B16" w:rsidRDefault="00365F6D">
            <w:pPr>
              <w:widowControl w:val="0"/>
              <w:jc w:val="center"/>
              <w:rPr>
                <w:sz w:val="22"/>
                <w:szCs w:val="22"/>
              </w:rPr>
            </w:pPr>
            <w:r>
              <w:rPr>
                <w:sz w:val="22"/>
                <w:szCs w:val="22"/>
              </w:rPr>
              <w:t>3.19</w:t>
            </w:r>
          </w:p>
        </w:tc>
      </w:tr>
      <w:tr w:rsidR="00D00B16" w14:paraId="08247583" w14:textId="77777777">
        <w:trPr>
          <w:trHeight w:val="380"/>
        </w:trPr>
        <w:tc>
          <w:tcPr>
            <w:tcW w:w="5929" w:type="dxa"/>
            <w:tcBorders>
              <w:top w:val="nil"/>
              <w:bottom w:val="nil"/>
            </w:tcBorders>
            <w:tcMar>
              <w:top w:w="0" w:type="dxa"/>
              <w:right w:w="0" w:type="dxa"/>
            </w:tcMar>
            <w:vAlign w:val="center"/>
          </w:tcPr>
          <w:p w14:paraId="48C671AD" w14:textId="77777777" w:rsidR="00D00B16" w:rsidRDefault="00365F6D">
            <w:pPr>
              <w:widowControl w:val="0"/>
              <w:ind w:left="330"/>
              <w:rPr>
                <w:sz w:val="22"/>
                <w:szCs w:val="22"/>
              </w:rPr>
            </w:pPr>
            <w:r>
              <w:rPr>
                <w:sz w:val="22"/>
                <w:szCs w:val="22"/>
              </w:rPr>
              <w:t>Social Justice</w:t>
            </w:r>
          </w:p>
        </w:tc>
        <w:tc>
          <w:tcPr>
            <w:tcW w:w="1974" w:type="dxa"/>
            <w:tcBorders>
              <w:top w:val="nil"/>
              <w:bottom w:val="nil"/>
            </w:tcBorders>
            <w:tcMar>
              <w:top w:w="0" w:type="dxa"/>
              <w:right w:w="0" w:type="dxa"/>
            </w:tcMar>
            <w:vAlign w:val="center"/>
          </w:tcPr>
          <w:p w14:paraId="0003E1C7" w14:textId="77777777" w:rsidR="00D00B16" w:rsidRDefault="00365F6D">
            <w:pPr>
              <w:widowControl w:val="0"/>
              <w:jc w:val="center"/>
              <w:rPr>
                <w:sz w:val="22"/>
                <w:szCs w:val="22"/>
              </w:rPr>
            </w:pPr>
            <w:r>
              <w:rPr>
                <w:sz w:val="22"/>
                <w:szCs w:val="22"/>
              </w:rPr>
              <w:t>.03</w:t>
            </w:r>
          </w:p>
        </w:tc>
        <w:tc>
          <w:tcPr>
            <w:tcW w:w="2072" w:type="dxa"/>
            <w:tcBorders>
              <w:top w:val="nil"/>
              <w:bottom w:val="nil"/>
            </w:tcBorders>
            <w:tcMar>
              <w:top w:w="0" w:type="dxa"/>
              <w:right w:w="0" w:type="dxa"/>
            </w:tcMar>
            <w:vAlign w:val="center"/>
          </w:tcPr>
          <w:p w14:paraId="2FF9404C" w14:textId="77777777" w:rsidR="00D00B16" w:rsidRDefault="00365F6D">
            <w:pPr>
              <w:widowControl w:val="0"/>
              <w:jc w:val="center"/>
              <w:rPr>
                <w:sz w:val="22"/>
                <w:szCs w:val="22"/>
              </w:rPr>
            </w:pPr>
            <w:r>
              <w:rPr>
                <w:sz w:val="22"/>
                <w:szCs w:val="22"/>
              </w:rPr>
              <w:t>--</w:t>
            </w:r>
          </w:p>
        </w:tc>
      </w:tr>
      <w:tr w:rsidR="00D00B16" w14:paraId="06600ED2" w14:textId="77777777">
        <w:trPr>
          <w:trHeight w:val="340"/>
        </w:trPr>
        <w:tc>
          <w:tcPr>
            <w:tcW w:w="5929" w:type="dxa"/>
            <w:tcBorders>
              <w:top w:val="nil"/>
              <w:bottom w:val="nil"/>
            </w:tcBorders>
            <w:tcMar>
              <w:top w:w="0" w:type="dxa"/>
              <w:right w:w="0" w:type="dxa"/>
            </w:tcMar>
            <w:vAlign w:val="center"/>
          </w:tcPr>
          <w:p w14:paraId="79BCD1FB" w14:textId="77777777" w:rsidR="00D00B16" w:rsidRDefault="00365F6D">
            <w:pPr>
              <w:widowControl w:val="0"/>
              <w:rPr>
                <w:i/>
                <w:sz w:val="22"/>
                <w:szCs w:val="22"/>
              </w:rPr>
            </w:pPr>
            <w:r>
              <w:rPr>
                <w:i/>
                <w:sz w:val="22"/>
                <w:szCs w:val="22"/>
              </w:rPr>
              <w:t xml:space="preserve">Managerialism </w:t>
            </w:r>
          </w:p>
        </w:tc>
        <w:tc>
          <w:tcPr>
            <w:tcW w:w="1974" w:type="dxa"/>
            <w:tcBorders>
              <w:top w:val="nil"/>
              <w:bottom w:val="nil"/>
            </w:tcBorders>
            <w:tcMar>
              <w:top w:w="0" w:type="dxa"/>
              <w:right w:w="0" w:type="dxa"/>
            </w:tcMar>
            <w:vAlign w:val="center"/>
          </w:tcPr>
          <w:p w14:paraId="5BD072E5" w14:textId="77777777" w:rsidR="00D00B16" w:rsidRDefault="00D00B16">
            <w:pPr>
              <w:widowControl w:val="0"/>
              <w:jc w:val="center"/>
              <w:rPr>
                <w:sz w:val="22"/>
                <w:szCs w:val="22"/>
              </w:rPr>
            </w:pPr>
          </w:p>
        </w:tc>
        <w:tc>
          <w:tcPr>
            <w:tcW w:w="2072" w:type="dxa"/>
            <w:tcBorders>
              <w:top w:val="nil"/>
              <w:bottom w:val="nil"/>
            </w:tcBorders>
            <w:tcMar>
              <w:top w:w="0" w:type="dxa"/>
              <w:right w:w="0" w:type="dxa"/>
            </w:tcMar>
            <w:vAlign w:val="center"/>
          </w:tcPr>
          <w:p w14:paraId="66D4A237" w14:textId="77777777" w:rsidR="00D00B16" w:rsidRDefault="00D00B16">
            <w:pPr>
              <w:widowControl w:val="0"/>
              <w:jc w:val="center"/>
              <w:rPr>
                <w:sz w:val="22"/>
                <w:szCs w:val="22"/>
              </w:rPr>
            </w:pPr>
          </w:p>
        </w:tc>
      </w:tr>
      <w:tr w:rsidR="00D00B16" w14:paraId="4759CCF2" w14:textId="77777777">
        <w:trPr>
          <w:trHeight w:val="380"/>
        </w:trPr>
        <w:tc>
          <w:tcPr>
            <w:tcW w:w="5929" w:type="dxa"/>
            <w:tcBorders>
              <w:top w:val="nil"/>
              <w:bottom w:val="nil"/>
            </w:tcBorders>
            <w:tcMar>
              <w:top w:w="0" w:type="dxa"/>
              <w:right w:w="0" w:type="dxa"/>
            </w:tcMar>
            <w:vAlign w:val="center"/>
          </w:tcPr>
          <w:p w14:paraId="2E2544EA" w14:textId="77777777" w:rsidR="00D00B16" w:rsidRDefault="00365F6D">
            <w:pPr>
              <w:widowControl w:val="0"/>
              <w:ind w:left="330"/>
              <w:rPr>
                <w:sz w:val="22"/>
                <w:szCs w:val="22"/>
              </w:rPr>
            </w:pPr>
            <w:r>
              <w:rPr>
                <w:sz w:val="22"/>
                <w:szCs w:val="22"/>
              </w:rPr>
              <w:t>Rationalization</w:t>
            </w:r>
          </w:p>
        </w:tc>
        <w:tc>
          <w:tcPr>
            <w:tcW w:w="1974" w:type="dxa"/>
            <w:tcBorders>
              <w:top w:val="nil"/>
              <w:bottom w:val="nil"/>
            </w:tcBorders>
            <w:tcMar>
              <w:top w:w="0" w:type="dxa"/>
              <w:right w:w="0" w:type="dxa"/>
            </w:tcMar>
            <w:vAlign w:val="center"/>
          </w:tcPr>
          <w:p w14:paraId="66D18871" w14:textId="77777777" w:rsidR="00D00B16" w:rsidRDefault="00365F6D">
            <w:pPr>
              <w:widowControl w:val="0"/>
              <w:jc w:val="center"/>
              <w:rPr>
                <w:sz w:val="22"/>
                <w:szCs w:val="22"/>
              </w:rPr>
            </w:pPr>
            <w:r>
              <w:rPr>
                <w:sz w:val="22"/>
                <w:szCs w:val="22"/>
              </w:rPr>
              <w:t>2.83</w:t>
            </w:r>
          </w:p>
        </w:tc>
        <w:tc>
          <w:tcPr>
            <w:tcW w:w="2072" w:type="dxa"/>
            <w:tcBorders>
              <w:top w:val="nil"/>
              <w:bottom w:val="nil"/>
            </w:tcBorders>
            <w:tcMar>
              <w:top w:w="0" w:type="dxa"/>
              <w:right w:w="0" w:type="dxa"/>
            </w:tcMar>
            <w:vAlign w:val="center"/>
          </w:tcPr>
          <w:p w14:paraId="0F6C432D" w14:textId="77777777" w:rsidR="00D00B16" w:rsidRDefault="00365F6D">
            <w:pPr>
              <w:widowControl w:val="0"/>
              <w:jc w:val="center"/>
              <w:rPr>
                <w:sz w:val="22"/>
                <w:szCs w:val="22"/>
              </w:rPr>
            </w:pPr>
            <w:r>
              <w:rPr>
                <w:sz w:val="22"/>
                <w:szCs w:val="22"/>
              </w:rPr>
              <w:t>1.16</w:t>
            </w:r>
          </w:p>
        </w:tc>
      </w:tr>
      <w:tr w:rsidR="00D00B16" w14:paraId="38DC6D41" w14:textId="77777777">
        <w:trPr>
          <w:trHeight w:val="340"/>
        </w:trPr>
        <w:tc>
          <w:tcPr>
            <w:tcW w:w="5929" w:type="dxa"/>
            <w:tcBorders>
              <w:top w:val="nil"/>
              <w:bottom w:val="nil"/>
            </w:tcBorders>
            <w:tcMar>
              <w:top w:w="0" w:type="dxa"/>
              <w:right w:w="0" w:type="dxa"/>
            </w:tcMar>
            <w:vAlign w:val="center"/>
          </w:tcPr>
          <w:p w14:paraId="5B183136" w14:textId="77777777" w:rsidR="00D00B16" w:rsidRDefault="00365F6D">
            <w:pPr>
              <w:widowControl w:val="0"/>
              <w:ind w:left="330"/>
              <w:rPr>
                <w:sz w:val="22"/>
                <w:szCs w:val="22"/>
              </w:rPr>
            </w:pPr>
            <w:r>
              <w:rPr>
                <w:sz w:val="22"/>
                <w:szCs w:val="22"/>
              </w:rPr>
              <w:t>Professionalization</w:t>
            </w:r>
          </w:p>
        </w:tc>
        <w:tc>
          <w:tcPr>
            <w:tcW w:w="1974" w:type="dxa"/>
            <w:tcBorders>
              <w:top w:val="nil"/>
              <w:bottom w:val="nil"/>
            </w:tcBorders>
            <w:tcMar>
              <w:top w:w="0" w:type="dxa"/>
              <w:right w:w="0" w:type="dxa"/>
            </w:tcMar>
            <w:vAlign w:val="center"/>
          </w:tcPr>
          <w:p w14:paraId="4A24C187" w14:textId="77777777" w:rsidR="00D00B16" w:rsidRDefault="00365F6D">
            <w:pPr>
              <w:widowControl w:val="0"/>
              <w:jc w:val="center"/>
              <w:rPr>
                <w:sz w:val="22"/>
                <w:szCs w:val="22"/>
              </w:rPr>
            </w:pPr>
            <w:r>
              <w:rPr>
                <w:sz w:val="22"/>
                <w:szCs w:val="22"/>
              </w:rPr>
              <w:t>.13</w:t>
            </w:r>
          </w:p>
        </w:tc>
        <w:tc>
          <w:tcPr>
            <w:tcW w:w="2072" w:type="dxa"/>
            <w:tcBorders>
              <w:top w:val="nil"/>
              <w:bottom w:val="nil"/>
            </w:tcBorders>
            <w:tcMar>
              <w:top w:w="0" w:type="dxa"/>
              <w:right w:w="0" w:type="dxa"/>
            </w:tcMar>
            <w:vAlign w:val="center"/>
          </w:tcPr>
          <w:p w14:paraId="7F213ADF" w14:textId="77777777" w:rsidR="00D00B16" w:rsidRDefault="00365F6D">
            <w:pPr>
              <w:widowControl w:val="0"/>
              <w:jc w:val="center"/>
              <w:rPr>
                <w:sz w:val="22"/>
                <w:szCs w:val="22"/>
              </w:rPr>
            </w:pPr>
            <w:r>
              <w:rPr>
                <w:sz w:val="22"/>
                <w:szCs w:val="22"/>
              </w:rPr>
              <w:t>.11</w:t>
            </w:r>
          </w:p>
        </w:tc>
      </w:tr>
      <w:tr w:rsidR="00D00B16" w14:paraId="2FE2D828" w14:textId="77777777">
        <w:trPr>
          <w:trHeight w:val="340"/>
        </w:trPr>
        <w:tc>
          <w:tcPr>
            <w:tcW w:w="5929" w:type="dxa"/>
            <w:tcBorders>
              <w:top w:val="nil"/>
              <w:bottom w:val="nil"/>
            </w:tcBorders>
            <w:tcMar>
              <w:top w:w="0" w:type="dxa"/>
              <w:right w:w="0" w:type="dxa"/>
            </w:tcMar>
            <w:vAlign w:val="center"/>
          </w:tcPr>
          <w:p w14:paraId="7B583458" w14:textId="77777777" w:rsidR="00D00B16" w:rsidRDefault="00365F6D">
            <w:pPr>
              <w:widowControl w:val="0"/>
              <w:rPr>
                <w:i/>
                <w:sz w:val="22"/>
                <w:szCs w:val="22"/>
              </w:rPr>
            </w:pPr>
            <w:r>
              <w:rPr>
                <w:i/>
                <w:sz w:val="22"/>
                <w:szCs w:val="22"/>
              </w:rPr>
              <w:t>Controls</w:t>
            </w:r>
          </w:p>
        </w:tc>
        <w:tc>
          <w:tcPr>
            <w:tcW w:w="1974" w:type="dxa"/>
            <w:tcBorders>
              <w:top w:val="nil"/>
              <w:bottom w:val="nil"/>
            </w:tcBorders>
            <w:tcMar>
              <w:top w:w="0" w:type="dxa"/>
              <w:right w:w="0" w:type="dxa"/>
            </w:tcMar>
            <w:vAlign w:val="center"/>
          </w:tcPr>
          <w:p w14:paraId="01DD1D17" w14:textId="77777777" w:rsidR="00D00B16" w:rsidRDefault="00D00B16">
            <w:pPr>
              <w:widowControl w:val="0"/>
              <w:jc w:val="center"/>
              <w:rPr>
                <w:sz w:val="22"/>
                <w:szCs w:val="22"/>
              </w:rPr>
            </w:pPr>
          </w:p>
        </w:tc>
        <w:tc>
          <w:tcPr>
            <w:tcW w:w="2072" w:type="dxa"/>
            <w:tcBorders>
              <w:top w:val="nil"/>
              <w:bottom w:val="nil"/>
            </w:tcBorders>
            <w:tcMar>
              <w:top w:w="0" w:type="dxa"/>
              <w:right w:w="0" w:type="dxa"/>
            </w:tcMar>
            <w:vAlign w:val="center"/>
          </w:tcPr>
          <w:p w14:paraId="1AB1BE6B" w14:textId="77777777" w:rsidR="00D00B16" w:rsidRDefault="00D00B16">
            <w:pPr>
              <w:widowControl w:val="0"/>
              <w:jc w:val="center"/>
              <w:rPr>
                <w:sz w:val="22"/>
                <w:szCs w:val="22"/>
              </w:rPr>
            </w:pPr>
          </w:p>
        </w:tc>
      </w:tr>
      <w:tr w:rsidR="00D00B16" w14:paraId="419FC723" w14:textId="77777777">
        <w:trPr>
          <w:trHeight w:val="340"/>
        </w:trPr>
        <w:tc>
          <w:tcPr>
            <w:tcW w:w="5929" w:type="dxa"/>
            <w:tcBorders>
              <w:top w:val="nil"/>
              <w:bottom w:val="nil"/>
            </w:tcBorders>
            <w:tcMar>
              <w:top w:w="0" w:type="dxa"/>
              <w:right w:w="0" w:type="dxa"/>
            </w:tcMar>
            <w:vAlign w:val="center"/>
          </w:tcPr>
          <w:p w14:paraId="2C8B3360" w14:textId="77777777" w:rsidR="00D00B16" w:rsidRDefault="00365F6D">
            <w:pPr>
              <w:widowControl w:val="0"/>
              <w:ind w:left="330"/>
              <w:rPr>
                <w:sz w:val="22"/>
                <w:szCs w:val="22"/>
              </w:rPr>
            </w:pPr>
            <w:r>
              <w:rPr>
                <w:sz w:val="22"/>
                <w:szCs w:val="22"/>
              </w:rPr>
              <w:t>Size (logged assets)</w:t>
            </w:r>
          </w:p>
        </w:tc>
        <w:tc>
          <w:tcPr>
            <w:tcW w:w="1974" w:type="dxa"/>
            <w:tcBorders>
              <w:top w:val="nil"/>
              <w:bottom w:val="nil"/>
            </w:tcBorders>
            <w:tcMar>
              <w:top w:w="0" w:type="dxa"/>
              <w:right w:w="0" w:type="dxa"/>
            </w:tcMar>
            <w:vAlign w:val="center"/>
          </w:tcPr>
          <w:p w14:paraId="733EB03B" w14:textId="77777777" w:rsidR="00D00B16" w:rsidRDefault="00365F6D">
            <w:pPr>
              <w:widowControl w:val="0"/>
              <w:jc w:val="center"/>
              <w:rPr>
                <w:sz w:val="22"/>
                <w:szCs w:val="22"/>
              </w:rPr>
            </w:pPr>
            <w:r>
              <w:rPr>
                <w:sz w:val="22"/>
                <w:szCs w:val="22"/>
              </w:rPr>
              <w:t>16.88</w:t>
            </w:r>
          </w:p>
        </w:tc>
        <w:tc>
          <w:tcPr>
            <w:tcW w:w="2072" w:type="dxa"/>
            <w:tcBorders>
              <w:top w:val="nil"/>
              <w:bottom w:val="nil"/>
            </w:tcBorders>
            <w:tcMar>
              <w:top w:w="0" w:type="dxa"/>
              <w:right w:w="0" w:type="dxa"/>
            </w:tcMar>
            <w:vAlign w:val="center"/>
          </w:tcPr>
          <w:p w14:paraId="46FBB6C7" w14:textId="77777777" w:rsidR="00D00B16" w:rsidRDefault="00365F6D">
            <w:pPr>
              <w:widowControl w:val="0"/>
              <w:jc w:val="center"/>
              <w:rPr>
                <w:sz w:val="22"/>
                <w:szCs w:val="22"/>
              </w:rPr>
            </w:pPr>
            <w:r>
              <w:rPr>
                <w:sz w:val="22"/>
                <w:szCs w:val="22"/>
              </w:rPr>
              <w:t>1.78</w:t>
            </w:r>
          </w:p>
        </w:tc>
      </w:tr>
      <w:tr w:rsidR="00D00B16" w14:paraId="7A3A5BB1" w14:textId="77777777">
        <w:trPr>
          <w:trHeight w:val="340"/>
        </w:trPr>
        <w:tc>
          <w:tcPr>
            <w:tcW w:w="5929" w:type="dxa"/>
            <w:tcBorders>
              <w:top w:val="nil"/>
              <w:bottom w:val="single" w:sz="8" w:space="0" w:color="000000"/>
            </w:tcBorders>
            <w:tcMar>
              <w:top w:w="0" w:type="dxa"/>
              <w:right w:w="0" w:type="dxa"/>
            </w:tcMar>
            <w:vAlign w:val="center"/>
          </w:tcPr>
          <w:p w14:paraId="29A75133" w14:textId="77777777" w:rsidR="00D00B16" w:rsidRDefault="00365F6D">
            <w:pPr>
              <w:widowControl w:val="0"/>
              <w:ind w:left="330"/>
              <w:rPr>
                <w:sz w:val="22"/>
                <w:szCs w:val="22"/>
              </w:rPr>
            </w:pPr>
            <w:r>
              <w:rPr>
                <w:sz w:val="22"/>
                <w:szCs w:val="22"/>
              </w:rPr>
              <w:t>Age</w:t>
            </w:r>
          </w:p>
        </w:tc>
        <w:tc>
          <w:tcPr>
            <w:tcW w:w="1974" w:type="dxa"/>
            <w:tcBorders>
              <w:top w:val="nil"/>
              <w:bottom w:val="single" w:sz="8" w:space="0" w:color="000000"/>
            </w:tcBorders>
            <w:tcMar>
              <w:top w:w="0" w:type="dxa"/>
              <w:right w:w="0" w:type="dxa"/>
            </w:tcMar>
            <w:vAlign w:val="center"/>
          </w:tcPr>
          <w:p w14:paraId="12E2CFF2" w14:textId="77777777" w:rsidR="00D00B16" w:rsidRDefault="00365F6D">
            <w:pPr>
              <w:widowControl w:val="0"/>
              <w:jc w:val="center"/>
              <w:rPr>
                <w:sz w:val="22"/>
                <w:szCs w:val="22"/>
              </w:rPr>
            </w:pPr>
            <w:r>
              <w:rPr>
                <w:sz w:val="22"/>
                <w:szCs w:val="22"/>
              </w:rPr>
              <w:t>26.74</w:t>
            </w:r>
          </w:p>
        </w:tc>
        <w:tc>
          <w:tcPr>
            <w:tcW w:w="2072" w:type="dxa"/>
            <w:tcBorders>
              <w:top w:val="nil"/>
              <w:bottom w:val="single" w:sz="8" w:space="0" w:color="000000"/>
            </w:tcBorders>
            <w:tcMar>
              <w:top w:w="0" w:type="dxa"/>
              <w:right w:w="0" w:type="dxa"/>
            </w:tcMar>
            <w:vAlign w:val="center"/>
          </w:tcPr>
          <w:p w14:paraId="22503628" w14:textId="77777777" w:rsidR="00D00B16" w:rsidRDefault="00365F6D">
            <w:pPr>
              <w:widowControl w:val="0"/>
              <w:jc w:val="center"/>
              <w:rPr>
                <w:sz w:val="22"/>
                <w:szCs w:val="22"/>
              </w:rPr>
            </w:pPr>
            <w:r>
              <w:rPr>
                <w:sz w:val="22"/>
                <w:szCs w:val="22"/>
              </w:rPr>
              <w:t>16.05</w:t>
            </w:r>
          </w:p>
        </w:tc>
      </w:tr>
    </w:tbl>
    <w:p w14:paraId="2BDC9A3A" w14:textId="77777777" w:rsidR="00D00B16" w:rsidRDefault="00365F6D">
      <w:pPr>
        <w:rPr>
          <w:sz w:val="22"/>
          <w:szCs w:val="22"/>
        </w:rPr>
      </w:pPr>
      <w:r>
        <w:rPr>
          <w:sz w:val="22"/>
          <w:szCs w:val="22"/>
        </w:rPr>
        <w:t xml:space="preserve">Sources: U.S. Census (2010), Community Foundation Atlas (2017), Community Foundation Websites (2017), Council on Foundations (2017), Foundation Center (2017), Internal Revenue Service (2017), National Center for Charitable Statistics (2017) </w:t>
      </w:r>
    </w:p>
    <w:p w14:paraId="49155F8A" w14:textId="77777777" w:rsidR="00D00B16" w:rsidRDefault="00D00B16">
      <w:pPr>
        <w:rPr>
          <w:sz w:val="22"/>
          <w:szCs w:val="22"/>
        </w:rPr>
      </w:pPr>
    </w:p>
    <w:p w14:paraId="53FEFB03" w14:textId="77777777" w:rsidR="00D00B16" w:rsidRDefault="00365F6D">
      <w:pPr>
        <w:rPr>
          <w:sz w:val="22"/>
          <w:szCs w:val="22"/>
        </w:rPr>
      </w:pPr>
      <w:r>
        <w:br w:type="page"/>
      </w:r>
    </w:p>
    <w:p w14:paraId="77F07FAC" w14:textId="77777777" w:rsidR="00D00B16" w:rsidRDefault="00365F6D">
      <w:pPr>
        <w:ind w:left="-360"/>
        <w:rPr>
          <w:sz w:val="22"/>
          <w:szCs w:val="22"/>
        </w:rPr>
      </w:pPr>
      <w:r>
        <w:rPr>
          <w:sz w:val="22"/>
          <w:szCs w:val="22"/>
        </w:rPr>
        <w:lastRenderedPageBreak/>
        <w:t>Table 2. Summary of Predictors of Community Foundation Website Advocacy, OLS Models (N=590)</w:t>
      </w:r>
    </w:p>
    <w:tbl>
      <w:tblPr>
        <w:tblStyle w:val="a0"/>
        <w:tblW w:w="10322" w:type="dxa"/>
        <w:tblInd w:w="-351" w:type="dxa"/>
        <w:tblLayout w:type="fixed"/>
        <w:tblLook w:val="0400" w:firstRow="0" w:lastRow="0" w:firstColumn="0" w:lastColumn="0" w:noHBand="0" w:noVBand="1"/>
      </w:tblPr>
      <w:tblGrid>
        <w:gridCol w:w="2621"/>
        <w:gridCol w:w="1138"/>
        <w:gridCol w:w="1029"/>
        <w:gridCol w:w="1028"/>
        <w:gridCol w:w="1136"/>
        <w:gridCol w:w="1136"/>
        <w:gridCol w:w="1117"/>
        <w:gridCol w:w="1117"/>
      </w:tblGrid>
      <w:tr w:rsidR="00D00B16" w14:paraId="456406AE" w14:textId="77777777">
        <w:trPr>
          <w:trHeight w:val="280"/>
        </w:trPr>
        <w:tc>
          <w:tcPr>
            <w:tcW w:w="2621" w:type="dxa"/>
            <w:tcBorders>
              <w:top w:val="single" w:sz="4" w:space="0" w:color="000000"/>
              <w:left w:val="nil"/>
              <w:bottom w:val="single" w:sz="4" w:space="0" w:color="000000"/>
              <w:right w:val="nil"/>
            </w:tcBorders>
            <w:shd w:val="clear" w:color="auto" w:fill="auto"/>
            <w:vAlign w:val="bottom"/>
          </w:tcPr>
          <w:p w14:paraId="605EE4AA" w14:textId="77777777" w:rsidR="00D00B16" w:rsidRDefault="00365F6D">
            <w:pPr>
              <w:rPr>
                <w:sz w:val="20"/>
                <w:szCs w:val="20"/>
              </w:rPr>
            </w:pPr>
            <w:r>
              <w:rPr>
                <w:sz w:val="20"/>
                <w:szCs w:val="20"/>
              </w:rPr>
              <w:t>VARIABLES</w:t>
            </w:r>
          </w:p>
        </w:tc>
        <w:tc>
          <w:tcPr>
            <w:tcW w:w="1138" w:type="dxa"/>
            <w:tcBorders>
              <w:top w:val="single" w:sz="4" w:space="0" w:color="000000"/>
              <w:left w:val="nil"/>
              <w:bottom w:val="single" w:sz="4" w:space="0" w:color="000000"/>
              <w:right w:val="nil"/>
            </w:tcBorders>
            <w:shd w:val="clear" w:color="auto" w:fill="auto"/>
            <w:vAlign w:val="bottom"/>
          </w:tcPr>
          <w:p w14:paraId="33773F46" w14:textId="77777777" w:rsidR="00D00B16" w:rsidRDefault="00365F6D">
            <w:pPr>
              <w:jc w:val="center"/>
              <w:rPr>
                <w:sz w:val="20"/>
                <w:szCs w:val="20"/>
              </w:rPr>
            </w:pPr>
            <w:r>
              <w:rPr>
                <w:sz w:val="20"/>
                <w:szCs w:val="20"/>
              </w:rPr>
              <w:t>1</w:t>
            </w:r>
          </w:p>
        </w:tc>
        <w:tc>
          <w:tcPr>
            <w:tcW w:w="1029" w:type="dxa"/>
            <w:tcBorders>
              <w:top w:val="single" w:sz="4" w:space="0" w:color="000000"/>
              <w:left w:val="nil"/>
              <w:bottom w:val="single" w:sz="4" w:space="0" w:color="000000"/>
              <w:right w:val="nil"/>
            </w:tcBorders>
            <w:shd w:val="clear" w:color="auto" w:fill="auto"/>
            <w:vAlign w:val="bottom"/>
          </w:tcPr>
          <w:p w14:paraId="00C34164" w14:textId="77777777" w:rsidR="00D00B16" w:rsidRDefault="00365F6D">
            <w:pPr>
              <w:jc w:val="center"/>
              <w:rPr>
                <w:sz w:val="20"/>
                <w:szCs w:val="20"/>
              </w:rPr>
            </w:pPr>
            <w:r>
              <w:rPr>
                <w:sz w:val="20"/>
                <w:szCs w:val="20"/>
              </w:rPr>
              <w:t>2a</w:t>
            </w:r>
          </w:p>
        </w:tc>
        <w:tc>
          <w:tcPr>
            <w:tcW w:w="1028" w:type="dxa"/>
            <w:tcBorders>
              <w:top w:val="single" w:sz="4" w:space="0" w:color="000000"/>
              <w:left w:val="nil"/>
              <w:bottom w:val="single" w:sz="4" w:space="0" w:color="000000"/>
              <w:right w:val="nil"/>
            </w:tcBorders>
            <w:shd w:val="clear" w:color="auto" w:fill="auto"/>
            <w:vAlign w:val="bottom"/>
          </w:tcPr>
          <w:p w14:paraId="5DB04E73" w14:textId="77777777" w:rsidR="00D00B16" w:rsidRDefault="00365F6D">
            <w:pPr>
              <w:jc w:val="center"/>
              <w:rPr>
                <w:sz w:val="20"/>
                <w:szCs w:val="20"/>
              </w:rPr>
            </w:pPr>
            <w:r>
              <w:rPr>
                <w:sz w:val="20"/>
                <w:szCs w:val="20"/>
              </w:rPr>
              <w:t>2b</w:t>
            </w:r>
          </w:p>
        </w:tc>
        <w:tc>
          <w:tcPr>
            <w:tcW w:w="1136" w:type="dxa"/>
            <w:tcBorders>
              <w:top w:val="single" w:sz="4" w:space="0" w:color="000000"/>
              <w:left w:val="nil"/>
              <w:bottom w:val="single" w:sz="4" w:space="0" w:color="000000"/>
              <w:right w:val="nil"/>
            </w:tcBorders>
            <w:shd w:val="clear" w:color="auto" w:fill="auto"/>
            <w:vAlign w:val="bottom"/>
          </w:tcPr>
          <w:p w14:paraId="4FBE89AA" w14:textId="77777777" w:rsidR="00D00B16" w:rsidRDefault="00365F6D">
            <w:pPr>
              <w:jc w:val="center"/>
              <w:rPr>
                <w:sz w:val="20"/>
                <w:szCs w:val="20"/>
              </w:rPr>
            </w:pPr>
            <w:r>
              <w:rPr>
                <w:sz w:val="20"/>
                <w:szCs w:val="20"/>
              </w:rPr>
              <w:t>3</w:t>
            </w:r>
          </w:p>
        </w:tc>
        <w:tc>
          <w:tcPr>
            <w:tcW w:w="1136" w:type="dxa"/>
            <w:tcBorders>
              <w:top w:val="single" w:sz="4" w:space="0" w:color="000000"/>
              <w:left w:val="nil"/>
              <w:bottom w:val="single" w:sz="4" w:space="0" w:color="000000"/>
              <w:right w:val="nil"/>
            </w:tcBorders>
            <w:shd w:val="clear" w:color="auto" w:fill="auto"/>
            <w:vAlign w:val="bottom"/>
          </w:tcPr>
          <w:p w14:paraId="5BB415AC" w14:textId="77777777" w:rsidR="00D00B16" w:rsidRDefault="00365F6D">
            <w:pPr>
              <w:jc w:val="center"/>
              <w:rPr>
                <w:sz w:val="20"/>
                <w:szCs w:val="20"/>
              </w:rPr>
            </w:pPr>
            <w:r>
              <w:rPr>
                <w:sz w:val="20"/>
                <w:szCs w:val="20"/>
              </w:rPr>
              <w:t>4</w:t>
            </w:r>
          </w:p>
        </w:tc>
        <w:tc>
          <w:tcPr>
            <w:tcW w:w="1117" w:type="dxa"/>
            <w:tcBorders>
              <w:top w:val="single" w:sz="4" w:space="0" w:color="000000"/>
              <w:left w:val="nil"/>
              <w:bottom w:val="single" w:sz="4" w:space="0" w:color="000000"/>
              <w:right w:val="nil"/>
            </w:tcBorders>
            <w:shd w:val="clear" w:color="auto" w:fill="auto"/>
            <w:vAlign w:val="bottom"/>
          </w:tcPr>
          <w:p w14:paraId="26B05C4D" w14:textId="77777777" w:rsidR="00D00B16" w:rsidRDefault="00365F6D">
            <w:pPr>
              <w:jc w:val="center"/>
              <w:rPr>
                <w:sz w:val="20"/>
                <w:szCs w:val="20"/>
              </w:rPr>
            </w:pPr>
            <w:r>
              <w:rPr>
                <w:sz w:val="20"/>
                <w:szCs w:val="20"/>
              </w:rPr>
              <w:t>5a</w:t>
            </w:r>
          </w:p>
        </w:tc>
        <w:tc>
          <w:tcPr>
            <w:tcW w:w="1117" w:type="dxa"/>
            <w:tcBorders>
              <w:top w:val="single" w:sz="4" w:space="0" w:color="000000"/>
              <w:left w:val="nil"/>
              <w:bottom w:val="single" w:sz="4" w:space="0" w:color="000000"/>
              <w:right w:val="nil"/>
            </w:tcBorders>
            <w:shd w:val="clear" w:color="auto" w:fill="auto"/>
            <w:vAlign w:val="bottom"/>
          </w:tcPr>
          <w:p w14:paraId="56D1B044" w14:textId="77777777" w:rsidR="00D00B16" w:rsidRDefault="00365F6D">
            <w:pPr>
              <w:jc w:val="center"/>
              <w:rPr>
                <w:sz w:val="20"/>
                <w:szCs w:val="20"/>
              </w:rPr>
            </w:pPr>
            <w:r>
              <w:rPr>
                <w:sz w:val="20"/>
                <w:szCs w:val="20"/>
              </w:rPr>
              <w:t>5b</w:t>
            </w:r>
          </w:p>
        </w:tc>
      </w:tr>
      <w:tr w:rsidR="00D00B16" w14:paraId="2B4BE167" w14:textId="77777777">
        <w:trPr>
          <w:trHeight w:val="280"/>
        </w:trPr>
        <w:tc>
          <w:tcPr>
            <w:tcW w:w="2621" w:type="dxa"/>
            <w:tcBorders>
              <w:top w:val="single" w:sz="4" w:space="0" w:color="000000"/>
              <w:left w:val="nil"/>
              <w:bottom w:val="nil"/>
              <w:right w:val="nil"/>
            </w:tcBorders>
            <w:shd w:val="clear" w:color="auto" w:fill="auto"/>
            <w:vAlign w:val="bottom"/>
          </w:tcPr>
          <w:p w14:paraId="29612338" w14:textId="77777777" w:rsidR="00D00B16" w:rsidRDefault="00365F6D">
            <w:pPr>
              <w:rPr>
                <w:sz w:val="20"/>
                <w:szCs w:val="20"/>
              </w:rPr>
            </w:pPr>
            <w:r>
              <w:rPr>
                <w:sz w:val="20"/>
                <w:szCs w:val="20"/>
              </w:rPr>
              <w:t> </w:t>
            </w:r>
          </w:p>
        </w:tc>
        <w:tc>
          <w:tcPr>
            <w:tcW w:w="1138" w:type="dxa"/>
            <w:tcBorders>
              <w:top w:val="single" w:sz="4" w:space="0" w:color="000000"/>
              <w:left w:val="nil"/>
              <w:bottom w:val="nil"/>
              <w:right w:val="nil"/>
            </w:tcBorders>
            <w:shd w:val="clear" w:color="auto" w:fill="auto"/>
            <w:vAlign w:val="bottom"/>
          </w:tcPr>
          <w:p w14:paraId="0E90E54D" w14:textId="77777777" w:rsidR="00D00B16" w:rsidRDefault="00365F6D">
            <w:pPr>
              <w:jc w:val="center"/>
              <w:rPr>
                <w:sz w:val="20"/>
                <w:szCs w:val="20"/>
              </w:rPr>
            </w:pPr>
            <w:r>
              <w:rPr>
                <w:sz w:val="20"/>
                <w:szCs w:val="20"/>
              </w:rPr>
              <w:t> </w:t>
            </w:r>
          </w:p>
        </w:tc>
        <w:tc>
          <w:tcPr>
            <w:tcW w:w="1029" w:type="dxa"/>
            <w:tcBorders>
              <w:top w:val="single" w:sz="4" w:space="0" w:color="000000"/>
              <w:left w:val="nil"/>
              <w:bottom w:val="nil"/>
              <w:right w:val="nil"/>
            </w:tcBorders>
            <w:shd w:val="clear" w:color="auto" w:fill="auto"/>
            <w:vAlign w:val="bottom"/>
          </w:tcPr>
          <w:p w14:paraId="67B97929" w14:textId="77777777" w:rsidR="00D00B16" w:rsidRDefault="00365F6D">
            <w:pPr>
              <w:jc w:val="center"/>
              <w:rPr>
                <w:sz w:val="20"/>
                <w:szCs w:val="20"/>
              </w:rPr>
            </w:pPr>
            <w:r>
              <w:rPr>
                <w:sz w:val="20"/>
                <w:szCs w:val="20"/>
              </w:rPr>
              <w:t> </w:t>
            </w:r>
          </w:p>
        </w:tc>
        <w:tc>
          <w:tcPr>
            <w:tcW w:w="1028" w:type="dxa"/>
            <w:tcBorders>
              <w:top w:val="single" w:sz="4" w:space="0" w:color="000000"/>
              <w:left w:val="nil"/>
              <w:bottom w:val="nil"/>
              <w:right w:val="nil"/>
            </w:tcBorders>
            <w:shd w:val="clear" w:color="auto" w:fill="auto"/>
            <w:vAlign w:val="bottom"/>
          </w:tcPr>
          <w:p w14:paraId="516A10F4" w14:textId="77777777" w:rsidR="00D00B16" w:rsidRDefault="00365F6D">
            <w:pPr>
              <w:jc w:val="center"/>
              <w:rPr>
                <w:sz w:val="20"/>
                <w:szCs w:val="20"/>
              </w:rPr>
            </w:pPr>
            <w:r>
              <w:rPr>
                <w:sz w:val="20"/>
                <w:szCs w:val="20"/>
              </w:rPr>
              <w:t> </w:t>
            </w:r>
          </w:p>
        </w:tc>
        <w:tc>
          <w:tcPr>
            <w:tcW w:w="1136" w:type="dxa"/>
            <w:tcBorders>
              <w:top w:val="single" w:sz="4" w:space="0" w:color="000000"/>
              <w:left w:val="nil"/>
              <w:bottom w:val="nil"/>
              <w:right w:val="nil"/>
            </w:tcBorders>
            <w:shd w:val="clear" w:color="auto" w:fill="auto"/>
            <w:vAlign w:val="bottom"/>
          </w:tcPr>
          <w:p w14:paraId="6D195287" w14:textId="77777777" w:rsidR="00D00B16" w:rsidRDefault="00365F6D">
            <w:pPr>
              <w:jc w:val="center"/>
              <w:rPr>
                <w:sz w:val="20"/>
                <w:szCs w:val="20"/>
              </w:rPr>
            </w:pPr>
            <w:r>
              <w:rPr>
                <w:sz w:val="20"/>
                <w:szCs w:val="20"/>
              </w:rPr>
              <w:t> </w:t>
            </w:r>
          </w:p>
        </w:tc>
        <w:tc>
          <w:tcPr>
            <w:tcW w:w="1136" w:type="dxa"/>
            <w:tcBorders>
              <w:top w:val="single" w:sz="4" w:space="0" w:color="000000"/>
              <w:left w:val="nil"/>
              <w:bottom w:val="nil"/>
              <w:right w:val="nil"/>
            </w:tcBorders>
            <w:shd w:val="clear" w:color="auto" w:fill="auto"/>
            <w:vAlign w:val="bottom"/>
          </w:tcPr>
          <w:p w14:paraId="7F8008D7" w14:textId="77777777" w:rsidR="00D00B16" w:rsidRDefault="00365F6D">
            <w:pPr>
              <w:jc w:val="center"/>
              <w:rPr>
                <w:sz w:val="20"/>
                <w:szCs w:val="20"/>
              </w:rPr>
            </w:pPr>
            <w:r>
              <w:rPr>
                <w:sz w:val="20"/>
                <w:szCs w:val="20"/>
              </w:rPr>
              <w:t> </w:t>
            </w:r>
          </w:p>
        </w:tc>
        <w:tc>
          <w:tcPr>
            <w:tcW w:w="1117" w:type="dxa"/>
            <w:tcBorders>
              <w:top w:val="single" w:sz="4" w:space="0" w:color="000000"/>
              <w:left w:val="nil"/>
              <w:bottom w:val="nil"/>
              <w:right w:val="nil"/>
            </w:tcBorders>
            <w:shd w:val="clear" w:color="auto" w:fill="auto"/>
            <w:vAlign w:val="bottom"/>
          </w:tcPr>
          <w:p w14:paraId="6DE00D6C" w14:textId="77777777" w:rsidR="00D00B16" w:rsidRDefault="00365F6D">
            <w:pPr>
              <w:jc w:val="center"/>
              <w:rPr>
                <w:sz w:val="20"/>
                <w:szCs w:val="20"/>
              </w:rPr>
            </w:pPr>
            <w:r>
              <w:rPr>
                <w:sz w:val="20"/>
                <w:szCs w:val="20"/>
              </w:rPr>
              <w:t> </w:t>
            </w:r>
          </w:p>
        </w:tc>
        <w:tc>
          <w:tcPr>
            <w:tcW w:w="1117" w:type="dxa"/>
            <w:tcBorders>
              <w:top w:val="single" w:sz="4" w:space="0" w:color="000000"/>
              <w:left w:val="nil"/>
              <w:bottom w:val="nil"/>
              <w:right w:val="nil"/>
            </w:tcBorders>
            <w:shd w:val="clear" w:color="auto" w:fill="auto"/>
            <w:vAlign w:val="bottom"/>
          </w:tcPr>
          <w:p w14:paraId="476FE909" w14:textId="77777777" w:rsidR="00D00B16" w:rsidRDefault="00365F6D">
            <w:pPr>
              <w:jc w:val="center"/>
              <w:rPr>
                <w:sz w:val="20"/>
                <w:szCs w:val="20"/>
              </w:rPr>
            </w:pPr>
            <w:r>
              <w:rPr>
                <w:sz w:val="20"/>
                <w:szCs w:val="20"/>
              </w:rPr>
              <w:t> </w:t>
            </w:r>
          </w:p>
        </w:tc>
      </w:tr>
      <w:tr w:rsidR="00D00B16" w14:paraId="7D1CED2A" w14:textId="77777777">
        <w:trPr>
          <w:trHeight w:val="280"/>
        </w:trPr>
        <w:tc>
          <w:tcPr>
            <w:tcW w:w="3759" w:type="dxa"/>
            <w:gridSpan w:val="2"/>
            <w:tcBorders>
              <w:top w:val="nil"/>
              <w:left w:val="nil"/>
              <w:bottom w:val="nil"/>
              <w:right w:val="nil"/>
            </w:tcBorders>
            <w:shd w:val="clear" w:color="auto" w:fill="auto"/>
            <w:vAlign w:val="bottom"/>
          </w:tcPr>
          <w:p w14:paraId="1912EBCF" w14:textId="77777777" w:rsidR="00D00B16" w:rsidRDefault="00365F6D">
            <w:pPr>
              <w:rPr>
                <w:i/>
                <w:sz w:val="20"/>
                <w:szCs w:val="20"/>
              </w:rPr>
            </w:pPr>
            <w:r>
              <w:rPr>
                <w:i/>
                <w:sz w:val="20"/>
                <w:szCs w:val="20"/>
              </w:rPr>
              <w:t>Environmental Context</w:t>
            </w:r>
          </w:p>
        </w:tc>
        <w:tc>
          <w:tcPr>
            <w:tcW w:w="1029" w:type="dxa"/>
            <w:tcBorders>
              <w:top w:val="nil"/>
              <w:left w:val="nil"/>
              <w:bottom w:val="nil"/>
              <w:right w:val="nil"/>
            </w:tcBorders>
            <w:shd w:val="clear" w:color="auto" w:fill="auto"/>
            <w:vAlign w:val="bottom"/>
          </w:tcPr>
          <w:p w14:paraId="05ED314E" w14:textId="77777777" w:rsidR="00D00B16" w:rsidRDefault="00D00B16">
            <w:pPr>
              <w:rPr>
                <w:i/>
                <w:sz w:val="20"/>
                <w:szCs w:val="20"/>
              </w:rPr>
            </w:pPr>
          </w:p>
        </w:tc>
        <w:tc>
          <w:tcPr>
            <w:tcW w:w="1028" w:type="dxa"/>
            <w:tcBorders>
              <w:top w:val="nil"/>
              <w:left w:val="nil"/>
              <w:bottom w:val="nil"/>
              <w:right w:val="nil"/>
            </w:tcBorders>
            <w:shd w:val="clear" w:color="auto" w:fill="auto"/>
            <w:vAlign w:val="bottom"/>
          </w:tcPr>
          <w:p w14:paraId="77892D49" w14:textId="77777777" w:rsidR="00D00B16" w:rsidRDefault="00D00B16">
            <w:pPr>
              <w:jc w:val="center"/>
              <w:rPr>
                <w:sz w:val="20"/>
                <w:szCs w:val="20"/>
              </w:rPr>
            </w:pPr>
          </w:p>
        </w:tc>
        <w:tc>
          <w:tcPr>
            <w:tcW w:w="1136" w:type="dxa"/>
            <w:tcBorders>
              <w:top w:val="nil"/>
              <w:left w:val="nil"/>
              <w:bottom w:val="nil"/>
              <w:right w:val="nil"/>
            </w:tcBorders>
            <w:shd w:val="clear" w:color="auto" w:fill="auto"/>
            <w:vAlign w:val="bottom"/>
          </w:tcPr>
          <w:p w14:paraId="649B5350" w14:textId="77777777" w:rsidR="00D00B16" w:rsidRDefault="00D00B16">
            <w:pPr>
              <w:jc w:val="center"/>
              <w:rPr>
                <w:sz w:val="20"/>
                <w:szCs w:val="20"/>
              </w:rPr>
            </w:pPr>
          </w:p>
        </w:tc>
        <w:tc>
          <w:tcPr>
            <w:tcW w:w="1136" w:type="dxa"/>
            <w:tcBorders>
              <w:top w:val="nil"/>
              <w:left w:val="nil"/>
              <w:bottom w:val="nil"/>
              <w:right w:val="nil"/>
            </w:tcBorders>
            <w:shd w:val="clear" w:color="auto" w:fill="auto"/>
            <w:vAlign w:val="bottom"/>
          </w:tcPr>
          <w:p w14:paraId="35D7FF67" w14:textId="77777777" w:rsidR="00D00B16" w:rsidRDefault="00D00B16">
            <w:pPr>
              <w:jc w:val="center"/>
              <w:rPr>
                <w:sz w:val="20"/>
                <w:szCs w:val="20"/>
              </w:rPr>
            </w:pPr>
          </w:p>
        </w:tc>
        <w:tc>
          <w:tcPr>
            <w:tcW w:w="1117" w:type="dxa"/>
            <w:tcBorders>
              <w:top w:val="nil"/>
              <w:left w:val="nil"/>
              <w:bottom w:val="nil"/>
              <w:right w:val="nil"/>
            </w:tcBorders>
            <w:shd w:val="clear" w:color="auto" w:fill="auto"/>
            <w:vAlign w:val="bottom"/>
          </w:tcPr>
          <w:p w14:paraId="3A6DD601" w14:textId="77777777" w:rsidR="00D00B16" w:rsidRDefault="00D00B16">
            <w:pPr>
              <w:jc w:val="center"/>
              <w:rPr>
                <w:sz w:val="20"/>
                <w:szCs w:val="20"/>
              </w:rPr>
            </w:pPr>
          </w:p>
        </w:tc>
        <w:tc>
          <w:tcPr>
            <w:tcW w:w="1117" w:type="dxa"/>
            <w:tcBorders>
              <w:top w:val="nil"/>
              <w:left w:val="nil"/>
              <w:bottom w:val="nil"/>
              <w:right w:val="nil"/>
            </w:tcBorders>
            <w:shd w:val="clear" w:color="auto" w:fill="auto"/>
            <w:vAlign w:val="bottom"/>
          </w:tcPr>
          <w:p w14:paraId="22B7B80F" w14:textId="77777777" w:rsidR="00D00B16" w:rsidRDefault="00D00B16">
            <w:pPr>
              <w:jc w:val="center"/>
              <w:rPr>
                <w:sz w:val="20"/>
                <w:szCs w:val="20"/>
              </w:rPr>
            </w:pPr>
          </w:p>
        </w:tc>
      </w:tr>
      <w:tr w:rsidR="00D00B16" w14:paraId="5B08D495" w14:textId="77777777">
        <w:trPr>
          <w:trHeight w:val="400"/>
        </w:trPr>
        <w:tc>
          <w:tcPr>
            <w:tcW w:w="2621" w:type="dxa"/>
            <w:tcBorders>
              <w:top w:val="nil"/>
              <w:left w:val="nil"/>
              <w:bottom w:val="nil"/>
              <w:right w:val="nil"/>
            </w:tcBorders>
            <w:shd w:val="clear" w:color="auto" w:fill="auto"/>
            <w:vAlign w:val="bottom"/>
          </w:tcPr>
          <w:p w14:paraId="59C35CAB" w14:textId="77777777" w:rsidR="00D00B16" w:rsidRDefault="00365F6D">
            <w:pPr>
              <w:rPr>
                <w:sz w:val="20"/>
                <w:szCs w:val="20"/>
              </w:rPr>
            </w:pPr>
            <w:r>
              <w:rPr>
                <w:sz w:val="20"/>
                <w:szCs w:val="20"/>
              </w:rPr>
              <w:t xml:space="preserve">        Community Wealth </w:t>
            </w:r>
          </w:p>
        </w:tc>
        <w:tc>
          <w:tcPr>
            <w:tcW w:w="1138" w:type="dxa"/>
            <w:tcBorders>
              <w:top w:val="nil"/>
              <w:left w:val="nil"/>
              <w:bottom w:val="nil"/>
              <w:right w:val="nil"/>
            </w:tcBorders>
            <w:shd w:val="clear" w:color="auto" w:fill="auto"/>
            <w:vAlign w:val="bottom"/>
          </w:tcPr>
          <w:p w14:paraId="36C6E211" w14:textId="77777777" w:rsidR="00D00B16" w:rsidRDefault="00365F6D">
            <w:pPr>
              <w:rPr>
                <w:sz w:val="20"/>
                <w:szCs w:val="20"/>
              </w:rPr>
            </w:pPr>
            <w:r>
              <w:rPr>
                <w:sz w:val="20"/>
                <w:szCs w:val="20"/>
              </w:rPr>
              <w:t>.0026***</w:t>
            </w:r>
          </w:p>
        </w:tc>
        <w:tc>
          <w:tcPr>
            <w:tcW w:w="1029" w:type="dxa"/>
            <w:tcBorders>
              <w:top w:val="nil"/>
              <w:left w:val="nil"/>
              <w:bottom w:val="nil"/>
              <w:right w:val="nil"/>
            </w:tcBorders>
            <w:shd w:val="clear" w:color="auto" w:fill="auto"/>
            <w:vAlign w:val="bottom"/>
          </w:tcPr>
          <w:p w14:paraId="06DB66C5"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2A0236B6"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31F99EDD"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0504758"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32CDEA9D" w14:textId="77777777" w:rsidR="00D00B16" w:rsidRDefault="00365F6D">
            <w:pPr>
              <w:rPr>
                <w:sz w:val="20"/>
                <w:szCs w:val="20"/>
              </w:rPr>
            </w:pPr>
            <w:r>
              <w:rPr>
                <w:sz w:val="20"/>
                <w:szCs w:val="20"/>
              </w:rPr>
              <w:t>.0019**</w:t>
            </w:r>
          </w:p>
        </w:tc>
        <w:tc>
          <w:tcPr>
            <w:tcW w:w="1117" w:type="dxa"/>
            <w:tcBorders>
              <w:top w:val="nil"/>
              <w:left w:val="nil"/>
              <w:bottom w:val="nil"/>
              <w:right w:val="nil"/>
            </w:tcBorders>
            <w:shd w:val="clear" w:color="auto" w:fill="auto"/>
            <w:vAlign w:val="bottom"/>
          </w:tcPr>
          <w:p w14:paraId="20AE553D" w14:textId="77777777" w:rsidR="00D00B16" w:rsidRDefault="00365F6D">
            <w:pPr>
              <w:rPr>
                <w:sz w:val="20"/>
                <w:szCs w:val="20"/>
              </w:rPr>
            </w:pPr>
            <w:r>
              <w:rPr>
                <w:sz w:val="20"/>
                <w:szCs w:val="20"/>
              </w:rPr>
              <w:t>.0018**</w:t>
            </w:r>
          </w:p>
        </w:tc>
      </w:tr>
      <w:tr w:rsidR="00D00B16" w14:paraId="38ACB1E7" w14:textId="77777777">
        <w:trPr>
          <w:trHeight w:val="280"/>
        </w:trPr>
        <w:tc>
          <w:tcPr>
            <w:tcW w:w="2621" w:type="dxa"/>
            <w:tcBorders>
              <w:top w:val="nil"/>
              <w:left w:val="nil"/>
              <w:bottom w:val="nil"/>
              <w:right w:val="nil"/>
            </w:tcBorders>
            <w:shd w:val="clear" w:color="auto" w:fill="auto"/>
            <w:vAlign w:val="bottom"/>
          </w:tcPr>
          <w:p w14:paraId="7CD046A5"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5D332512" w14:textId="77777777" w:rsidR="00D00B16" w:rsidRDefault="00365F6D">
            <w:pPr>
              <w:rPr>
                <w:sz w:val="20"/>
                <w:szCs w:val="20"/>
              </w:rPr>
            </w:pPr>
            <w:r>
              <w:rPr>
                <w:sz w:val="20"/>
                <w:szCs w:val="20"/>
              </w:rPr>
              <w:t>(.0006)</w:t>
            </w:r>
          </w:p>
        </w:tc>
        <w:tc>
          <w:tcPr>
            <w:tcW w:w="1029" w:type="dxa"/>
            <w:tcBorders>
              <w:top w:val="nil"/>
              <w:left w:val="nil"/>
              <w:bottom w:val="nil"/>
              <w:right w:val="nil"/>
            </w:tcBorders>
            <w:shd w:val="clear" w:color="auto" w:fill="auto"/>
            <w:vAlign w:val="bottom"/>
          </w:tcPr>
          <w:p w14:paraId="0E220A92"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4AFC2D26"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475CE7CA"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2351A2E"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5A3A42D5" w14:textId="77777777" w:rsidR="00D00B16" w:rsidRDefault="00365F6D">
            <w:pPr>
              <w:rPr>
                <w:sz w:val="20"/>
                <w:szCs w:val="20"/>
              </w:rPr>
            </w:pPr>
            <w:r>
              <w:rPr>
                <w:sz w:val="20"/>
                <w:szCs w:val="20"/>
              </w:rPr>
              <w:t>(.0006)</w:t>
            </w:r>
          </w:p>
        </w:tc>
        <w:tc>
          <w:tcPr>
            <w:tcW w:w="1117" w:type="dxa"/>
            <w:tcBorders>
              <w:top w:val="nil"/>
              <w:left w:val="nil"/>
              <w:bottom w:val="nil"/>
              <w:right w:val="nil"/>
            </w:tcBorders>
            <w:shd w:val="clear" w:color="auto" w:fill="auto"/>
            <w:vAlign w:val="bottom"/>
          </w:tcPr>
          <w:p w14:paraId="0822C358" w14:textId="77777777" w:rsidR="00D00B16" w:rsidRDefault="00365F6D">
            <w:pPr>
              <w:rPr>
                <w:sz w:val="20"/>
                <w:szCs w:val="20"/>
              </w:rPr>
            </w:pPr>
            <w:r>
              <w:rPr>
                <w:sz w:val="20"/>
                <w:szCs w:val="20"/>
              </w:rPr>
              <w:t>(.0006)</w:t>
            </w:r>
          </w:p>
        </w:tc>
      </w:tr>
      <w:tr w:rsidR="00D00B16" w14:paraId="3251B762" w14:textId="77777777">
        <w:trPr>
          <w:trHeight w:val="280"/>
        </w:trPr>
        <w:tc>
          <w:tcPr>
            <w:tcW w:w="2621" w:type="dxa"/>
            <w:tcBorders>
              <w:top w:val="nil"/>
              <w:left w:val="nil"/>
              <w:bottom w:val="nil"/>
              <w:right w:val="nil"/>
            </w:tcBorders>
            <w:shd w:val="clear" w:color="auto" w:fill="auto"/>
            <w:vAlign w:val="bottom"/>
          </w:tcPr>
          <w:p w14:paraId="5431C7D4" w14:textId="77777777" w:rsidR="00D00B16" w:rsidRDefault="00365F6D">
            <w:pPr>
              <w:rPr>
                <w:sz w:val="20"/>
                <w:szCs w:val="20"/>
              </w:rPr>
            </w:pPr>
            <w:r>
              <w:rPr>
                <w:sz w:val="20"/>
                <w:szCs w:val="20"/>
              </w:rPr>
              <w:t xml:space="preserve">        Political Liberalism</w:t>
            </w:r>
          </w:p>
        </w:tc>
        <w:tc>
          <w:tcPr>
            <w:tcW w:w="1138" w:type="dxa"/>
            <w:tcBorders>
              <w:top w:val="nil"/>
              <w:left w:val="nil"/>
              <w:bottom w:val="nil"/>
              <w:right w:val="nil"/>
            </w:tcBorders>
            <w:shd w:val="clear" w:color="auto" w:fill="auto"/>
            <w:vAlign w:val="bottom"/>
          </w:tcPr>
          <w:p w14:paraId="14CBF2D9" w14:textId="77777777" w:rsidR="00D00B16" w:rsidRDefault="00365F6D">
            <w:pPr>
              <w:rPr>
                <w:sz w:val="20"/>
                <w:szCs w:val="20"/>
              </w:rPr>
            </w:pPr>
            <w:r>
              <w:rPr>
                <w:sz w:val="20"/>
                <w:szCs w:val="20"/>
              </w:rPr>
              <w:t>.0001***</w:t>
            </w:r>
          </w:p>
        </w:tc>
        <w:tc>
          <w:tcPr>
            <w:tcW w:w="1029" w:type="dxa"/>
            <w:tcBorders>
              <w:top w:val="nil"/>
              <w:left w:val="nil"/>
              <w:bottom w:val="nil"/>
              <w:right w:val="nil"/>
            </w:tcBorders>
            <w:shd w:val="clear" w:color="auto" w:fill="auto"/>
            <w:vAlign w:val="bottom"/>
          </w:tcPr>
          <w:p w14:paraId="6F3038B5"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27FC7BB4"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1C227D49"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722D2BA3"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49F00F6A" w14:textId="77777777" w:rsidR="00D00B16" w:rsidRDefault="00365F6D">
            <w:pPr>
              <w:rPr>
                <w:sz w:val="20"/>
                <w:szCs w:val="20"/>
              </w:rPr>
            </w:pPr>
            <w:r>
              <w:rPr>
                <w:sz w:val="20"/>
                <w:szCs w:val="20"/>
              </w:rPr>
              <w:t>.0001</w:t>
            </w:r>
            <w:r>
              <w:rPr>
                <w:b/>
                <w:sz w:val="20"/>
                <w:szCs w:val="20"/>
                <w:vertAlign w:val="superscript"/>
              </w:rPr>
              <w:t>+</w:t>
            </w:r>
          </w:p>
        </w:tc>
        <w:tc>
          <w:tcPr>
            <w:tcW w:w="1117" w:type="dxa"/>
            <w:tcBorders>
              <w:top w:val="nil"/>
              <w:left w:val="nil"/>
              <w:bottom w:val="nil"/>
              <w:right w:val="nil"/>
            </w:tcBorders>
            <w:shd w:val="clear" w:color="auto" w:fill="auto"/>
            <w:vAlign w:val="bottom"/>
          </w:tcPr>
          <w:p w14:paraId="198C3173" w14:textId="77777777" w:rsidR="00D00B16" w:rsidRDefault="00365F6D">
            <w:pPr>
              <w:rPr>
                <w:sz w:val="20"/>
                <w:szCs w:val="20"/>
              </w:rPr>
            </w:pPr>
            <w:r>
              <w:rPr>
                <w:sz w:val="20"/>
                <w:szCs w:val="20"/>
              </w:rPr>
              <w:t>.0001</w:t>
            </w:r>
            <w:r>
              <w:rPr>
                <w:b/>
                <w:sz w:val="20"/>
                <w:szCs w:val="20"/>
                <w:vertAlign w:val="superscript"/>
              </w:rPr>
              <w:t>+</w:t>
            </w:r>
          </w:p>
        </w:tc>
      </w:tr>
      <w:tr w:rsidR="00D00B16" w14:paraId="6D89ED83" w14:textId="77777777">
        <w:trPr>
          <w:trHeight w:val="280"/>
        </w:trPr>
        <w:tc>
          <w:tcPr>
            <w:tcW w:w="2621" w:type="dxa"/>
            <w:tcBorders>
              <w:top w:val="nil"/>
              <w:left w:val="nil"/>
              <w:bottom w:val="nil"/>
              <w:right w:val="nil"/>
            </w:tcBorders>
            <w:shd w:val="clear" w:color="auto" w:fill="auto"/>
            <w:vAlign w:val="bottom"/>
          </w:tcPr>
          <w:p w14:paraId="03F503B2"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699B7603" w14:textId="77777777" w:rsidR="00D00B16" w:rsidRDefault="00365F6D">
            <w:pPr>
              <w:rPr>
                <w:sz w:val="20"/>
                <w:szCs w:val="20"/>
              </w:rPr>
            </w:pPr>
            <w:r>
              <w:rPr>
                <w:sz w:val="20"/>
                <w:szCs w:val="20"/>
              </w:rPr>
              <w:t>(.0023)</w:t>
            </w:r>
          </w:p>
        </w:tc>
        <w:tc>
          <w:tcPr>
            <w:tcW w:w="1029" w:type="dxa"/>
            <w:tcBorders>
              <w:top w:val="nil"/>
              <w:left w:val="nil"/>
              <w:bottom w:val="nil"/>
              <w:right w:val="nil"/>
            </w:tcBorders>
            <w:shd w:val="clear" w:color="auto" w:fill="auto"/>
            <w:vAlign w:val="bottom"/>
          </w:tcPr>
          <w:p w14:paraId="0C0B53B1"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299677C8"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0C7DFC44"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843708D"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2E41C5BD" w14:textId="77777777" w:rsidR="00D00B16" w:rsidRDefault="00365F6D">
            <w:pPr>
              <w:rPr>
                <w:sz w:val="20"/>
                <w:szCs w:val="20"/>
              </w:rPr>
            </w:pPr>
            <w:r>
              <w:rPr>
                <w:sz w:val="20"/>
                <w:szCs w:val="20"/>
              </w:rPr>
              <w:t>(.0000)</w:t>
            </w:r>
          </w:p>
        </w:tc>
        <w:tc>
          <w:tcPr>
            <w:tcW w:w="1117" w:type="dxa"/>
            <w:tcBorders>
              <w:top w:val="nil"/>
              <w:left w:val="nil"/>
              <w:bottom w:val="nil"/>
              <w:right w:val="nil"/>
            </w:tcBorders>
            <w:shd w:val="clear" w:color="auto" w:fill="auto"/>
            <w:vAlign w:val="bottom"/>
          </w:tcPr>
          <w:p w14:paraId="2C4BA872" w14:textId="77777777" w:rsidR="00D00B16" w:rsidRDefault="00365F6D">
            <w:pPr>
              <w:rPr>
                <w:sz w:val="20"/>
                <w:szCs w:val="20"/>
              </w:rPr>
            </w:pPr>
            <w:r>
              <w:rPr>
                <w:sz w:val="20"/>
                <w:szCs w:val="20"/>
              </w:rPr>
              <w:t>(.0000)</w:t>
            </w:r>
          </w:p>
        </w:tc>
      </w:tr>
      <w:tr w:rsidR="00D00B16" w14:paraId="00A52ECC" w14:textId="77777777">
        <w:trPr>
          <w:trHeight w:val="600"/>
        </w:trPr>
        <w:tc>
          <w:tcPr>
            <w:tcW w:w="2621" w:type="dxa"/>
            <w:tcBorders>
              <w:top w:val="nil"/>
              <w:left w:val="nil"/>
              <w:bottom w:val="nil"/>
              <w:right w:val="nil"/>
            </w:tcBorders>
            <w:shd w:val="clear" w:color="auto" w:fill="auto"/>
            <w:vAlign w:val="bottom"/>
          </w:tcPr>
          <w:p w14:paraId="5F699B19" w14:textId="77777777" w:rsidR="00D00B16" w:rsidRDefault="00365F6D">
            <w:pPr>
              <w:rPr>
                <w:i/>
                <w:sz w:val="20"/>
                <w:szCs w:val="20"/>
              </w:rPr>
            </w:pPr>
            <w:r>
              <w:rPr>
                <w:i/>
                <w:sz w:val="20"/>
                <w:szCs w:val="20"/>
              </w:rPr>
              <w:t xml:space="preserve">Institutional Logics </w:t>
            </w:r>
          </w:p>
        </w:tc>
        <w:tc>
          <w:tcPr>
            <w:tcW w:w="1138" w:type="dxa"/>
            <w:tcBorders>
              <w:top w:val="nil"/>
              <w:left w:val="nil"/>
              <w:bottom w:val="nil"/>
              <w:right w:val="nil"/>
            </w:tcBorders>
            <w:shd w:val="clear" w:color="auto" w:fill="auto"/>
            <w:vAlign w:val="bottom"/>
          </w:tcPr>
          <w:p w14:paraId="716FE61F" w14:textId="77777777" w:rsidR="00D00B16" w:rsidRDefault="00D00B16">
            <w:pPr>
              <w:rPr>
                <w:i/>
                <w:sz w:val="20"/>
                <w:szCs w:val="20"/>
              </w:rPr>
            </w:pPr>
          </w:p>
        </w:tc>
        <w:tc>
          <w:tcPr>
            <w:tcW w:w="1029" w:type="dxa"/>
            <w:tcBorders>
              <w:top w:val="nil"/>
              <w:left w:val="nil"/>
              <w:bottom w:val="nil"/>
              <w:right w:val="nil"/>
            </w:tcBorders>
            <w:shd w:val="clear" w:color="auto" w:fill="auto"/>
            <w:vAlign w:val="bottom"/>
          </w:tcPr>
          <w:p w14:paraId="6CDC1D82"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5364F3F2"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62EF5E28"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13FC1D2B"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49F7BF08"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40686987" w14:textId="77777777" w:rsidR="00D00B16" w:rsidRDefault="00D00B16">
            <w:pPr>
              <w:rPr>
                <w:sz w:val="20"/>
                <w:szCs w:val="20"/>
              </w:rPr>
            </w:pPr>
          </w:p>
        </w:tc>
      </w:tr>
      <w:tr w:rsidR="00D00B16" w14:paraId="25B7492C" w14:textId="77777777">
        <w:trPr>
          <w:trHeight w:val="400"/>
        </w:trPr>
        <w:tc>
          <w:tcPr>
            <w:tcW w:w="2621" w:type="dxa"/>
            <w:tcBorders>
              <w:top w:val="nil"/>
              <w:left w:val="nil"/>
              <w:bottom w:val="nil"/>
              <w:right w:val="nil"/>
            </w:tcBorders>
            <w:shd w:val="clear" w:color="auto" w:fill="auto"/>
            <w:vAlign w:val="bottom"/>
          </w:tcPr>
          <w:p w14:paraId="5C00F7EA" w14:textId="77777777" w:rsidR="00D00B16" w:rsidRDefault="00365F6D">
            <w:pPr>
              <w:rPr>
                <w:sz w:val="20"/>
                <w:szCs w:val="20"/>
              </w:rPr>
            </w:pPr>
            <w:r>
              <w:rPr>
                <w:sz w:val="20"/>
                <w:szCs w:val="20"/>
              </w:rPr>
              <w:t xml:space="preserve">        Community Logic</w:t>
            </w:r>
          </w:p>
        </w:tc>
        <w:tc>
          <w:tcPr>
            <w:tcW w:w="1138" w:type="dxa"/>
            <w:tcBorders>
              <w:top w:val="nil"/>
              <w:left w:val="nil"/>
              <w:bottom w:val="nil"/>
              <w:right w:val="nil"/>
            </w:tcBorders>
            <w:shd w:val="clear" w:color="auto" w:fill="auto"/>
            <w:vAlign w:val="bottom"/>
          </w:tcPr>
          <w:p w14:paraId="2C33A181"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53C79A78" w14:textId="77777777" w:rsidR="00D00B16" w:rsidRDefault="00365F6D">
            <w:pPr>
              <w:rPr>
                <w:sz w:val="20"/>
                <w:szCs w:val="20"/>
              </w:rPr>
            </w:pPr>
            <w:r>
              <w:rPr>
                <w:sz w:val="20"/>
                <w:szCs w:val="20"/>
              </w:rPr>
              <w:t>.0046**</w:t>
            </w:r>
          </w:p>
        </w:tc>
        <w:tc>
          <w:tcPr>
            <w:tcW w:w="1028" w:type="dxa"/>
            <w:tcBorders>
              <w:top w:val="nil"/>
              <w:left w:val="nil"/>
              <w:bottom w:val="nil"/>
              <w:right w:val="nil"/>
            </w:tcBorders>
            <w:shd w:val="clear" w:color="auto" w:fill="auto"/>
            <w:vAlign w:val="bottom"/>
          </w:tcPr>
          <w:p w14:paraId="2B7DC7CF" w14:textId="77777777" w:rsidR="00D00B16" w:rsidRDefault="00365F6D">
            <w:pPr>
              <w:rPr>
                <w:sz w:val="20"/>
                <w:szCs w:val="20"/>
              </w:rPr>
            </w:pPr>
            <w:r>
              <w:rPr>
                <w:sz w:val="20"/>
                <w:szCs w:val="20"/>
              </w:rPr>
              <w:t>.0046**</w:t>
            </w:r>
          </w:p>
        </w:tc>
        <w:tc>
          <w:tcPr>
            <w:tcW w:w="1136" w:type="dxa"/>
            <w:tcBorders>
              <w:top w:val="nil"/>
              <w:left w:val="nil"/>
              <w:bottom w:val="nil"/>
              <w:right w:val="nil"/>
            </w:tcBorders>
            <w:shd w:val="clear" w:color="auto" w:fill="auto"/>
            <w:vAlign w:val="bottom"/>
          </w:tcPr>
          <w:p w14:paraId="13671E5A"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7604277A"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186B69C9" w14:textId="77777777" w:rsidR="00D00B16" w:rsidRDefault="00365F6D">
            <w:pPr>
              <w:rPr>
                <w:sz w:val="20"/>
                <w:szCs w:val="20"/>
              </w:rPr>
            </w:pPr>
            <w:r>
              <w:rPr>
                <w:sz w:val="20"/>
                <w:szCs w:val="20"/>
              </w:rPr>
              <w:t>.0023</w:t>
            </w:r>
            <w:r>
              <w:rPr>
                <w:b/>
                <w:sz w:val="20"/>
                <w:szCs w:val="20"/>
                <w:vertAlign w:val="superscript"/>
              </w:rPr>
              <w:t>+</w:t>
            </w:r>
          </w:p>
        </w:tc>
        <w:tc>
          <w:tcPr>
            <w:tcW w:w="1117" w:type="dxa"/>
            <w:tcBorders>
              <w:top w:val="nil"/>
              <w:left w:val="nil"/>
              <w:bottom w:val="nil"/>
              <w:right w:val="nil"/>
            </w:tcBorders>
            <w:shd w:val="clear" w:color="auto" w:fill="auto"/>
            <w:vAlign w:val="bottom"/>
          </w:tcPr>
          <w:p w14:paraId="6BC5FE3D" w14:textId="77777777" w:rsidR="00D00B16" w:rsidRDefault="00365F6D">
            <w:pPr>
              <w:rPr>
                <w:sz w:val="20"/>
                <w:szCs w:val="20"/>
              </w:rPr>
            </w:pPr>
            <w:r>
              <w:rPr>
                <w:sz w:val="20"/>
                <w:szCs w:val="20"/>
              </w:rPr>
              <w:t>.0023</w:t>
            </w:r>
            <w:r>
              <w:rPr>
                <w:b/>
                <w:sz w:val="20"/>
                <w:szCs w:val="20"/>
                <w:vertAlign w:val="superscript"/>
              </w:rPr>
              <w:t>+</w:t>
            </w:r>
          </w:p>
        </w:tc>
      </w:tr>
      <w:tr w:rsidR="00D00B16" w14:paraId="0284F5B0" w14:textId="77777777">
        <w:trPr>
          <w:trHeight w:val="280"/>
        </w:trPr>
        <w:tc>
          <w:tcPr>
            <w:tcW w:w="2621" w:type="dxa"/>
            <w:tcBorders>
              <w:top w:val="nil"/>
              <w:left w:val="nil"/>
              <w:bottom w:val="nil"/>
              <w:right w:val="nil"/>
            </w:tcBorders>
            <w:shd w:val="clear" w:color="auto" w:fill="auto"/>
            <w:vAlign w:val="bottom"/>
          </w:tcPr>
          <w:p w14:paraId="037EDCC1"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34E77B55"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2F732D98" w14:textId="77777777" w:rsidR="00D00B16" w:rsidRDefault="00365F6D">
            <w:pPr>
              <w:rPr>
                <w:sz w:val="20"/>
                <w:szCs w:val="20"/>
              </w:rPr>
            </w:pPr>
            <w:r>
              <w:rPr>
                <w:sz w:val="20"/>
                <w:szCs w:val="20"/>
              </w:rPr>
              <w:t>(.0014)</w:t>
            </w:r>
          </w:p>
        </w:tc>
        <w:tc>
          <w:tcPr>
            <w:tcW w:w="1028" w:type="dxa"/>
            <w:tcBorders>
              <w:top w:val="nil"/>
              <w:left w:val="nil"/>
              <w:bottom w:val="nil"/>
              <w:right w:val="nil"/>
            </w:tcBorders>
            <w:shd w:val="clear" w:color="auto" w:fill="auto"/>
            <w:vAlign w:val="bottom"/>
          </w:tcPr>
          <w:p w14:paraId="70A8DF28" w14:textId="77777777" w:rsidR="00D00B16" w:rsidRDefault="00365F6D">
            <w:pPr>
              <w:rPr>
                <w:sz w:val="20"/>
                <w:szCs w:val="20"/>
              </w:rPr>
            </w:pPr>
            <w:r>
              <w:rPr>
                <w:sz w:val="20"/>
                <w:szCs w:val="20"/>
              </w:rPr>
              <w:t>(.0014)</w:t>
            </w:r>
          </w:p>
        </w:tc>
        <w:tc>
          <w:tcPr>
            <w:tcW w:w="1136" w:type="dxa"/>
            <w:tcBorders>
              <w:top w:val="nil"/>
              <w:left w:val="nil"/>
              <w:bottom w:val="nil"/>
              <w:right w:val="nil"/>
            </w:tcBorders>
            <w:shd w:val="clear" w:color="auto" w:fill="auto"/>
            <w:vAlign w:val="bottom"/>
          </w:tcPr>
          <w:p w14:paraId="1985F18D"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429076FA"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3B313CF9" w14:textId="77777777" w:rsidR="00D00B16" w:rsidRDefault="00365F6D">
            <w:pPr>
              <w:rPr>
                <w:sz w:val="20"/>
                <w:szCs w:val="20"/>
              </w:rPr>
            </w:pPr>
            <w:r>
              <w:rPr>
                <w:sz w:val="20"/>
                <w:szCs w:val="20"/>
              </w:rPr>
              <w:t>(.0011)</w:t>
            </w:r>
          </w:p>
        </w:tc>
        <w:tc>
          <w:tcPr>
            <w:tcW w:w="1117" w:type="dxa"/>
            <w:tcBorders>
              <w:top w:val="nil"/>
              <w:left w:val="nil"/>
              <w:bottom w:val="nil"/>
              <w:right w:val="nil"/>
            </w:tcBorders>
            <w:shd w:val="clear" w:color="auto" w:fill="auto"/>
            <w:vAlign w:val="bottom"/>
          </w:tcPr>
          <w:p w14:paraId="6AFCE25D" w14:textId="77777777" w:rsidR="00D00B16" w:rsidRDefault="00365F6D">
            <w:pPr>
              <w:rPr>
                <w:sz w:val="20"/>
                <w:szCs w:val="20"/>
              </w:rPr>
            </w:pPr>
            <w:r>
              <w:rPr>
                <w:sz w:val="20"/>
                <w:szCs w:val="20"/>
              </w:rPr>
              <w:t>(.0012)</w:t>
            </w:r>
          </w:p>
        </w:tc>
      </w:tr>
      <w:tr w:rsidR="00D00B16" w14:paraId="527A1F08" w14:textId="77777777">
        <w:trPr>
          <w:trHeight w:val="280"/>
        </w:trPr>
        <w:tc>
          <w:tcPr>
            <w:tcW w:w="2621" w:type="dxa"/>
            <w:tcBorders>
              <w:top w:val="nil"/>
              <w:left w:val="nil"/>
              <w:bottom w:val="nil"/>
              <w:right w:val="nil"/>
            </w:tcBorders>
            <w:shd w:val="clear" w:color="auto" w:fill="auto"/>
            <w:vAlign w:val="bottom"/>
          </w:tcPr>
          <w:p w14:paraId="41D203A1" w14:textId="77777777" w:rsidR="00D00B16" w:rsidRDefault="00365F6D">
            <w:pPr>
              <w:rPr>
                <w:sz w:val="20"/>
                <w:szCs w:val="20"/>
              </w:rPr>
            </w:pPr>
            <w:r>
              <w:rPr>
                <w:sz w:val="20"/>
                <w:szCs w:val="20"/>
              </w:rPr>
              <w:t xml:space="preserve">        Donative Revenue</w:t>
            </w:r>
          </w:p>
        </w:tc>
        <w:tc>
          <w:tcPr>
            <w:tcW w:w="1138" w:type="dxa"/>
            <w:tcBorders>
              <w:top w:val="nil"/>
              <w:left w:val="nil"/>
              <w:bottom w:val="nil"/>
              <w:right w:val="nil"/>
            </w:tcBorders>
            <w:shd w:val="clear" w:color="auto" w:fill="auto"/>
            <w:vAlign w:val="bottom"/>
          </w:tcPr>
          <w:p w14:paraId="30E21527"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6C524598" w14:textId="77777777" w:rsidR="00D00B16" w:rsidRDefault="00365F6D">
            <w:pPr>
              <w:rPr>
                <w:sz w:val="20"/>
                <w:szCs w:val="20"/>
              </w:rPr>
            </w:pPr>
            <w:r>
              <w:rPr>
                <w:sz w:val="20"/>
                <w:szCs w:val="20"/>
              </w:rPr>
              <w:t>.0048*</w:t>
            </w:r>
          </w:p>
        </w:tc>
        <w:tc>
          <w:tcPr>
            <w:tcW w:w="1028" w:type="dxa"/>
            <w:tcBorders>
              <w:top w:val="nil"/>
              <w:left w:val="nil"/>
              <w:bottom w:val="nil"/>
              <w:right w:val="nil"/>
            </w:tcBorders>
            <w:shd w:val="clear" w:color="auto" w:fill="auto"/>
            <w:vAlign w:val="bottom"/>
          </w:tcPr>
          <w:p w14:paraId="2B44BC8D"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07022918"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78EF3636"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0BFFB42D" w14:textId="77777777" w:rsidR="00D00B16" w:rsidRDefault="00365F6D">
            <w:pPr>
              <w:rPr>
                <w:sz w:val="20"/>
                <w:szCs w:val="20"/>
              </w:rPr>
            </w:pPr>
            <w:r>
              <w:rPr>
                <w:sz w:val="20"/>
                <w:szCs w:val="20"/>
              </w:rPr>
              <w:t>.0028</w:t>
            </w:r>
          </w:p>
        </w:tc>
        <w:tc>
          <w:tcPr>
            <w:tcW w:w="1117" w:type="dxa"/>
            <w:tcBorders>
              <w:top w:val="nil"/>
              <w:left w:val="nil"/>
              <w:bottom w:val="nil"/>
              <w:right w:val="nil"/>
            </w:tcBorders>
            <w:shd w:val="clear" w:color="auto" w:fill="auto"/>
            <w:vAlign w:val="bottom"/>
          </w:tcPr>
          <w:p w14:paraId="6BAFCDE1" w14:textId="77777777" w:rsidR="00D00B16" w:rsidRDefault="00D00B16">
            <w:pPr>
              <w:rPr>
                <w:sz w:val="20"/>
                <w:szCs w:val="20"/>
              </w:rPr>
            </w:pPr>
          </w:p>
        </w:tc>
      </w:tr>
      <w:tr w:rsidR="00D00B16" w14:paraId="7EBE6CBA" w14:textId="77777777">
        <w:trPr>
          <w:trHeight w:val="280"/>
        </w:trPr>
        <w:tc>
          <w:tcPr>
            <w:tcW w:w="2621" w:type="dxa"/>
            <w:tcBorders>
              <w:top w:val="nil"/>
              <w:left w:val="nil"/>
              <w:bottom w:val="nil"/>
              <w:right w:val="nil"/>
            </w:tcBorders>
            <w:shd w:val="clear" w:color="auto" w:fill="auto"/>
            <w:vAlign w:val="bottom"/>
          </w:tcPr>
          <w:p w14:paraId="32055E22"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12F90B3B"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773097D8" w14:textId="77777777" w:rsidR="00D00B16" w:rsidRDefault="00365F6D">
            <w:pPr>
              <w:rPr>
                <w:sz w:val="20"/>
                <w:szCs w:val="20"/>
              </w:rPr>
            </w:pPr>
            <w:r>
              <w:rPr>
                <w:sz w:val="20"/>
                <w:szCs w:val="20"/>
              </w:rPr>
              <w:t>(.0024)</w:t>
            </w:r>
          </w:p>
        </w:tc>
        <w:tc>
          <w:tcPr>
            <w:tcW w:w="1028" w:type="dxa"/>
            <w:tcBorders>
              <w:top w:val="nil"/>
              <w:left w:val="nil"/>
              <w:bottom w:val="nil"/>
              <w:right w:val="nil"/>
            </w:tcBorders>
            <w:shd w:val="clear" w:color="auto" w:fill="auto"/>
            <w:vAlign w:val="bottom"/>
          </w:tcPr>
          <w:p w14:paraId="1E3E2944"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1C1C97A"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125B3ADE"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50EE1F8E" w14:textId="77777777" w:rsidR="00D00B16" w:rsidRDefault="00365F6D">
            <w:pPr>
              <w:rPr>
                <w:sz w:val="20"/>
                <w:szCs w:val="20"/>
              </w:rPr>
            </w:pPr>
            <w:r>
              <w:rPr>
                <w:sz w:val="20"/>
                <w:szCs w:val="20"/>
              </w:rPr>
              <w:t>(.0019)</w:t>
            </w:r>
          </w:p>
        </w:tc>
        <w:tc>
          <w:tcPr>
            <w:tcW w:w="1117" w:type="dxa"/>
            <w:tcBorders>
              <w:top w:val="nil"/>
              <w:left w:val="nil"/>
              <w:bottom w:val="nil"/>
              <w:right w:val="nil"/>
            </w:tcBorders>
            <w:shd w:val="clear" w:color="auto" w:fill="auto"/>
            <w:vAlign w:val="bottom"/>
          </w:tcPr>
          <w:p w14:paraId="5A3D5A4F" w14:textId="77777777" w:rsidR="00D00B16" w:rsidRDefault="00D00B16">
            <w:pPr>
              <w:rPr>
                <w:sz w:val="20"/>
                <w:szCs w:val="20"/>
              </w:rPr>
            </w:pPr>
          </w:p>
        </w:tc>
      </w:tr>
      <w:tr w:rsidR="00D00B16" w14:paraId="228933EF" w14:textId="77777777">
        <w:trPr>
          <w:trHeight w:val="320"/>
        </w:trPr>
        <w:tc>
          <w:tcPr>
            <w:tcW w:w="2621" w:type="dxa"/>
            <w:tcBorders>
              <w:top w:val="nil"/>
              <w:left w:val="nil"/>
              <w:bottom w:val="nil"/>
              <w:right w:val="nil"/>
            </w:tcBorders>
            <w:shd w:val="clear" w:color="auto" w:fill="auto"/>
            <w:vAlign w:val="bottom"/>
          </w:tcPr>
          <w:p w14:paraId="6A5E0837" w14:textId="77777777" w:rsidR="00D00B16" w:rsidRDefault="00365F6D">
            <w:pPr>
              <w:rPr>
                <w:sz w:val="20"/>
                <w:szCs w:val="20"/>
              </w:rPr>
            </w:pPr>
            <w:r>
              <w:rPr>
                <w:sz w:val="20"/>
                <w:szCs w:val="20"/>
              </w:rPr>
              <w:t xml:space="preserve">        Donative Dominance</w:t>
            </w:r>
          </w:p>
        </w:tc>
        <w:tc>
          <w:tcPr>
            <w:tcW w:w="1138" w:type="dxa"/>
            <w:tcBorders>
              <w:top w:val="nil"/>
              <w:left w:val="nil"/>
              <w:bottom w:val="nil"/>
              <w:right w:val="nil"/>
            </w:tcBorders>
            <w:shd w:val="clear" w:color="auto" w:fill="auto"/>
            <w:vAlign w:val="bottom"/>
          </w:tcPr>
          <w:p w14:paraId="346E0E82"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7D2F539C"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1BA78554" w14:textId="77777777" w:rsidR="00D00B16" w:rsidRDefault="00365F6D">
            <w:pPr>
              <w:rPr>
                <w:sz w:val="20"/>
                <w:szCs w:val="20"/>
              </w:rPr>
            </w:pPr>
            <w:r>
              <w:rPr>
                <w:sz w:val="20"/>
                <w:szCs w:val="20"/>
              </w:rPr>
              <w:t>.0035**</w:t>
            </w:r>
          </w:p>
        </w:tc>
        <w:tc>
          <w:tcPr>
            <w:tcW w:w="1136" w:type="dxa"/>
            <w:tcBorders>
              <w:top w:val="nil"/>
              <w:left w:val="nil"/>
              <w:bottom w:val="nil"/>
              <w:right w:val="nil"/>
            </w:tcBorders>
            <w:shd w:val="clear" w:color="auto" w:fill="auto"/>
            <w:vAlign w:val="bottom"/>
          </w:tcPr>
          <w:p w14:paraId="04B2B286"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6776B56"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3E5DA5F9"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29B5123B" w14:textId="77777777" w:rsidR="00D00B16" w:rsidRDefault="00365F6D">
            <w:pPr>
              <w:rPr>
                <w:sz w:val="20"/>
                <w:szCs w:val="20"/>
              </w:rPr>
            </w:pPr>
            <w:r>
              <w:rPr>
                <w:sz w:val="20"/>
                <w:szCs w:val="20"/>
              </w:rPr>
              <w:t>.0026*</w:t>
            </w:r>
          </w:p>
        </w:tc>
      </w:tr>
      <w:tr w:rsidR="00D00B16" w14:paraId="50F604A8" w14:textId="77777777">
        <w:trPr>
          <w:trHeight w:val="280"/>
        </w:trPr>
        <w:tc>
          <w:tcPr>
            <w:tcW w:w="2621" w:type="dxa"/>
            <w:tcBorders>
              <w:top w:val="nil"/>
              <w:left w:val="nil"/>
              <w:bottom w:val="nil"/>
              <w:right w:val="nil"/>
            </w:tcBorders>
            <w:shd w:val="clear" w:color="auto" w:fill="auto"/>
            <w:vAlign w:val="bottom"/>
          </w:tcPr>
          <w:p w14:paraId="049A0AC8"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249C3B8D"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18A56019"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1B646AB0" w14:textId="77777777" w:rsidR="00D00B16" w:rsidRDefault="00365F6D">
            <w:pPr>
              <w:rPr>
                <w:sz w:val="20"/>
                <w:szCs w:val="20"/>
              </w:rPr>
            </w:pPr>
            <w:r>
              <w:rPr>
                <w:sz w:val="20"/>
                <w:szCs w:val="20"/>
              </w:rPr>
              <w:t>(.0011)</w:t>
            </w:r>
          </w:p>
        </w:tc>
        <w:tc>
          <w:tcPr>
            <w:tcW w:w="1136" w:type="dxa"/>
            <w:tcBorders>
              <w:top w:val="nil"/>
              <w:left w:val="nil"/>
              <w:bottom w:val="nil"/>
              <w:right w:val="nil"/>
            </w:tcBorders>
            <w:shd w:val="clear" w:color="auto" w:fill="auto"/>
            <w:vAlign w:val="bottom"/>
          </w:tcPr>
          <w:p w14:paraId="765D9FFA"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00CF22F3"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257C71C3"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32250322" w14:textId="77777777" w:rsidR="00D00B16" w:rsidRDefault="00365F6D">
            <w:pPr>
              <w:rPr>
                <w:sz w:val="20"/>
                <w:szCs w:val="20"/>
              </w:rPr>
            </w:pPr>
            <w:r>
              <w:rPr>
                <w:sz w:val="20"/>
                <w:szCs w:val="20"/>
              </w:rPr>
              <w:t>(.0010)</w:t>
            </w:r>
          </w:p>
        </w:tc>
      </w:tr>
      <w:tr w:rsidR="00D00B16" w14:paraId="6CD8EF1D" w14:textId="77777777">
        <w:trPr>
          <w:trHeight w:val="600"/>
        </w:trPr>
        <w:tc>
          <w:tcPr>
            <w:tcW w:w="2621" w:type="dxa"/>
            <w:tcBorders>
              <w:top w:val="nil"/>
              <w:left w:val="nil"/>
              <w:bottom w:val="nil"/>
              <w:right w:val="nil"/>
            </w:tcBorders>
            <w:shd w:val="clear" w:color="auto" w:fill="auto"/>
            <w:vAlign w:val="bottom"/>
          </w:tcPr>
          <w:p w14:paraId="091D864D" w14:textId="77777777" w:rsidR="00D00B16" w:rsidRDefault="00365F6D">
            <w:pPr>
              <w:rPr>
                <w:i/>
                <w:sz w:val="20"/>
                <w:szCs w:val="20"/>
              </w:rPr>
            </w:pPr>
            <w:r>
              <w:rPr>
                <w:i/>
                <w:sz w:val="20"/>
                <w:szCs w:val="20"/>
              </w:rPr>
              <w:t>Identity / Embeddedness</w:t>
            </w:r>
          </w:p>
        </w:tc>
        <w:tc>
          <w:tcPr>
            <w:tcW w:w="1138" w:type="dxa"/>
            <w:tcBorders>
              <w:top w:val="nil"/>
              <w:left w:val="nil"/>
              <w:bottom w:val="nil"/>
              <w:right w:val="nil"/>
            </w:tcBorders>
            <w:shd w:val="clear" w:color="auto" w:fill="auto"/>
            <w:vAlign w:val="bottom"/>
          </w:tcPr>
          <w:p w14:paraId="4CB5EAEC" w14:textId="77777777" w:rsidR="00D00B16" w:rsidRDefault="00D00B16">
            <w:pPr>
              <w:rPr>
                <w:i/>
                <w:sz w:val="20"/>
                <w:szCs w:val="20"/>
              </w:rPr>
            </w:pPr>
          </w:p>
        </w:tc>
        <w:tc>
          <w:tcPr>
            <w:tcW w:w="1029" w:type="dxa"/>
            <w:tcBorders>
              <w:top w:val="nil"/>
              <w:left w:val="nil"/>
              <w:bottom w:val="nil"/>
              <w:right w:val="nil"/>
            </w:tcBorders>
            <w:shd w:val="clear" w:color="auto" w:fill="auto"/>
            <w:vAlign w:val="bottom"/>
          </w:tcPr>
          <w:p w14:paraId="7A024D5A"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455E6BEF"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25F7B93"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3414A8BE"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179A61E9"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18AAD5CE" w14:textId="77777777" w:rsidR="00D00B16" w:rsidRDefault="00D00B16">
            <w:pPr>
              <w:rPr>
                <w:sz w:val="20"/>
                <w:szCs w:val="20"/>
              </w:rPr>
            </w:pPr>
          </w:p>
        </w:tc>
      </w:tr>
      <w:tr w:rsidR="00D00B16" w14:paraId="33CBC7C7" w14:textId="77777777">
        <w:trPr>
          <w:trHeight w:val="400"/>
        </w:trPr>
        <w:tc>
          <w:tcPr>
            <w:tcW w:w="2621" w:type="dxa"/>
            <w:tcBorders>
              <w:top w:val="nil"/>
              <w:left w:val="nil"/>
              <w:bottom w:val="nil"/>
              <w:right w:val="nil"/>
            </w:tcBorders>
            <w:shd w:val="clear" w:color="auto" w:fill="auto"/>
            <w:vAlign w:val="bottom"/>
          </w:tcPr>
          <w:p w14:paraId="595A1CFA" w14:textId="77777777" w:rsidR="00D00B16" w:rsidRDefault="00365F6D">
            <w:pPr>
              <w:rPr>
                <w:sz w:val="20"/>
                <w:szCs w:val="20"/>
              </w:rPr>
            </w:pPr>
            <w:r>
              <w:rPr>
                <w:sz w:val="20"/>
                <w:szCs w:val="20"/>
              </w:rPr>
              <w:t xml:space="preserve">        Memberships</w:t>
            </w:r>
          </w:p>
        </w:tc>
        <w:tc>
          <w:tcPr>
            <w:tcW w:w="1138" w:type="dxa"/>
            <w:tcBorders>
              <w:top w:val="nil"/>
              <w:left w:val="nil"/>
              <w:bottom w:val="nil"/>
              <w:right w:val="nil"/>
            </w:tcBorders>
            <w:shd w:val="clear" w:color="auto" w:fill="auto"/>
            <w:vAlign w:val="bottom"/>
          </w:tcPr>
          <w:p w14:paraId="71167CF5"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06C4B08E"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42B5DA47"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583B374" w14:textId="77777777" w:rsidR="00D00B16" w:rsidRDefault="00365F6D">
            <w:pPr>
              <w:rPr>
                <w:sz w:val="20"/>
                <w:szCs w:val="20"/>
              </w:rPr>
            </w:pPr>
            <w:r>
              <w:rPr>
                <w:sz w:val="20"/>
                <w:szCs w:val="20"/>
              </w:rPr>
              <w:t>.0011***</w:t>
            </w:r>
          </w:p>
        </w:tc>
        <w:tc>
          <w:tcPr>
            <w:tcW w:w="1136" w:type="dxa"/>
            <w:tcBorders>
              <w:top w:val="nil"/>
              <w:left w:val="nil"/>
              <w:bottom w:val="nil"/>
              <w:right w:val="nil"/>
            </w:tcBorders>
            <w:shd w:val="clear" w:color="auto" w:fill="auto"/>
            <w:vAlign w:val="bottom"/>
          </w:tcPr>
          <w:p w14:paraId="388844EE"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5EC9257E" w14:textId="77777777" w:rsidR="00D00B16" w:rsidRDefault="00365F6D">
            <w:pPr>
              <w:rPr>
                <w:sz w:val="20"/>
                <w:szCs w:val="20"/>
              </w:rPr>
            </w:pPr>
            <w:r>
              <w:rPr>
                <w:sz w:val="20"/>
                <w:szCs w:val="20"/>
              </w:rPr>
              <w:t>.0007**</w:t>
            </w:r>
          </w:p>
        </w:tc>
        <w:tc>
          <w:tcPr>
            <w:tcW w:w="1117" w:type="dxa"/>
            <w:tcBorders>
              <w:top w:val="nil"/>
              <w:left w:val="nil"/>
              <w:bottom w:val="nil"/>
              <w:right w:val="nil"/>
            </w:tcBorders>
            <w:shd w:val="clear" w:color="auto" w:fill="auto"/>
            <w:vAlign w:val="bottom"/>
          </w:tcPr>
          <w:p w14:paraId="65B0341A" w14:textId="77777777" w:rsidR="00D00B16" w:rsidRDefault="00365F6D">
            <w:pPr>
              <w:rPr>
                <w:sz w:val="20"/>
                <w:szCs w:val="20"/>
              </w:rPr>
            </w:pPr>
            <w:r>
              <w:rPr>
                <w:sz w:val="20"/>
                <w:szCs w:val="20"/>
              </w:rPr>
              <w:t>.0001**</w:t>
            </w:r>
          </w:p>
        </w:tc>
      </w:tr>
      <w:tr w:rsidR="00D00B16" w14:paraId="548562D8" w14:textId="77777777">
        <w:trPr>
          <w:trHeight w:val="280"/>
        </w:trPr>
        <w:tc>
          <w:tcPr>
            <w:tcW w:w="2621" w:type="dxa"/>
            <w:tcBorders>
              <w:top w:val="nil"/>
              <w:left w:val="nil"/>
              <w:bottom w:val="nil"/>
              <w:right w:val="nil"/>
            </w:tcBorders>
            <w:shd w:val="clear" w:color="auto" w:fill="auto"/>
            <w:vAlign w:val="bottom"/>
          </w:tcPr>
          <w:p w14:paraId="2BBBDA36"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60AF16F1"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381006C6"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59E0B0FF"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1BF30307" w14:textId="77777777" w:rsidR="00D00B16" w:rsidRDefault="00365F6D">
            <w:pPr>
              <w:rPr>
                <w:sz w:val="20"/>
                <w:szCs w:val="20"/>
              </w:rPr>
            </w:pPr>
            <w:r>
              <w:rPr>
                <w:sz w:val="20"/>
                <w:szCs w:val="20"/>
              </w:rPr>
              <w:t>(.0002)</w:t>
            </w:r>
          </w:p>
        </w:tc>
        <w:tc>
          <w:tcPr>
            <w:tcW w:w="1136" w:type="dxa"/>
            <w:tcBorders>
              <w:top w:val="nil"/>
              <w:left w:val="nil"/>
              <w:bottom w:val="nil"/>
              <w:right w:val="nil"/>
            </w:tcBorders>
            <w:shd w:val="clear" w:color="auto" w:fill="auto"/>
            <w:vAlign w:val="bottom"/>
          </w:tcPr>
          <w:p w14:paraId="54C7D598"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115A0EF3" w14:textId="77777777" w:rsidR="00D00B16" w:rsidRDefault="00365F6D">
            <w:pPr>
              <w:rPr>
                <w:sz w:val="20"/>
                <w:szCs w:val="20"/>
              </w:rPr>
            </w:pPr>
            <w:r>
              <w:rPr>
                <w:sz w:val="20"/>
                <w:szCs w:val="20"/>
              </w:rPr>
              <w:t>(.0002)</w:t>
            </w:r>
          </w:p>
        </w:tc>
        <w:tc>
          <w:tcPr>
            <w:tcW w:w="1117" w:type="dxa"/>
            <w:tcBorders>
              <w:top w:val="nil"/>
              <w:left w:val="nil"/>
              <w:bottom w:val="nil"/>
              <w:right w:val="nil"/>
            </w:tcBorders>
            <w:shd w:val="clear" w:color="auto" w:fill="auto"/>
            <w:vAlign w:val="bottom"/>
          </w:tcPr>
          <w:p w14:paraId="46FC34E0" w14:textId="77777777" w:rsidR="00D00B16" w:rsidRDefault="00365F6D">
            <w:pPr>
              <w:rPr>
                <w:sz w:val="20"/>
                <w:szCs w:val="20"/>
              </w:rPr>
            </w:pPr>
            <w:r>
              <w:rPr>
                <w:sz w:val="20"/>
                <w:szCs w:val="20"/>
              </w:rPr>
              <w:t>(.0002)</w:t>
            </w:r>
          </w:p>
        </w:tc>
      </w:tr>
      <w:tr w:rsidR="00D00B16" w14:paraId="5CCEEF16" w14:textId="77777777">
        <w:trPr>
          <w:trHeight w:val="280"/>
        </w:trPr>
        <w:tc>
          <w:tcPr>
            <w:tcW w:w="2621" w:type="dxa"/>
            <w:tcBorders>
              <w:top w:val="nil"/>
              <w:left w:val="nil"/>
              <w:bottom w:val="nil"/>
              <w:right w:val="nil"/>
            </w:tcBorders>
            <w:shd w:val="clear" w:color="auto" w:fill="auto"/>
            <w:vAlign w:val="bottom"/>
          </w:tcPr>
          <w:p w14:paraId="1C2DE0C5" w14:textId="77777777" w:rsidR="00D00B16" w:rsidRDefault="00365F6D">
            <w:pPr>
              <w:rPr>
                <w:sz w:val="20"/>
                <w:szCs w:val="20"/>
              </w:rPr>
            </w:pPr>
            <w:r>
              <w:rPr>
                <w:sz w:val="20"/>
                <w:szCs w:val="20"/>
              </w:rPr>
              <w:t xml:space="preserve">        Social Justice</w:t>
            </w:r>
          </w:p>
        </w:tc>
        <w:tc>
          <w:tcPr>
            <w:tcW w:w="1138" w:type="dxa"/>
            <w:tcBorders>
              <w:top w:val="nil"/>
              <w:left w:val="nil"/>
              <w:bottom w:val="nil"/>
              <w:right w:val="nil"/>
            </w:tcBorders>
            <w:shd w:val="clear" w:color="auto" w:fill="auto"/>
            <w:vAlign w:val="bottom"/>
          </w:tcPr>
          <w:p w14:paraId="2714B96A"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6119D4CC"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37058647"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69FD2868" w14:textId="77777777" w:rsidR="00D00B16" w:rsidRDefault="00365F6D">
            <w:pPr>
              <w:rPr>
                <w:sz w:val="20"/>
                <w:szCs w:val="20"/>
              </w:rPr>
            </w:pPr>
            <w:r>
              <w:rPr>
                <w:sz w:val="20"/>
                <w:szCs w:val="20"/>
              </w:rPr>
              <w:t>.0098*</w:t>
            </w:r>
          </w:p>
        </w:tc>
        <w:tc>
          <w:tcPr>
            <w:tcW w:w="1136" w:type="dxa"/>
            <w:tcBorders>
              <w:top w:val="nil"/>
              <w:left w:val="nil"/>
              <w:bottom w:val="nil"/>
              <w:right w:val="nil"/>
            </w:tcBorders>
            <w:shd w:val="clear" w:color="auto" w:fill="auto"/>
            <w:vAlign w:val="bottom"/>
          </w:tcPr>
          <w:p w14:paraId="30041D16"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28DC9FC6" w14:textId="77777777" w:rsidR="00D00B16" w:rsidRDefault="00365F6D">
            <w:pPr>
              <w:rPr>
                <w:sz w:val="20"/>
                <w:szCs w:val="20"/>
              </w:rPr>
            </w:pPr>
            <w:r>
              <w:rPr>
                <w:sz w:val="20"/>
                <w:szCs w:val="20"/>
              </w:rPr>
              <w:t>.0082*</w:t>
            </w:r>
          </w:p>
        </w:tc>
        <w:tc>
          <w:tcPr>
            <w:tcW w:w="1117" w:type="dxa"/>
            <w:tcBorders>
              <w:top w:val="nil"/>
              <w:left w:val="nil"/>
              <w:bottom w:val="nil"/>
              <w:right w:val="nil"/>
            </w:tcBorders>
            <w:shd w:val="clear" w:color="auto" w:fill="auto"/>
            <w:vAlign w:val="bottom"/>
          </w:tcPr>
          <w:p w14:paraId="32EA2D0C" w14:textId="77777777" w:rsidR="00D00B16" w:rsidRDefault="00365F6D">
            <w:pPr>
              <w:rPr>
                <w:sz w:val="20"/>
                <w:szCs w:val="20"/>
              </w:rPr>
            </w:pPr>
            <w:r>
              <w:rPr>
                <w:sz w:val="20"/>
                <w:szCs w:val="20"/>
              </w:rPr>
              <w:t>.0082*</w:t>
            </w:r>
          </w:p>
        </w:tc>
      </w:tr>
      <w:tr w:rsidR="00D00B16" w14:paraId="018F7E5E" w14:textId="77777777">
        <w:trPr>
          <w:trHeight w:val="280"/>
        </w:trPr>
        <w:tc>
          <w:tcPr>
            <w:tcW w:w="2621" w:type="dxa"/>
            <w:tcBorders>
              <w:top w:val="nil"/>
              <w:left w:val="nil"/>
              <w:bottom w:val="nil"/>
              <w:right w:val="nil"/>
            </w:tcBorders>
            <w:shd w:val="clear" w:color="auto" w:fill="auto"/>
            <w:vAlign w:val="bottom"/>
          </w:tcPr>
          <w:p w14:paraId="09B71502"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4FADA46C"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5389B400"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64CB4C00"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662F7A55" w14:textId="77777777" w:rsidR="00D00B16" w:rsidRDefault="00365F6D">
            <w:pPr>
              <w:rPr>
                <w:sz w:val="20"/>
                <w:szCs w:val="20"/>
              </w:rPr>
            </w:pPr>
            <w:r>
              <w:rPr>
                <w:sz w:val="20"/>
                <w:szCs w:val="20"/>
              </w:rPr>
              <w:t>(.0042)</w:t>
            </w:r>
          </w:p>
        </w:tc>
        <w:tc>
          <w:tcPr>
            <w:tcW w:w="1136" w:type="dxa"/>
            <w:tcBorders>
              <w:top w:val="nil"/>
              <w:left w:val="nil"/>
              <w:bottom w:val="nil"/>
              <w:right w:val="nil"/>
            </w:tcBorders>
            <w:shd w:val="clear" w:color="auto" w:fill="auto"/>
            <w:vAlign w:val="bottom"/>
          </w:tcPr>
          <w:p w14:paraId="46750305"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12019F20" w14:textId="77777777" w:rsidR="00D00B16" w:rsidRDefault="00365F6D">
            <w:pPr>
              <w:rPr>
                <w:sz w:val="20"/>
                <w:szCs w:val="20"/>
              </w:rPr>
            </w:pPr>
            <w:r>
              <w:rPr>
                <w:sz w:val="20"/>
                <w:szCs w:val="20"/>
              </w:rPr>
              <w:t>(.0039)</w:t>
            </w:r>
          </w:p>
        </w:tc>
        <w:tc>
          <w:tcPr>
            <w:tcW w:w="1117" w:type="dxa"/>
            <w:tcBorders>
              <w:top w:val="nil"/>
              <w:left w:val="nil"/>
              <w:bottom w:val="nil"/>
              <w:right w:val="nil"/>
            </w:tcBorders>
            <w:shd w:val="clear" w:color="auto" w:fill="auto"/>
            <w:vAlign w:val="bottom"/>
          </w:tcPr>
          <w:p w14:paraId="63424CF7" w14:textId="77777777" w:rsidR="00D00B16" w:rsidRDefault="00365F6D">
            <w:pPr>
              <w:rPr>
                <w:sz w:val="20"/>
                <w:szCs w:val="20"/>
              </w:rPr>
            </w:pPr>
            <w:r>
              <w:rPr>
                <w:sz w:val="20"/>
                <w:szCs w:val="20"/>
              </w:rPr>
              <w:t>(.0038)</w:t>
            </w:r>
          </w:p>
        </w:tc>
      </w:tr>
      <w:tr w:rsidR="00D00B16" w14:paraId="09F1278A" w14:textId="77777777">
        <w:trPr>
          <w:trHeight w:val="280"/>
        </w:trPr>
        <w:tc>
          <w:tcPr>
            <w:tcW w:w="2621" w:type="dxa"/>
            <w:tcBorders>
              <w:top w:val="nil"/>
              <w:left w:val="nil"/>
              <w:bottom w:val="nil"/>
              <w:right w:val="nil"/>
            </w:tcBorders>
            <w:shd w:val="clear" w:color="auto" w:fill="auto"/>
            <w:vAlign w:val="bottom"/>
          </w:tcPr>
          <w:p w14:paraId="78EF9F6E"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1BC44383"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535EC40B"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7593B076"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3DE5903C"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2ADB20E5"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3389B587"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4505C8B2" w14:textId="77777777" w:rsidR="00D00B16" w:rsidRDefault="00D00B16">
            <w:pPr>
              <w:rPr>
                <w:sz w:val="20"/>
                <w:szCs w:val="20"/>
              </w:rPr>
            </w:pPr>
          </w:p>
        </w:tc>
      </w:tr>
      <w:tr w:rsidR="00D00B16" w14:paraId="4EF05973" w14:textId="77777777">
        <w:trPr>
          <w:trHeight w:val="280"/>
        </w:trPr>
        <w:tc>
          <w:tcPr>
            <w:tcW w:w="2621" w:type="dxa"/>
            <w:tcBorders>
              <w:top w:val="nil"/>
              <w:left w:val="nil"/>
              <w:bottom w:val="nil"/>
              <w:right w:val="nil"/>
            </w:tcBorders>
            <w:shd w:val="clear" w:color="auto" w:fill="auto"/>
            <w:vAlign w:val="bottom"/>
          </w:tcPr>
          <w:p w14:paraId="03868891" w14:textId="77777777" w:rsidR="00D00B16" w:rsidRDefault="00365F6D">
            <w:pPr>
              <w:rPr>
                <w:i/>
                <w:sz w:val="20"/>
                <w:szCs w:val="20"/>
              </w:rPr>
            </w:pPr>
            <w:r>
              <w:rPr>
                <w:i/>
                <w:sz w:val="20"/>
                <w:szCs w:val="20"/>
              </w:rPr>
              <w:t>Managerialism</w:t>
            </w:r>
          </w:p>
        </w:tc>
        <w:tc>
          <w:tcPr>
            <w:tcW w:w="1138" w:type="dxa"/>
            <w:tcBorders>
              <w:top w:val="nil"/>
              <w:left w:val="nil"/>
              <w:bottom w:val="nil"/>
              <w:right w:val="nil"/>
            </w:tcBorders>
            <w:shd w:val="clear" w:color="auto" w:fill="auto"/>
            <w:vAlign w:val="bottom"/>
          </w:tcPr>
          <w:p w14:paraId="5B31D553" w14:textId="77777777" w:rsidR="00D00B16" w:rsidRDefault="00D00B16">
            <w:pPr>
              <w:rPr>
                <w:i/>
                <w:sz w:val="20"/>
                <w:szCs w:val="20"/>
              </w:rPr>
            </w:pPr>
          </w:p>
        </w:tc>
        <w:tc>
          <w:tcPr>
            <w:tcW w:w="1029" w:type="dxa"/>
            <w:tcBorders>
              <w:top w:val="nil"/>
              <w:left w:val="nil"/>
              <w:bottom w:val="nil"/>
              <w:right w:val="nil"/>
            </w:tcBorders>
            <w:shd w:val="clear" w:color="auto" w:fill="auto"/>
            <w:vAlign w:val="bottom"/>
          </w:tcPr>
          <w:p w14:paraId="21D1C944"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0822EFB4"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3F527022"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8A4947A"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3CE0FB24"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1E0F605C" w14:textId="77777777" w:rsidR="00D00B16" w:rsidRDefault="00D00B16">
            <w:pPr>
              <w:rPr>
                <w:sz w:val="20"/>
                <w:szCs w:val="20"/>
              </w:rPr>
            </w:pPr>
          </w:p>
        </w:tc>
      </w:tr>
      <w:tr w:rsidR="00D00B16" w14:paraId="446AC5C9" w14:textId="77777777">
        <w:trPr>
          <w:trHeight w:val="400"/>
        </w:trPr>
        <w:tc>
          <w:tcPr>
            <w:tcW w:w="2621" w:type="dxa"/>
            <w:tcBorders>
              <w:top w:val="nil"/>
              <w:left w:val="nil"/>
              <w:bottom w:val="nil"/>
              <w:right w:val="nil"/>
            </w:tcBorders>
            <w:shd w:val="clear" w:color="auto" w:fill="auto"/>
            <w:vAlign w:val="bottom"/>
          </w:tcPr>
          <w:p w14:paraId="75A47B2C" w14:textId="77777777" w:rsidR="00D00B16" w:rsidRDefault="00365F6D">
            <w:pPr>
              <w:rPr>
                <w:sz w:val="20"/>
                <w:szCs w:val="20"/>
              </w:rPr>
            </w:pPr>
            <w:r>
              <w:rPr>
                <w:sz w:val="20"/>
                <w:szCs w:val="20"/>
              </w:rPr>
              <w:t xml:space="preserve">        Professionalization</w:t>
            </w:r>
          </w:p>
        </w:tc>
        <w:tc>
          <w:tcPr>
            <w:tcW w:w="1138" w:type="dxa"/>
            <w:tcBorders>
              <w:top w:val="nil"/>
              <w:left w:val="nil"/>
              <w:bottom w:val="nil"/>
              <w:right w:val="nil"/>
            </w:tcBorders>
            <w:shd w:val="clear" w:color="auto" w:fill="auto"/>
            <w:vAlign w:val="bottom"/>
          </w:tcPr>
          <w:p w14:paraId="4216447D"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6B4E52D6"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36CCDD5E"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6C554247"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1DDC838C" w14:textId="77777777" w:rsidR="00D00B16" w:rsidRDefault="00365F6D">
            <w:pPr>
              <w:rPr>
                <w:sz w:val="20"/>
                <w:szCs w:val="20"/>
              </w:rPr>
            </w:pPr>
            <w:r>
              <w:rPr>
                <w:sz w:val="20"/>
                <w:szCs w:val="20"/>
              </w:rPr>
              <w:t>.0188***</w:t>
            </w:r>
          </w:p>
        </w:tc>
        <w:tc>
          <w:tcPr>
            <w:tcW w:w="1117" w:type="dxa"/>
            <w:tcBorders>
              <w:top w:val="nil"/>
              <w:left w:val="nil"/>
              <w:bottom w:val="nil"/>
              <w:right w:val="nil"/>
            </w:tcBorders>
            <w:shd w:val="clear" w:color="auto" w:fill="auto"/>
            <w:vAlign w:val="bottom"/>
          </w:tcPr>
          <w:p w14:paraId="2FAF5F1D" w14:textId="77777777" w:rsidR="00D00B16" w:rsidRDefault="00365F6D">
            <w:pPr>
              <w:rPr>
                <w:sz w:val="20"/>
                <w:szCs w:val="20"/>
              </w:rPr>
            </w:pPr>
            <w:r>
              <w:rPr>
                <w:sz w:val="20"/>
                <w:szCs w:val="20"/>
              </w:rPr>
              <w:t>.0133**</w:t>
            </w:r>
          </w:p>
        </w:tc>
        <w:tc>
          <w:tcPr>
            <w:tcW w:w="1117" w:type="dxa"/>
            <w:tcBorders>
              <w:top w:val="nil"/>
              <w:left w:val="nil"/>
              <w:bottom w:val="nil"/>
              <w:right w:val="nil"/>
            </w:tcBorders>
            <w:shd w:val="clear" w:color="auto" w:fill="auto"/>
            <w:vAlign w:val="bottom"/>
          </w:tcPr>
          <w:p w14:paraId="75E0996C" w14:textId="77777777" w:rsidR="00D00B16" w:rsidRDefault="00365F6D">
            <w:pPr>
              <w:rPr>
                <w:sz w:val="20"/>
                <w:szCs w:val="20"/>
              </w:rPr>
            </w:pPr>
            <w:r>
              <w:rPr>
                <w:sz w:val="20"/>
                <w:szCs w:val="20"/>
              </w:rPr>
              <w:t>.0137**</w:t>
            </w:r>
          </w:p>
        </w:tc>
      </w:tr>
      <w:tr w:rsidR="00D00B16" w14:paraId="4D8405B8" w14:textId="77777777">
        <w:trPr>
          <w:trHeight w:val="280"/>
        </w:trPr>
        <w:tc>
          <w:tcPr>
            <w:tcW w:w="2621" w:type="dxa"/>
            <w:tcBorders>
              <w:top w:val="nil"/>
              <w:left w:val="nil"/>
              <w:bottom w:val="nil"/>
              <w:right w:val="nil"/>
            </w:tcBorders>
            <w:shd w:val="clear" w:color="auto" w:fill="auto"/>
            <w:vAlign w:val="bottom"/>
          </w:tcPr>
          <w:p w14:paraId="4F328C1B"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6135CAB6"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67AE9F53"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312332FB"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2E679C61"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7E6FCDE" w14:textId="77777777" w:rsidR="00D00B16" w:rsidRDefault="00365F6D">
            <w:pPr>
              <w:rPr>
                <w:sz w:val="20"/>
                <w:szCs w:val="20"/>
              </w:rPr>
            </w:pPr>
            <w:r>
              <w:rPr>
                <w:sz w:val="20"/>
                <w:szCs w:val="20"/>
              </w:rPr>
              <w:t>(.0053)</w:t>
            </w:r>
          </w:p>
        </w:tc>
        <w:tc>
          <w:tcPr>
            <w:tcW w:w="1117" w:type="dxa"/>
            <w:tcBorders>
              <w:top w:val="nil"/>
              <w:left w:val="nil"/>
              <w:bottom w:val="nil"/>
              <w:right w:val="nil"/>
            </w:tcBorders>
            <w:shd w:val="clear" w:color="auto" w:fill="auto"/>
            <w:vAlign w:val="bottom"/>
          </w:tcPr>
          <w:p w14:paraId="537FC35D" w14:textId="77777777" w:rsidR="00D00B16" w:rsidRDefault="00365F6D">
            <w:pPr>
              <w:rPr>
                <w:sz w:val="20"/>
                <w:szCs w:val="20"/>
              </w:rPr>
            </w:pPr>
            <w:r>
              <w:rPr>
                <w:sz w:val="20"/>
                <w:szCs w:val="20"/>
              </w:rPr>
              <w:t>(.0042)</w:t>
            </w:r>
          </w:p>
        </w:tc>
        <w:tc>
          <w:tcPr>
            <w:tcW w:w="1117" w:type="dxa"/>
            <w:tcBorders>
              <w:top w:val="nil"/>
              <w:left w:val="nil"/>
              <w:bottom w:val="nil"/>
              <w:right w:val="nil"/>
            </w:tcBorders>
            <w:shd w:val="clear" w:color="auto" w:fill="auto"/>
            <w:vAlign w:val="bottom"/>
          </w:tcPr>
          <w:p w14:paraId="6776A425" w14:textId="77777777" w:rsidR="00D00B16" w:rsidRDefault="00365F6D">
            <w:pPr>
              <w:rPr>
                <w:sz w:val="20"/>
                <w:szCs w:val="20"/>
              </w:rPr>
            </w:pPr>
            <w:r>
              <w:rPr>
                <w:sz w:val="20"/>
                <w:szCs w:val="20"/>
              </w:rPr>
              <w:t>(.0043)</w:t>
            </w:r>
          </w:p>
        </w:tc>
      </w:tr>
      <w:tr w:rsidR="00D00B16" w14:paraId="5ED13B1E" w14:textId="77777777">
        <w:trPr>
          <w:trHeight w:val="280"/>
        </w:trPr>
        <w:tc>
          <w:tcPr>
            <w:tcW w:w="2621" w:type="dxa"/>
            <w:tcBorders>
              <w:top w:val="nil"/>
              <w:left w:val="nil"/>
              <w:bottom w:val="nil"/>
              <w:right w:val="nil"/>
            </w:tcBorders>
            <w:shd w:val="clear" w:color="auto" w:fill="auto"/>
            <w:vAlign w:val="bottom"/>
          </w:tcPr>
          <w:p w14:paraId="5CDC3B5C" w14:textId="77777777" w:rsidR="00D00B16" w:rsidRDefault="00365F6D">
            <w:pPr>
              <w:rPr>
                <w:sz w:val="20"/>
                <w:szCs w:val="20"/>
              </w:rPr>
            </w:pPr>
            <w:r>
              <w:rPr>
                <w:sz w:val="20"/>
                <w:szCs w:val="20"/>
              </w:rPr>
              <w:t xml:space="preserve">        Rationalization</w:t>
            </w:r>
          </w:p>
        </w:tc>
        <w:tc>
          <w:tcPr>
            <w:tcW w:w="1138" w:type="dxa"/>
            <w:tcBorders>
              <w:top w:val="nil"/>
              <w:left w:val="nil"/>
              <w:bottom w:val="nil"/>
              <w:right w:val="nil"/>
            </w:tcBorders>
            <w:shd w:val="clear" w:color="auto" w:fill="auto"/>
            <w:vAlign w:val="bottom"/>
          </w:tcPr>
          <w:p w14:paraId="07DE1842"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6E555BAA"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5BAA71BB"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34D9FF35"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2A2059CA" w14:textId="77777777" w:rsidR="00D00B16" w:rsidRDefault="00365F6D">
            <w:pPr>
              <w:rPr>
                <w:sz w:val="20"/>
                <w:szCs w:val="20"/>
              </w:rPr>
            </w:pPr>
            <w:r>
              <w:rPr>
                <w:sz w:val="20"/>
                <w:szCs w:val="20"/>
              </w:rPr>
              <w:t>.0010</w:t>
            </w:r>
          </w:p>
        </w:tc>
        <w:tc>
          <w:tcPr>
            <w:tcW w:w="1117" w:type="dxa"/>
            <w:tcBorders>
              <w:top w:val="nil"/>
              <w:left w:val="nil"/>
              <w:bottom w:val="nil"/>
              <w:right w:val="nil"/>
            </w:tcBorders>
            <w:shd w:val="clear" w:color="auto" w:fill="auto"/>
            <w:vAlign w:val="bottom"/>
          </w:tcPr>
          <w:p w14:paraId="36216370" w14:textId="77777777" w:rsidR="00D00B16" w:rsidRDefault="00365F6D">
            <w:pPr>
              <w:rPr>
                <w:sz w:val="20"/>
                <w:szCs w:val="20"/>
              </w:rPr>
            </w:pPr>
            <w:r>
              <w:rPr>
                <w:sz w:val="20"/>
                <w:szCs w:val="20"/>
              </w:rPr>
              <w:t>.0003</w:t>
            </w:r>
          </w:p>
        </w:tc>
        <w:tc>
          <w:tcPr>
            <w:tcW w:w="1117" w:type="dxa"/>
            <w:tcBorders>
              <w:top w:val="nil"/>
              <w:left w:val="nil"/>
              <w:bottom w:val="nil"/>
              <w:right w:val="nil"/>
            </w:tcBorders>
            <w:shd w:val="clear" w:color="auto" w:fill="auto"/>
            <w:vAlign w:val="bottom"/>
          </w:tcPr>
          <w:p w14:paraId="39F09D59" w14:textId="77777777" w:rsidR="00D00B16" w:rsidRDefault="00365F6D">
            <w:pPr>
              <w:rPr>
                <w:sz w:val="20"/>
                <w:szCs w:val="20"/>
              </w:rPr>
            </w:pPr>
            <w:r>
              <w:rPr>
                <w:sz w:val="20"/>
                <w:szCs w:val="20"/>
              </w:rPr>
              <w:t>.0003</w:t>
            </w:r>
          </w:p>
        </w:tc>
      </w:tr>
      <w:tr w:rsidR="00D00B16" w14:paraId="0B3CA96A" w14:textId="77777777">
        <w:trPr>
          <w:trHeight w:val="280"/>
        </w:trPr>
        <w:tc>
          <w:tcPr>
            <w:tcW w:w="2621" w:type="dxa"/>
            <w:tcBorders>
              <w:top w:val="nil"/>
              <w:left w:val="nil"/>
              <w:bottom w:val="nil"/>
              <w:right w:val="nil"/>
            </w:tcBorders>
            <w:shd w:val="clear" w:color="auto" w:fill="auto"/>
            <w:vAlign w:val="bottom"/>
          </w:tcPr>
          <w:p w14:paraId="1BD5DB4C"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764AAD93"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29F1DEBC"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3EFA8F5D"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2D5ABE0D"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0D39B558" w14:textId="77777777" w:rsidR="00D00B16" w:rsidRDefault="00365F6D">
            <w:pPr>
              <w:rPr>
                <w:sz w:val="20"/>
                <w:szCs w:val="20"/>
              </w:rPr>
            </w:pPr>
            <w:r>
              <w:rPr>
                <w:sz w:val="20"/>
                <w:szCs w:val="20"/>
              </w:rPr>
              <w:t>(.0006)</w:t>
            </w:r>
          </w:p>
        </w:tc>
        <w:tc>
          <w:tcPr>
            <w:tcW w:w="1117" w:type="dxa"/>
            <w:tcBorders>
              <w:top w:val="nil"/>
              <w:left w:val="nil"/>
              <w:bottom w:val="nil"/>
              <w:right w:val="nil"/>
            </w:tcBorders>
            <w:shd w:val="clear" w:color="auto" w:fill="auto"/>
            <w:vAlign w:val="bottom"/>
          </w:tcPr>
          <w:p w14:paraId="79EEA26B" w14:textId="77777777" w:rsidR="00D00B16" w:rsidRDefault="00365F6D">
            <w:pPr>
              <w:rPr>
                <w:sz w:val="20"/>
                <w:szCs w:val="20"/>
              </w:rPr>
            </w:pPr>
            <w:r>
              <w:rPr>
                <w:sz w:val="20"/>
                <w:szCs w:val="20"/>
              </w:rPr>
              <w:t>(.0006)</w:t>
            </w:r>
          </w:p>
        </w:tc>
        <w:tc>
          <w:tcPr>
            <w:tcW w:w="1117" w:type="dxa"/>
            <w:tcBorders>
              <w:top w:val="nil"/>
              <w:left w:val="nil"/>
              <w:bottom w:val="nil"/>
              <w:right w:val="nil"/>
            </w:tcBorders>
            <w:shd w:val="clear" w:color="auto" w:fill="auto"/>
            <w:vAlign w:val="bottom"/>
          </w:tcPr>
          <w:p w14:paraId="52D9DE94" w14:textId="77777777" w:rsidR="00D00B16" w:rsidRDefault="00365F6D">
            <w:pPr>
              <w:rPr>
                <w:sz w:val="20"/>
                <w:szCs w:val="20"/>
              </w:rPr>
            </w:pPr>
            <w:r>
              <w:rPr>
                <w:sz w:val="20"/>
                <w:szCs w:val="20"/>
              </w:rPr>
              <w:t>(.0006)</w:t>
            </w:r>
          </w:p>
        </w:tc>
      </w:tr>
      <w:tr w:rsidR="00D00B16" w14:paraId="06A766BE" w14:textId="77777777">
        <w:trPr>
          <w:trHeight w:val="280"/>
        </w:trPr>
        <w:tc>
          <w:tcPr>
            <w:tcW w:w="2621" w:type="dxa"/>
            <w:tcBorders>
              <w:top w:val="nil"/>
              <w:left w:val="nil"/>
              <w:bottom w:val="nil"/>
              <w:right w:val="nil"/>
            </w:tcBorders>
            <w:shd w:val="clear" w:color="auto" w:fill="auto"/>
            <w:vAlign w:val="bottom"/>
          </w:tcPr>
          <w:p w14:paraId="313BEC39"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62E220B2"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180D2C46"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4C684A94"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801DEBD"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5ACAE3BB"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348F6C6E"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7D3F7639" w14:textId="77777777" w:rsidR="00D00B16" w:rsidRDefault="00D00B16">
            <w:pPr>
              <w:rPr>
                <w:sz w:val="20"/>
                <w:szCs w:val="20"/>
              </w:rPr>
            </w:pPr>
          </w:p>
        </w:tc>
      </w:tr>
      <w:tr w:rsidR="00D00B16" w14:paraId="4F23CB29" w14:textId="77777777">
        <w:trPr>
          <w:trHeight w:val="280"/>
        </w:trPr>
        <w:tc>
          <w:tcPr>
            <w:tcW w:w="2621" w:type="dxa"/>
            <w:tcBorders>
              <w:top w:val="nil"/>
              <w:left w:val="nil"/>
              <w:bottom w:val="nil"/>
              <w:right w:val="nil"/>
            </w:tcBorders>
            <w:shd w:val="clear" w:color="auto" w:fill="auto"/>
            <w:vAlign w:val="bottom"/>
          </w:tcPr>
          <w:p w14:paraId="5F1D2837" w14:textId="77777777" w:rsidR="00D00B16" w:rsidRDefault="00365F6D">
            <w:pPr>
              <w:rPr>
                <w:i/>
                <w:sz w:val="20"/>
                <w:szCs w:val="20"/>
              </w:rPr>
            </w:pPr>
            <w:r>
              <w:rPr>
                <w:i/>
                <w:sz w:val="20"/>
                <w:szCs w:val="20"/>
              </w:rPr>
              <w:t>Controls</w:t>
            </w:r>
          </w:p>
        </w:tc>
        <w:tc>
          <w:tcPr>
            <w:tcW w:w="1138" w:type="dxa"/>
            <w:tcBorders>
              <w:top w:val="nil"/>
              <w:left w:val="nil"/>
              <w:bottom w:val="nil"/>
              <w:right w:val="nil"/>
            </w:tcBorders>
            <w:shd w:val="clear" w:color="auto" w:fill="auto"/>
            <w:vAlign w:val="bottom"/>
          </w:tcPr>
          <w:p w14:paraId="7C9CB1B9" w14:textId="77777777" w:rsidR="00D00B16" w:rsidRDefault="00D00B16">
            <w:pPr>
              <w:rPr>
                <w:i/>
                <w:sz w:val="20"/>
                <w:szCs w:val="20"/>
              </w:rPr>
            </w:pPr>
          </w:p>
        </w:tc>
        <w:tc>
          <w:tcPr>
            <w:tcW w:w="1029" w:type="dxa"/>
            <w:tcBorders>
              <w:top w:val="nil"/>
              <w:left w:val="nil"/>
              <w:bottom w:val="nil"/>
              <w:right w:val="nil"/>
            </w:tcBorders>
            <w:shd w:val="clear" w:color="auto" w:fill="auto"/>
            <w:vAlign w:val="bottom"/>
          </w:tcPr>
          <w:p w14:paraId="225B0E0E" w14:textId="77777777" w:rsidR="00D00B16" w:rsidRDefault="00D00B16">
            <w:pPr>
              <w:rPr>
                <w:sz w:val="20"/>
                <w:szCs w:val="20"/>
              </w:rPr>
            </w:pPr>
          </w:p>
        </w:tc>
        <w:tc>
          <w:tcPr>
            <w:tcW w:w="1028" w:type="dxa"/>
            <w:tcBorders>
              <w:top w:val="nil"/>
              <w:left w:val="nil"/>
              <w:bottom w:val="nil"/>
              <w:right w:val="nil"/>
            </w:tcBorders>
            <w:shd w:val="clear" w:color="auto" w:fill="auto"/>
            <w:vAlign w:val="bottom"/>
          </w:tcPr>
          <w:p w14:paraId="1A36EEB4"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48702B09" w14:textId="77777777" w:rsidR="00D00B16" w:rsidRDefault="00D00B16">
            <w:pPr>
              <w:rPr>
                <w:sz w:val="20"/>
                <w:szCs w:val="20"/>
              </w:rPr>
            </w:pPr>
          </w:p>
        </w:tc>
        <w:tc>
          <w:tcPr>
            <w:tcW w:w="1136" w:type="dxa"/>
            <w:tcBorders>
              <w:top w:val="nil"/>
              <w:left w:val="nil"/>
              <w:bottom w:val="nil"/>
              <w:right w:val="nil"/>
            </w:tcBorders>
            <w:shd w:val="clear" w:color="auto" w:fill="auto"/>
            <w:vAlign w:val="bottom"/>
          </w:tcPr>
          <w:p w14:paraId="122FC23A"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4D3AE943" w14:textId="77777777" w:rsidR="00D00B16" w:rsidRDefault="00D00B16">
            <w:pPr>
              <w:rPr>
                <w:sz w:val="20"/>
                <w:szCs w:val="20"/>
              </w:rPr>
            </w:pPr>
          </w:p>
        </w:tc>
        <w:tc>
          <w:tcPr>
            <w:tcW w:w="1117" w:type="dxa"/>
            <w:tcBorders>
              <w:top w:val="nil"/>
              <w:left w:val="nil"/>
              <w:bottom w:val="nil"/>
              <w:right w:val="nil"/>
            </w:tcBorders>
            <w:shd w:val="clear" w:color="auto" w:fill="auto"/>
            <w:vAlign w:val="bottom"/>
          </w:tcPr>
          <w:p w14:paraId="68138009" w14:textId="77777777" w:rsidR="00D00B16" w:rsidRDefault="00D00B16">
            <w:pPr>
              <w:rPr>
                <w:sz w:val="20"/>
                <w:szCs w:val="20"/>
              </w:rPr>
            </w:pPr>
          </w:p>
        </w:tc>
      </w:tr>
      <w:tr w:rsidR="00D00B16" w14:paraId="3047880D" w14:textId="77777777">
        <w:trPr>
          <w:trHeight w:val="400"/>
        </w:trPr>
        <w:tc>
          <w:tcPr>
            <w:tcW w:w="2621" w:type="dxa"/>
            <w:tcBorders>
              <w:top w:val="nil"/>
              <w:left w:val="nil"/>
              <w:bottom w:val="nil"/>
              <w:right w:val="nil"/>
            </w:tcBorders>
            <w:shd w:val="clear" w:color="auto" w:fill="auto"/>
            <w:vAlign w:val="bottom"/>
          </w:tcPr>
          <w:p w14:paraId="2B35C155" w14:textId="77777777" w:rsidR="00D00B16" w:rsidRDefault="00365F6D">
            <w:pPr>
              <w:rPr>
                <w:sz w:val="20"/>
                <w:szCs w:val="20"/>
              </w:rPr>
            </w:pPr>
            <w:r>
              <w:rPr>
                <w:sz w:val="20"/>
                <w:szCs w:val="20"/>
              </w:rPr>
              <w:t xml:space="preserve">        Age</w:t>
            </w:r>
          </w:p>
        </w:tc>
        <w:tc>
          <w:tcPr>
            <w:tcW w:w="1138" w:type="dxa"/>
            <w:tcBorders>
              <w:top w:val="nil"/>
              <w:left w:val="nil"/>
              <w:bottom w:val="nil"/>
              <w:right w:val="nil"/>
            </w:tcBorders>
            <w:shd w:val="clear" w:color="auto" w:fill="auto"/>
            <w:vAlign w:val="bottom"/>
          </w:tcPr>
          <w:p w14:paraId="4846A0C3"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58922C3C" w14:textId="77777777" w:rsidR="00D00B16" w:rsidRDefault="00365F6D">
            <w:pPr>
              <w:rPr>
                <w:sz w:val="20"/>
                <w:szCs w:val="20"/>
              </w:rPr>
            </w:pPr>
            <w:r>
              <w:rPr>
                <w:sz w:val="20"/>
                <w:szCs w:val="20"/>
              </w:rPr>
              <w:t>.0001</w:t>
            </w:r>
            <w:r>
              <w:rPr>
                <w:b/>
                <w:sz w:val="20"/>
                <w:szCs w:val="20"/>
                <w:vertAlign w:val="superscript"/>
              </w:rPr>
              <w:t>+</w:t>
            </w:r>
          </w:p>
        </w:tc>
        <w:tc>
          <w:tcPr>
            <w:tcW w:w="1028" w:type="dxa"/>
            <w:tcBorders>
              <w:top w:val="nil"/>
              <w:left w:val="nil"/>
              <w:bottom w:val="nil"/>
              <w:right w:val="nil"/>
            </w:tcBorders>
            <w:shd w:val="clear" w:color="auto" w:fill="auto"/>
            <w:vAlign w:val="bottom"/>
          </w:tcPr>
          <w:p w14:paraId="7AB7DA00" w14:textId="77777777" w:rsidR="00D00B16" w:rsidRDefault="00365F6D">
            <w:pPr>
              <w:rPr>
                <w:sz w:val="20"/>
                <w:szCs w:val="20"/>
              </w:rPr>
            </w:pPr>
            <w:r>
              <w:rPr>
                <w:sz w:val="20"/>
                <w:szCs w:val="20"/>
              </w:rPr>
              <w:t>0.0001</w:t>
            </w:r>
            <w:r>
              <w:rPr>
                <w:b/>
                <w:sz w:val="20"/>
                <w:szCs w:val="20"/>
                <w:vertAlign w:val="superscript"/>
              </w:rPr>
              <w:t>+</w:t>
            </w:r>
          </w:p>
        </w:tc>
        <w:tc>
          <w:tcPr>
            <w:tcW w:w="1136" w:type="dxa"/>
            <w:tcBorders>
              <w:top w:val="nil"/>
              <w:left w:val="nil"/>
              <w:bottom w:val="nil"/>
              <w:right w:val="nil"/>
            </w:tcBorders>
            <w:shd w:val="clear" w:color="auto" w:fill="auto"/>
            <w:vAlign w:val="bottom"/>
          </w:tcPr>
          <w:p w14:paraId="7A333AE4" w14:textId="77777777" w:rsidR="00D00B16" w:rsidRDefault="00365F6D">
            <w:pPr>
              <w:rPr>
                <w:sz w:val="20"/>
                <w:szCs w:val="20"/>
              </w:rPr>
            </w:pPr>
            <w:r>
              <w:rPr>
                <w:sz w:val="20"/>
                <w:szCs w:val="20"/>
              </w:rPr>
              <w:t>.0001</w:t>
            </w:r>
            <w:r>
              <w:rPr>
                <w:b/>
                <w:sz w:val="20"/>
                <w:szCs w:val="20"/>
                <w:vertAlign w:val="superscript"/>
              </w:rPr>
              <w:t>+</w:t>
            </w:r>
          </w:p>
        </w:tc>
        <w:tc>
          <w:tcPr>
            <w:tcW w:w="1136" w:type="dxa"/>
            <w:tcBorders>
              <w:top w:val="nil"/>
              <w:left w:val="nil"/>
              <w:bottom w:val="nil"/>
              <w:right w:val="nil"/>
            </w:tcBorders>
            <w:shd w:val="clear" w:color="auto" w:fill="auto"/>
            <w:vAlign w:val="bottom"/>
          </w:tcPr>
          <w:p w14:paraId="1A6737A3" w14:textId="77777777" w:rsidR="00D00B16" w:rsidRDefault="00365F6D">
            <w:pPr>
              <w:rPr>
                <w:sz w:val="20"/>
                <w:szCs w:val="20"/>
              </w:rPr>
            </w:pPr>
            <w:r>
              <w:rPr>
                <w:sz w:val="20"/>
                <w:szCs w:val="20"/>
              </w:rPr>
              <w:t>.0001</w:t>
            </w:r>
          </w:p>
        </w:tc>
        <w:tc>
          <w:tcPr>
            <w:tcW w:w="1117" w:type="dxa"/>
            <w:tcBorders>
              <w:top w:val="nil"/>
              <w:left w:val="nil"/>
              <w:bottom w:val="nil"/>
              <w:right w:val="nil"/>
            </w:tcBorders>
            <w:shd w:val="clear" w:color="auto" w:fill="auto"/>
            <w:vAlign w:val="bottom"/>
          </w:tcPr>
          <w:p w14:paraId="04CE36F8" w14:textId="77777777" w:rsidR="00D00B16" w:rsidRDefault="00365F6D">
            <w:pPr>
              <w:rPr>
                <w:sz w:val="20"/>
                <w:szCs w:val="20"/>
              </w:rPr>
            </w:pPr>
            <w:r>
              <w:rPr>
                <w:sz w:val="20"/>
                <w:szCs w:val="20"/>
              </w:rPr>
              <w:t>.0001</w:t>
            </w:r>
            <w:r>
              <w:rPr>
                <w:b/>
                <w:sz w:val="20"/>
                <w:szCs w:val="20"/>
                <w:vertAlign w:val="superscript"/>
              </w:rPr>
              <w:t>+</w:t>
            </w:r>
          </w:p>
        </w:tc>
        <w:tc>
          <w:tcPr>
            <w:tcW w:w="1117" w:type="dxa"/>
            <w:tcBorders>
              <w:top w:val="nil"/>
              <w:left w:val="nil"/>
              <w:bottom w:val="nil"/>
              <w:right w:val="nil"/>
            </w:tcBorders>
            <w:shd w:val="clear" w:color="auto" w:fill="auto"/>
            <w:vAlign w:val="bottom"/>
          </w:tcPr>
          <w:p w14:paraId="761F77E5" w14:textId="77777777" w:rsidR="00D00B16" w:rsidRDefault="00365F6D">
            <w:pPr>
              <w:rPr>
                <w:sz w:val="20"/>
                <w:szCs w:val="20"/>
              </w:rPr>
            </w:pPr>
            <w:r>
              <w:rPr>
                <w:sz w:val="20"/>
                <w:szCs w:val="20"/>
              </w:rPr>
              <w:t>.0001*</w:t>
            </w:r>
          </w:p>
        </w:tc>
      </w:tr>
      <w:tr w:rsidR="00D00B16" w14:paraId="06116C38" w14:textId="77777777">
        <w:trPr>
          <w:trHeight w:val="280"/>
        </w:trPr>
        <w:tc>
          <w:tcPr>
            <w:tcW w:w="2621" w:type="dxa"/>
            <w:tcBorders>
              <w:top w:val="nil"/>
              <w:left w:val="nil"/>
              <w:bottom w:val="nil"/>
              <w:right w:val="nil"/>
            </w:tcBorders>
            <w:shd w:val="clear" w:color="auto" w:fill="auto"/>
            <w:vAlign w:val="bottom"/>
          </w:tcPr>
          <w:p w14:paraId="433B17F0"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4D123B63"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4F7D1FB4" w14:textId="77777777" w:rsidR="00D00B16" w:rsidRDefault="00365F6D">
            <w:pPr>
              <w:rPr>
                <w:sz w:val="20"/>
                <w:szCs w:val="20"/>
              </w:rPr>
            </w:pPr>
            <w:r>
              <w:rPr>
                <w:sz w:val="20"/>
                <w:szCs w:val="20"/>
              </w:rPr>
              <w:t>(.0000)</w:t>
            </w:r>
          </w:p>
        </w:tc>
        <w:tc>
          <w:tcPr>
            <w:tcW w:w="1028" w:type="dxa"/>
            <w:tcBorders>
              <w:top w:val="nil"/>
              <w:left w:val="nil"/>
              <w:bottom w:val="nil"/>
              <w:right w:val="nil"/>
            </w:tcBorders>
            <w:shd w:val="clear" w:color="auto" w:fill="auto"/>
            <w:vAlign w:val="bottom"/>
          </w:tcPr>
          <w:p w14:paraId="0E3614F6" w14:textId="77777777" w:rsidR="00D00B16" w:rsidRDefault="00365F6D">
            <w:pPr>
              <w:rPr>
                <w:sz w:val="20"/>
                <w:szCs w:val="20"/>
              </w:rPr>
            </w:pPr>
            <w:r>
              <w:rPr>
                <w:sz w:val="20"/>
                <w:szCs w:val="20"/>
              </w:rPr>
              <w:t>(0.0000)</w:t>
            </w:r>
          </w:p>
        </w:tc>
        <w:tc>
          <w:tcPr>
            <w:tcW w:w="1136" w:type="dxa"/>
            <w:tcBorders>
              <w:top w:val="nil"/>
              <w:left w:val="nil"/>
              <w:bottom w:val="nil"/>
              <w:right w:val="nil"/>
            </w:tcBorders>
            <w:shd w:val="clear" w:color="auto" w:fill="auto"/>
            <w:vAlign w:val="bottom"/>
          </w:tcPr>
          <w:p w14:paraId="4BCEC94E" w14:textId="77777777" w:rsidR="00D00B16" w:rsidRDefault="00365F6D">
            <w:pPr>
              <w:rPr>
                <w:sz w:val="20"/>
                <w:szCs w:val="20"/>
              </w:rPr>
            </w:pPr>
            <w:r>
              <w:rPr>
                <w:sz w:val="20"/>
                <w:szCs w:val="20"/>
              </w:rPr>
              <w:t>(.0000)</w:t>
            </w:r>
          </w:p>
        </w:tc>
        <w:tc>
          <w:tcPr>
            <w:tcW w:w="1136" w:type="dxa"/>
            <w:tcBorders>
              <w:top w:val="nil"/>
              <w:left w:val="nil"/>
              <w:bottom w:val="nil"/>
              <w:right w:val="nil"/>
            </w:tcBorders>
            <w:shd w:val="clear" w:color="auto" w:fill="auto"/>
            <w:vAlign w:val="bottom"/>
          </w:tcPr>
          <w:p w14:paraId="570D880E" w14:textId="77777777" w:rsidR="00D00B16" w:rsidRDefault="00365F6D">
            <w:pPr>
              <w:rPr>
                <w:sz w:val="20"/>
                <w:szCs w:val="20"/>
              </w:rPr>
            </w:pPr>
            <w:r>
              <w:rPr>
                <w:sz w:val="20"/>
                <w:szCs w:val="20"/>
              </w:rPr>
              <w:t>(.0000)</w:t>
            </w:r>
          </w:p>
        </w:tc>
        <w:tc>
          <w:tcPr>
            <w:tcW w:w="1117" w:type="dxa"/>
            <w:tcBorders>
              <w:top w:val="nil"/>
              <w:left w:val="nil"/>
              <w:bottom w:val="nil"/>
              <w:right w:val="nil"/>
            </w:tcBorders>
            <w:shd w:val="clear" w:color="auto" w:fill="auto"/>
            <w:vAlign w:val="bottom"/>
          </w:tcPr>
          <w:p w14:paraId="3D296F4E" w14:textId="77777777" w:rsidR="00D00B16" w:rsidRDefault="00365F6D">
            <w:pPr>
              <w:rPr>
                <w:sz w:val="20"/>
                <w:szCs w:val="20"/>
              </w:rPr>
            </w:pPr>
            <w:r>
              <w:rPr>
                <w:sz w:val="20"/>
                <w:szCs w:val="20"/>
              </w:rPr>
              <w:t>(.0000)</w:t>
            </w:r>
          </w:p>
        </w:tc>
        <w:tc>
          <w:tcPr>
            <w:tcW w:w="1117" w:type="dxa"/>
            <w:tcBorders>
              <w:top w:val="nil"/>
              <w:left w:val="nil"/>
              <w:bottom w:val="nil"/>
              <w:right w:val="nil"/>
            </w:tcBorders>
            <w:shd w:val="clear" w:color="auto" w:fill="auto"/>
            <w:vAlign w:val="bottom"/>
          </w:tcPr>
          <w:p w14:paraId="799FE497" w14:textId="77777777" w:rsidR="00D00B16" w:rsidRDefault="00365F6D">
            <w:pPr>
              <w:rPr>
                <w:sz w:val="20"/>
                <w:szCs w:val="20"/>
              </w:rPr>
            </w:pPr>
            <w:r>
              <w:rPr>
                <w:sz w:val="20"/>
                <w:szCs w:val="20"/>
              </w:rPr>
              <w:t>(.0000)</w:t>
            </w:r>
          </w:p>
        </w:tc>
      </w:tr>
      <w:tr w:rsidR="00D00B16" w14:paraId="3D170AB3" w14:textId="77777777">
        <w:trPr>
          <w:trHeight w:val="280"/>
        </w:trPr>
        <w:tc>
          <w:tcPr>
            <w:tcW w:w="2621" w:type="dxa"/>
            <w:tcBorders>
              <w:top w:val="nil"/>
              <w:left w:val="nil"/>
              <w:bottom w:val="nil"/>
              <w:right w:val="nil"/>
            </w:tcBorders>
            <w:shd w:val="clear" w:color="auto" w:fill="auto"/>
            <w:vAlign w:val="bottom"/>
          </w:tcPr>
          <w:p w14:paraId="65716174" w14:textId="77777777" w:rsidR="00D00B16" w:rsidRDefault="00365F6D">
            <w:pPr>
              <w:rPr>
                <w:sz w:val="20"/>
                <w:szCs w:val="20"/>
              </w:rPr>
            </w:pPr>
            <w:r>
              <w:rPr>
                <w:sz w:val="20"/>
                <w:szCs w:val="20"/>
              </w:rPr>
              <w:t xml:space="preserve">        Assets</w:t>
            </w:r>
          </w:p>
        </w:tc>
        <w:tc>
          <w:tcPr>
            <w:tcW w:w="1138" w:type="dxa"/>
            <w:tcBorders>
              <w:top w:val="nil"/>
              <w:left w:val="nil"/>
              <w:bottom w:val="nil"/>
              <w:right w:val="nil"/>
            </w:tcBorders>
            <w:shd w:val="clear" w:color="auto" w:fill="auto"/>
            <w:vAlign w:val="bottom"/>
          </w:tcPr>
          <w:p w14:paraId="49B4996C"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306EAEDC" w14:textId="77777777" w:rsidR="00D00B16" w:rsidRDefault="00365F6D">
            <w:pPr>
              <w:rPr>
                <w:sz w:val="20"/>
                <w:szCs w:val="20"/>
              </w:rPr>
            </w:pPr>
            <w:r>
              <w:rPr>
                <w:sz w:val="20"/>
                <w:szCs w:val="20"/>
              </w:rPr>
              <w:t>-.0000</w:t>
            </w:r>
          </w:p>
        </w:tc>
        <w:tc>
          <w:tcPr>
            <w:tcW w:w="1028" w:type="dxa"/>
            <w:tcBorders>
              <w:top w:val="nil"/>
              <w:left w:val="nil"/>
              <w:bottom w:val="nil"/>
              <w:right w:val="nil"/>
            </w:tcBorders>
            <w:shd w:val="clear" w:color="auto" w:fill="auto"/>
            <w:vAlign w:val="bottom"/>
          </w:tcPr>
          <w:p w14:paraId="2136F39B" w14:textId="77777777" w:rsidR="00D00B16" w:rsidRDefault="00365F6D">
            <w:pPr>
              <w:rPr>
                <w:sz w:val="20"/>
                <w:szCs w:val="20"/>
              </w:rPr>
            </w:pPr>
            <w:r>
              <w:rPr>
                <w:sz w:val="20"/>
                <w:szCs w:val="20"/>
              </w:rPr>
              <w:t>-0.0001</w:t>
            </w:r>
          </w:p>
        </w:tc>
        <w:tc>
          <w:tcPr>
            <w:tcW w:w="1136" w:type="dxa"/>
            <w:tcBorders>
              <w:top w:val="nil"/>
              <w:left w:val="nil"/>
              <w:bottom w:val="nil"/>
              <w:right w:val="nil"/>
            </w:tcBorders>
            <w:shd w:val="clear" w:color="auto" w:fill="auto"/>
            <w:vAlign w:val="bottom"/>
          </w:tcPr>
          <w:p w14:paraId="542C584D" w14:textId="77777777" w:rsidR="00D00B16" w:rsidRDefault="00365F6D">
            <w:pPr>
              <w:rPr>
                <w:sz w:val="20"/>
                <w:szCs w:val="20"/>
              </w:rPr>
            </w:pPr>
            <w:r>
              <w:rPr>
                <w:sz w:val="20"/>
                <w:szCs w:val="20"/>
              </w:rPr>
              <w:t>-.0010</w:t>
            </w:r>
            <w:r>
              <w:rPr>
                <w:b/>
                <w:sz w:val="20"/>
                <w:szCs w:val="20"/>
                <w:vertAlign w:val="superscript"/>
              </w:rPr>
              <w:t>+</w:t>
            </w:r>
          </w:p>
        </w:tc>
        <w:tc>
          <w:tcPr>
            <w:tcW w:w="1136" w:type="dxa"/>
            <w:tcBorders>
              <w:top w:val="nil"/>
              <w:left w:val="nil"/>
              <w:bottom w:val="nil"/>
              <w:right w:val="nil"/>
            </w:tcBorders>
            <w:shd w:val="clear" w:color="auto" w:fill="auto"/>
            <w:vAlign w:val="bottom"/>
          </w:tcPr>
          <w:p w14:paraId="44445764" w14:textId="77777777" w:rsidR="00D00B16" w:rsidRDefault="00365F6D">
            <w:pPr>
              <w:rPr>
                <w:sz w:val="20"/>
                <w:szCs w:val="20"/>
              </w:rPr>
            </w:pPr>
            <w:r>
              <w:rPr>
                <w:sz w:val="20"/>
                <w:szCs w:val="20"/>
              </w:rPr>
              <w:t>.0003</w:t>
            </w:r>
          </w:p>
        </w:tc>
        <w:tc>
          <w:tcPr>
            <w:tcW w:w="1117" w:type="dxa"/>
            <w:tcBorders>
              <w:top w:val="nil"/>
              <w:left w:val="nil"/>
              <w:bottom w:val="nil"/>
              <w:right w:val="nil"/>
            </w:tcBorders>
            <w:shd w:val="clear" w:color="auto" w:fill="auto"/>
            <w:vAlign w:val="bottom"/>
          </w:tcPr>
          <w:p w14:paraId="0CD973DE" w14:textId="77777777" w:rsidR="00D00B16" w:rsidRDefault="00365F6D">
            <w:pPr>
              <w:rPr>
                <w:sz w:val="20"/>
                <w:szCs w:val="20"/>
              </w:rPr>
            </w:pPr>
            <w:r>
              <w:rPr>
                <w:sz w:val="20"/>
                <w:szCs w:val="20"/>
              </w:rPr>
              <w:t>-.0008</w:t>
            </w:r>
          </w:p>
        </w:tc>
        <w:tc>
          <w:tcPr>
            <w:tcW w:w="1117" w:type="dxa"/>
            <w:tcBorders>
              <w:top w:val="nil"/>
              <w:left w:val="nil"/>
              <w:bottom w:val="nil"/>
              <w:right w:val="nil"/>
            </w:tcBorders>
            <w:shd w:val="clear" w:color="auto" w:fill="auto"/>
            <w:vAlign w:val="bottom"/>
          </w:tcPr>
          <w:p w14:paraId="0D3ECBA4" w14:textId="77777777" w:rsidR="00D00B16" w:rsidRDefault="00365F6D">
            <w:pPr>
              <w:rPr>
                <w:sz w:val="20"/>
                <w:szCs w:val="20"/>
              </w:rPr>
            </w:pPr>
            <w:r>
              <w:rPr>
                <w:sz w:val="20"/>
                <w:szCs w:val="20"/>
              </w:rPr>
              <w:t>-.0008</w:t>
            </w:r>
          </w:p>
        </w:tc>
      </w:tr>
      <w:tr w:rsidR="00D00B16" w14:paraId="5237468F" w14:textId="77777777">
        <w:trPr>
          <w:trHeight w:val="280"/>
        </w:trPr>
        <w:tc>
          <w:tcPr>
            <w:tcW w:w="2621" w:type="dxa"/>
            <w:tcBorders>
              <w:top w:val="nil"/>
              <w:left w:val="nil"/>
              <w:bottom w:val="nil"/>
              <w:right w:val="nil"/>
            </w:tcBorders>
            <w:shd w:val="clear" w:color="auto" w:fill="auto"/>
            <w:vAlign w:val="bottom"/>
          </w:tcPr>
          <w:p w14:paraId="380250BE"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4BE04916" w14:textId="77777777" w:rsidR="00D00B16" w:rsidRDefault="00D00B16">
            <w:pPr>
              <w:rPr>
                <w:sz w:val="20"/>
                <w:szCs w:val="20"/>
              </w:rPr>
            </w:pPr>
          </w:p>
        </w:tc>
        <w:tc>
          <w:tcPr>
            <w:tcW w:w="1029" w:type="dxa"/>
            <w:tcBorders>
              <w:top w:val="nil"/>
              <w:left w:val="nil"/>
              <w:bottom w:val="nil"/>
              <w:right w:val="nil"/>
            </w:tcBorders>
            <w:shd w:val="clear" w:color="auto" w:fill="auto"/>
            <w:vAlign w:val="bottom"/>
          </w:tcPr>
          <w:p w14:paraId="7660B671" w14:textId="77777777" w:rsidR="00D00B16" w:rsidRDefault="00365F6D">
            <w:pPr>
              <w:rPr>
                <w:sz w:val="20"/>
                <w:szCs w:val="20"/>
              </w:rPr>
            </w:pPr>
            <w:r>
              <w:rPr>
                <w:sz w:val="20"/>
                <w:szCs w:val="20"/>
              </w:rPr>
              <w:t>(.0004)</w:t>
            </w:r>
          </w:p>
        </w:tc>
        <w:tc>
          <w:tcPr>
            <w:tcW w:w="1028" w:type="dxa"/>
            <w:tcBorders>
              <w:top w:val="nil"/>
              <w:left w:val="nil"/>
              <w:bottom w:val="nil"/>
              <w:right w:val="nil"/>
            </w:tcBorders>
            <w:shd w:val="clear" w:color="auto" w:fill="auto"/>
            <w:vAlign w:val="bottom"/>
          </w:tcPr>
          <w:p w14:paraId="77440B01" w14:textId="77777777" w:rsidR="00D00B16" w:rsidRDefault="00365F6D">
            <w:pPr>
              <w:rPr>
                <w:sz w:val="20"/>
                <w:szCs w:val="20"/>
              </w:rPr>
            </w:pPr>
            <w:r>
              <w:rPr>
                <w:sz w:val="20"/>
                <w:szCs w:val="20"/>
              </w:rPr>
              <w:t>(0.0004)</w:t>
            </w:r>
          </w:p>
        </w:tc>
        <w:tc>
          <w:tcPr>
            <w:tcW w:w="1136" w:type="dxa"/>
            <w:tcBorders>
              <w:top w:val="nil"/>
              <w:left w:val="nil"/>
              <w:bottom w:val="nil"/>
              <w:right w:val="nil"/>
            </w:tcBorders>
            <w:shd w:val="clear" w:color="auto" w:fill="auto"/>
            <w:vAlign w:val="bottom"/>
          </w:tcPr>
          <w:p w14:paraId="08670C3E" w14:textId="77777777" w:rsidR="00D00B16" w:rsidRDefault="00365F6D">
            <w:pPr>
              <w:rPr>
                <w:sz w:val="20"/>
                <w:szCs w:val="20"/>
              </w:rPr>
            </w:pPr>
            <w:r>
              <w:rPr>
                <w:sz w:val="20"/>
                <w:szCs w:val="20"/>
              </w:rPr>
              <w:t>(.0005)</w:t>
            </w:r>
          </w:p>
        </w:tc>
        <w:tc>
          <w:tcPr>
            <w:tcW w:w="1136" w:type="dxa"/>
            <w:tcBorders>
              <w:top w:val="nil"/>
              <w:left w:val="nil"/>
              <w:bottom w:val="nil"/>
              <w:right w:val="nil"/>
            </w:tcBorders>
            <w:shd w:val="clear" w:color="auto" w:fill="auto"/>
            <w:vAlign w:val="bottom"/>
          </w:tcPr>
          <w:p w14:paraId="744D6922" w14:textId="77777777" w:rsidR="00D00B16" w:rsidRDefault="00365F6D">
            <w:pPr>
              <w:rPr>
                <w:sz w:val="20"/>
                <w:szCs w:val="20"/>
              </w:rPr>
            </w:pPr>
            <w:r>
              <w:rPr>
                <w:sz w:val="20"/>
                <w:szCs w:val="20"/>
              </w:rPr>
              <w:t>(.0005)</w:t>
            </w:r>
          </w:p>
        </w:tc>
        <w:tc>
          <w:tcPr>
            <w:tcW w:w="1117" w:type="dxa"/>
            <w:tcBorders>
              <w:top w:val="nil"/>
              <w:left w:val="nil"/>
              <w:bottom w:val="nil"/>
              <w:right w:val="nil"/>
            </w:tcBorders>
            <w:shd w:val="clear" w:color="auto" w:fill="auto"/>
            <w:vAlign w:val="bottom"/>
          </w:tcPr>
          <w:p w14:paraId="58C7298C" w14:textId="77777777" w:rsidR="00D00B16" w:rsidRDefault="00365F6D">
            <w:pPr>
              <w:rPr>
                <w:sz w:val="20"/>
                <w:szCs w:val="20"/>
              </w:rPr>
            </w:pPr>
            <w:r>
              <w:rPr>
                <w:sz w:val="20"/>
                <w:szCs w:val="20"/>
              </w:rPr>
              <w:t>(.0005)</w:t>
            </w:r>
          </w:p>
        </w:tc>
        <w:tc>
          <w:tcPr>
            <w:tcW w:w="1117" w:type="dxa"/>
            <w:tcBorders>
              <w:top w:val="nil"/>
              <w:left w:val="nil"/>
              <w:bottom w:val="nil"/>
              <w:right w:val="nil"/>
            </w:tcBorders>
            <w:shd w:val="clear" w:color="auto" w:fill="auto"/>
            <w:vAlign w:val="bottom"/>
          </w:tcPr>
          <w:p w14:paraId="6B91C4C9" w14:textId="77777777" w:rsidR="00D00B16" w:rsidRDefault="00365F6D">
            <w:pPr>
              <w:rPr>
                <w:sz w:val="20"/>
                <w:szCs w:val="20"/>
              </w:rPr>
            </w:pPr>
            <w:r>
              <w:rPr>
                <w:sz w:val="20"/>
                <w:szCs w:val="20"/>
              </w:rPr>
              <w:t>(.0005)</w:t>
            </w:r>
          </w:p>
        </w:tc>
      </w:tr>
      <w:tr w:rsidR="00D00B16" w14:paraId="605E9EC2" w14:textId="77777777">
        <w:trPr>
          <w:trHeight w:val="280"/>
        </w:trPr>
        <w:tc>
          <w:tcPr>
            <w:tcW w:w="2621" w:type="dxa"/>
            <w:tcBorders>
              <w:top w:val="nil"/>
              <w:left w:val="nil"/>
              <w:bottom w:val="nil"/>
              <w:right w:val="nil"/>
            </w:tcBorders>
            <w:shd w:val="clear" w:color="auto" w:fill="auto"/>
            <w:vAlign w:val="bottom"/>
          </w:tcPr>
          <w:p w14:paraId="2D9AB963" w14:textId="77777777" w:rsidR="00D00B16" w:rsidRDefault="00365F6D">
            <w:pPr>
              <w:rPr>
                <w:sz w:val="20"/>
                <w:szCs w:val="20"/>
              </w:rPr>
            </w:pPr>
            <w:r>
              <w:rPr>
                <w:sz w:val="20"/>
                <w:szCs w:val="20"/>
              </w:rPr>
              <w:t>Constant</w:t>
            </w:r>
          </w:p>
        </w:tc>
        <w:tc>
          <w:tcPr>
            <w:tcW w:w="1138" w:type="dxa"/>
            <w:tcBorders>
              <w:top w:val="nil"/>
              <w:left w:val="nil"/>
              <w:bottom w:val="nil"/>
              <w:right w:val="nil"/>
            </w:tcBorders>
            <w:shd w:val="clear" w:color="auto" w:fill="auto"/>
            <w:vAlign w:val="bottom"/>
          </w:tcPr>
          <w:p w14:paraId="23C6D1D9" w14:textId="77777777" w:rsidR="00D00B16" w:rsidRDefault="00365F6D">
            <w:pPr>
              <w:rPr>
                <w:sz w:val="20"/>
                <w:szCs w:val="20"/>
              </w:rPr>
            </w:pPr>
            <w:r>
              <w:rPr>
                <w:sz w:val="20"/>
                <w:szCs w:val="20"/>
              </w:rPr>
              <w:t>.0076***</w:t>
            </w:r>
          </w:p>
        </w:tc>
        <w:tc>
          <w:tcPr>
            <w:tcW w:w="1029" w:type="dxa"/>
            <w:tcBorders>
              <w:top w:val="nil"/>
              <w:left w:val="nil"/>
              <w:bottom w:val="nil"/>
              <w:right w:val="nil"/>
            </w:tcBorders>
            <w:shd w:val="clear" w:color="auto" w:fill="auto"/>
            <w:vAlign w:val="bottom"/>
          </w:tcPr>
          <w:p w14:paraId="1D6D453B" w14:textId="77777777" w:rsidR="00D00B16" w:rsidRDefault="00365F6D">
            <w:pPr>
              <w:rPr>
                <w:sz w:val="20"/>
                <w:szCs w:val="20"/>
              </w:rPr>
            </w:pPr>
            <w:r>
              <w:rPr>
                <w:sz w:val="20"/>
                <w:szCs w:val="20"/>
              </w:rPr>
              <w:t>.0096</w:t>
            </w:r>
          </w:p>
        </w:tc>
        <w:tc>
          <w:tcPr>
            <w:tcW w:w="1028" w:type="dxa"/>
            <w:tcBorders>
              <w:top w:val="nil"/>
              <w:left w:val="nil"/>
              <w:bottom w:val="nil"/>
              <w:right w:val="nil"/>
            </w:tcBorders>
            <w:shd w:val="clear" w:color="auto" w:fill="auto"/>
            <w:vAlign w:val="bottom"/>
          </w:tcPr>
          <w:p w14:paraId="0405A248" w14:textId="77777777" w:rsidR="00D00B16" w:rsidRDefault="00365F6D">
            <w:pPr>
              <w:rPr>
                <w:sz w:val="20"/>
                <w:szCs w:val="20"/>
              </w:rPr>
            </w:pPr>
            <w:r>
              <w:rPr>
                <w:sz w:val="20"/>
                <w:szCs w:val="20"/>
              </w:rPr>
              <w:t>.0111</w:t>
            </w:r>
          </w:p>
        </w:tc>
        <w:tc>
          <w:tcPr>
            <w:tcW w:w="1136" w:type="dxa"/>
            <w:tcBorders>
              <w:top w:val="nil"/>
              <w:left w:val="nil"/>
              <w:bottom w:val="nil"/>
              <w:right w:val="nil"/>
            </w:tcBorders>
            <w:shd w:val="clear" w:color="auto" w:fill="auto"/>
            <w:vAlign w:val="bottom"/>
          </w:tcPr>
          <w:p w14:paraId="672F6052" w14:textId="77777777" w:rsidR="00D00B16" w:rsidRDefault="00365F6D">
            <w:pPr>
              <w:rPr>
                <w:sz w:val="20"/>
                <w:szCs w:val="20"/>
              </w:rPr>
            </w:pPr>
            <w:r>
              <w:rPr>
                <w:sz w:val="20"/>
                <w:szCs w:val="20"/>
              </w:rPr>
              <w:t>.0271***</w:t>
            </w:r>
          </w:p>
        </w:tc>
        <w:tc>
          <w:tcPr>
            <w:tcW w:w="1136" w:type="dxa"/>
            <w:tcBorders>
              <w:top w:val="nil"/>
              <w:left w:val="nil"/>
              <w:bottom w:val="nil"/>
              <w:right w:val="nil"/>
            </w:tcBorders>
            <w:shd w:val="clear" w:color="auto" w:fill="auto"/>
            <w:vAlign w:val="bottom"/>
          </w:tcPr>
          <w:p w14:paraId="1F8F2486" w14:textId="77777777" w:rsidR="00D00B16" w:rsidRDefault="00365F6D">
            <w:pPr>
              <w:rPr>
                <w:sz w:val="20"/>
                <w:szCs w:val="20"/>
              </w:rPr>
            </w:pPr>
            <w:r>
              <w:rPr>
                <w:sz w:val="20"/>
                <w:szCs w:val="20"/>
              </w:rPr>
              <w:t>.0033</w:t>
            </w:r>
          </w:p>
        </w:tc>
        <w:tc>
          <w:tcPr>
            <w:tcW w:w="1117" w:type="dxa"/>
            <w:tcBorders>
              <w:top w:val="nil"/>
              <w:left w:val="nil"/>
              <w:bottom w:val="nil"/>
              <w:right w:val="nil"/>
            </w:tcBorders>
            <w:shd w:val="clear" w:color="auto" w:fill="auto"/>
            <w:vAlign w:val="bottom"/>
          </w:tcPr>
          <w:p w14:paraId="5178F063" w14:textId="77777777" w:rsidR="00D00B16" w:rsidRDefault="00365F6D">
            <w:pPr>
              <w:rPr>
                <w:sz w:val="20"/>
                <w:szCs w:val="20"/>
              </w:rPr>
            </w:pPr>
            <w:r>
              <w:rPr>
                <w:sz w:val="20"/>
                <w:szCs w:val="20"/>
              </w:rPr>
              <w:t>.0164*</w:t>
            </w:r>
          </w:p>
        </w:tc>
        <w:tc>
          <w:tcPr>
            <w:tcW w:w="1117" w:type="dxa"/>
            <w:tcBorders>
              <w:top w:val="nil"/>
              <w:left w:val="nil"/>
              <w:bottom w:val="nil"/>
              <w:right w:val="nil"/>
            </w:tcBorders>
            <w:shd w:val="clear" w:color="auto" w:fill="auto"/>
            <w:vAlign w:val="bottom"/>
          </w:tcPr>
          <w:p w14:paraId="27AAD949" w14:textId="77777777" w:rsidR="00D00B16" w:rsidRDefault="00365F6D">
            <w:pPr>
              <w:rPr>
                <w:sz w:val="20"/>
                <w:szCs w:val="20"/>
              </w:rPr>
            </w:pPr>
            <w:r>
              <w:rPr>
                <w:sz w:val="20"/>
                <w:szCs w:val="20"/>
              </w:rPr>
              <w:t>.0166*</w:t>
            </w:r>
          </w:p>
        </w:tc>
      </w:tr>
      <w:tr w:rsidR="00D00B16" w14:paraId="144CCAB0" w14:textId="77777777">
        <w:trPr>
          <w:trHeight w:val="280"/>
        </w:trPr>
        <w:tc>
          <w:tcPr>
            <w:tcW w:w="2621" w:type="dxa"/>
            <w:tcBorders>
              <w:top w:val="nil"/>
              <w:left w:val="nil"/>
              <w:bottom w:val="nil"/>
              <w:right w:val="nil"/>
            </w:tcBorders>
            <w:shd w:val="clear" w:color="auto" w:fill="auto"/>
            <w:vAlign w:val="bottom"/>
          </w:tcPr>
          <w:p w14:paraId="28FD5F21" w14:textId="77777777" w:rsidR="00D00B16" w:rsidRDefault="00D00B16">
            <w:pPr>
              <w:jc w:val="center"/>
              <w:rPr>
                <w:sz w:val="20"/>
                <w:szCs w:val="20"/>
              </w:rPr>
            </w:pPr>
          </w:p>
        </w:tc>
        <w:tc>
          <w:tcPr>
            <w:tcW w:w="1138" w:type="dxa"/>
            <w:tcBorders>
              <w:top w:val="nil"/>
              <w:left w:val="nil"/>
              <w:bottom w:val="nil"/>
              <w:right w:val="nil"/>
            </w:tcBorders>
            <w:shd w:val="clear" w:color="auto" w:fill="auto"/>
            <w:vAlign w:val="bottom"/>
          </w:tcPr>
          <w:p w14:paraId="1B3748FC" w14:textId="77777777" w:rsidR="00D00B16" w:rsidRDefault="00365F6D">
            <w:pPr>
              <w:rPr>
                <w:sz w:val="20"/>
                <w:szCs w:val="20"/>
              </w:rPr>
            </w:pPr>
            <w:r>
              <w:rPr>
                <w:sz w:val="20"/>
                <w:szCs w:val="20"/>
              </w:rPr>
              <w:t>(.0023)</w:t>
            </w:r>
          </w:p>
        </w:tc>
        <w:tc>
          <w:tcPr>
            <w:tcW w:w="1029" w:type="dxa"/>
            <w:tcBorders>
              <w:top w:val="nil"/>
              <w:left w:val="nil"/>
              <w:bottom w:val="nil"/>
              <w:right w:val="nil"/>
            </w:tcBorders>
            <w:shd w:val="clear" w:color="auto" w:fill="auto"/>
            <w:vAlign w:val="bottom"/>
          </w:tcPr>
          <w:p w14:paraId="32F7B6C7" w14:textId="77777777" w:rsidR="00D00B16" w:rsidRDefault="00365F6D">
            <w:pPr>
              <w:rPr>
                <w:sz w:val="20"/>
                <w:szCs w:val="20"/>
              </w:rPr>
            </w:pPr>
            <w:r>
              <w:rPr>
                <w:sz w:val="20"/>
                <w:szCs w:val="20"/>
              </w:rPr>
              <w:t>(.0071)</w:t>
            </w:r>
          </w:p>
        </w:tc>
        <w:tc>
          <w:tcPr>
            <w:tcW w:w="1028" w:type="dxa"/>
            <w:tcBorders>
              <w:top w:val="nil"/>
              <w:left w:val="nil"/>
              <w:bottom w:val="nil"/>
              <w:right w:val="nil"/>
            </w:tcBorders>
            <w:shd w:val="clear" w:color="auto" w:fill="auto"/>
            <w:vAlign w:val="bottom"/>
          </w:tcPr>
          <w:p w14:paraId="642BB1DA" w14:textId="77777777" w:rsidR="00D00B16" w:rsidRDefault="00365F6D">
            <w:pPr>
              <w:rPr>
                <w:sz w:val="20"/>
                <w:szCs w:val="20"/>
              </w:rPr>
            </w:pPr>
            <w:r>
              <w:rPr>
                <w:sz w:val="20"/>
                <w:szCs w:val="20"/>
              </w:rPr>
              <w:t>(.0071)</w:t>
            </w:r>
          </w:p>
        </w:tc>
        <w:tc>
          <w:tcPr>
            <w:tcW w:w="1136" w:type="dxa"/>
            <w:tcBorders>
              <w:top w:val="nil"/>
              <w:left w:val="nil"/>
              <w:bottom w:val="nil"/>
              <w:right w:val="nil"/>
            </w:tcBorders>
            <w:shd w:val="clear" w:color="auto" w:fill="auto"/>
            <w:vAlign w:val="bottom"/>
          </w:tcPr>
          <w:p w14:paraId="7B52F5EC" w14:textId="77777777" w:rsidR="00D00B16" w:rsidRDefault="00365F6D">
            <w:pPr>
              <w:rPr>
                <w:sz w:val="20"/>
                <w:szCs w:val="20"/>
              </w:rPr>
            </w:pPr>
            <w:r>
              <w:rPr>
                <w:sz w:val="20"/>
                <w:szCs w:val="20"/>
              </w:rPr>
              <w:t>(.0080)</w:t>
            </w:r>
          </w:p>
        </w:tc>
        <w:tc>
          <w:tcPr>
            <w:tcW w:w="1136" w:type="dxa"/>
            <w:tcBorders>
              <w:top w:val="nil"/>
              <w:left w:val="nil"/>
              <w:bottom w:val="nil"/>
              <w:right w:val="nil"/>
            </w:tcBorders>
            <w:shd w:val="clear" w:color="auto" w:fill="auto"/>
            <w:vAlign w:val="bottom"/>
          </w:tcPr>
          <w:p w14:paraId="38B156FF" w14:textId="77777777" w:rsidR="00D00B16" w:rsidRDefault="00365F6D">
            <w:pPr>
              <w:rPr>
                <w:sz w:val="20"/>
                <w:szCs w:val="20"/>
              </w:rPr>
            </w:pPr>
            <w:r>
              <w:rPr>
                <w:sz w:val="20"/>
                <w:szCs w:val="20"/>
              </w:rPr>
              <w:t>(.0066)</w:t>
            </w:r>
          </w:p>
        </w:tc>
        <w:tc>
          <w:tcPr>
            <w:tcW w:w="1117" w:type="dxa"/>
            <w:tcBorders>
              <w:top w:val="nil"/>
              <w:left w:val="nil"/>
              <w:bottom w:val="nil"/>
              <w:right w:val="nil"/>
            </w:tcBorders>
            <w:shd w:val="clear" w:color="auto" w:fill="auto"/>
            <w:vAlign w:val="bottom"/>
          </w:tcPr>
          <w:p w14:paraId="06633CA6" w14:textId="77777777" w:rsidR="00D00B16" w:rsidRDefault="00365F6D">
            <w:pPr>
              <w:rPr>
                <w:sz w:val="20"/>
                <w:szCs w:val="20"/>
              </w:rPr>
            </w:pPr>
            <w:r>
              <w:rPr>
                <w:sz w:val="20"/>
                <w:szCs w:val="20"/>
              </w:rPr>
              <w:t>(.0076)</w:t>
            </w:r>
          </w:p>
        </w:tc>
        <w:tc>
          <w:tcPr>
            <w:tcW w:w="1117" w:type="dxa"/>
            <w:tcBorders>
              <w:top w:val="nil"/>
              <w:left w:val="nil"/>
              <w:bottom w:val="nil"/>
              <w:right w:val="nil"/>
            </w:tcBorders>
            <w:shd w:val="clear" w:color="auto" w:fill="auto"/>
            <w:vAlign w:val="bottom"/>
          </w:tcPr>
          <w:p w14:paraId="281A4EC6" w14:textId="77777777" w:rsidR="00D00B16" w:rsidRDefault="00365F6D">
            <w:pPr>
              <w:rPr>
                <w:sz w:val="20"/>
                <w:szCs w:val="20"/>
              </w:rPr>
            </w:pPr>
            <w:r>
              <w:rPr>
                <w:sz w:val="20"/>
                <w:szCs w:val="20"/>
              </w:rPr>
              <w:t>(.0077)</w:t>
            </w:r>
          </w:p>
        </w:tc>
      </w:tr>
      <w:tr w:rsidR="00D00B16" w14:paraId="6C977F79" w14:textId="77777777">
        <w:trPr>
          <w:trHeight w:val="280"/>
        </w:trPr>
        <w:tc>
          <w:tcPr>
            <w:tcW w:w="2621" w:type="dxa"/>
            <w:tcBorders>
              <w:top w:val="nil"/>
              <w:left w:val="nil"/>
              <w:bottom w:val="single" w:sz="4" w:space="0" w:color="000000"/>
              <w:right w:val="nil"/>
            </w:tcBorders>
            <w:shd w:val="clear" w:color="auto" w:fill="auto"/>
            <w:vAlign w:val="bottom"/>
          </w:tcPr>
          <w:p w14:paraId="610883B9" w14:textId="77777777" w:rsidR="00D00B16" w:rsidRDefault="00365F6D">
            <w:pPr>
              <w:rPr>
                <w:i/>
                <w:sz w:val="20"/>
                <w:szCs w:val="20"/>
              </w:rPr>
            </w:pPr>
            <w:r>
              <w:rPr>
                <w:i/>
                <w:sz w:val="20"/>
                <w:szCs w:val="20"/>
              </w:rPr>
              <w:t>R-squared</w:t>
            </w:r>
          </w:p>
        </w:tc>
        <w:tc>
          <w:tcPr>
            <w:tcW w:w="1138" w:type="dxa"/>
            <w:tcBorders>
              <w:top w:val="nil"/>
              <w:left w:val="nil"/>
              <w:bottom w:val="single" w:sz="4" w:space="0" w:color="000000"/>
              <w:right w:val="nil"/>
            </w:tcBorders>
            <w:shd w:val="clear" w:color="auto" w:fill="auto"/>
            <w:vAlign w:val="bottom"/>
          </w:tcPr>
          <w:p w14:paraId="1EB23C7B" w14:textId="77777777" w:rsidR="00D00B16" w:rsidRDefault="00365F6D">
            <w:pPr>
              <w:rPr>
                <w:sz w:val="20"/>
                <w:szCs w:val="20"/>
              </w:rPr>
            </w:pPr>
            <w:r>
              <w:rPr>
                <w:sz w:val="20"/>
                <w:szCs w:val="20"/>
              </w:rPr>
              <w:t>.08</w:t>
            </w:r>
          </w:p>
        </w:tc>
        <w:tc>
          <w:tcPr>
            <w:tcW w:w="1029" w:type="dxa"/>
            <w:tcBorders>
              <w:top w:val="nil"/>
              <w:left w:val="nil"/>
              <w:bottom w:val="single" w:sz="4" w:space="0" w:color="000000"/>
              <w:right w:val="nil"/>
            </w:tcBorders>
            <w:shd w:val="clear" w:color="auto" w:fill="auto"/>
            <w:vAlign w:val="bottom"/>
          </w:tcPr>
          <w:p w14:paraId="36C70038" w14:textId="77777777" w:rsidR="00D00B16" w:rsidRDefault="00365F6D">
            <w:pPr>
              <w:rPr>
                <w:sz w:val="20"/>
                <w:szCs w:val="20"/>
              </w:rPr>
            </w:pPr>
            <w:r>
              <w:rPr>
                <w:sz w:val="20"/>
                <w:szCs w:val="20"/>
              </w:rPr>
              <w:t>.05</w:t>
            </w:r>
          </w:p>
        </w:tc>
        <w:tc>
          <w:tcPr>
            <w:tcW w:w="1028" w:type="dxa"/>
            <w:tcBorders>
              <w:top w:val="nil"/>
              <w:left w:val="nil"/>
              <w:bottom w:val="single" w:sz="4" w:space="0" w:color="000000"/>
              <w:right w:val="nil"/>
            </w:tcBorders>
            <w:shd w:val="clear" w:color="auto" w:fill="auto"/>
            <w:vAlign w:val="bottom"/>
          </w:tcPr>
          <w:p w14:paraId="0B602D67" w14:textId="77777777" w:rsidR="00D00B16" w:rsidRDefault="00365F6D">
            <w:pPr>
              <w:rPr>
                <w:sz w:val="20"/>
                <w:szCs w:val="20"/>
              </w:rPr>
            </w:pPr>
            <w:r>
              <w:rPr>
                <w:sz w:val="20"/>
                <w:szCs w:val="20"/>
              </w:rPr>
              <w:t>.06</w:t>
            </w:r>
          </w:p>
        </w:tc>
        <w:tc>
          <w:tcPr>
            <w:tcW w:w="1136" w:type="dxa"/>
            <w:tcBorders>
              <w:top w:val="nil"/>
              <w:left w:val="nil"/>
              <w:bottom w:val="single" w:sz="4" w:space="0" w:color="000000"/>
              <w:right w:val="nil"/>
            </w:tcBorders>
            <w:shd w:val="clear" w:color="auto" w:fill="auto"/>
            <w:vAlign w:val="bottom"/>
          </w:tcPr>
          <w:p w14:paraId="03BA7FB8" w14:textId="77777777" w:rsidR="00D00B16" w:rsidRDefault="00365F6D">
            <w:pPr>
              <w:rPr>
                <w:sz w:val="20"/>
                <w:szCs w:val="20"/>
              </w:rPr>
            </w:pPr>
            <w:r>
              <w:rPr>
                <w:sz w:val="20"/>
                <w:szCs w:val="20"/>
              </w:rPr>
              <w:t>.11</w:t>
            </w:r>
          </w:p>
        </w:tc>
        <w:tc>
          <w:tcPr>
            <w:tcW w:w="1136" w:type="dxa"/>
            <w:tcBorders>
              <w:top w:val="nil"/>
              <w:left w:val="nil"/>
              <w:bottom w:val="single" w:sz="4" w:space="0" w:color="000000"/>
              <w:right w:val="nil"/>
            </w:tcBorders>
            <w:shd w:val="clear" w:color="auto" w:fill="auto"/>
            <w:vAlign w:val="bottom"/>
          </w:tcPr>
          <w:p w14:paraId="24C26B45" w14:textId="77777777" w:rsidR="00D00B16" w:rsidRDefault="00365F6D">
            <w:pPr>
              <w:rPr>
                <w:sz w:val="20"/>
                <w:szCs w:val="20"/>
              </w:rPr>
            </w:pPr>
            <w:r>
              <w:rPr>
                <w:sz w:val="20"/>
                <w:szCs w:val="20"/>
              </w:rPr>
              <w:t>.04</w:t>
            </w:r>
          </w:p>
        </w:tc>
        <w:tc>
          <w:tcPr>
            <w:tcW w:w="1117" w:type="dxa"/>
            <w:tcBorders>
              <w:top w:val="nil"/>
              <w:left w:val="nil"/>
              <w:bottom w:val="single" w:sz="4" w:space="0" w:color="000000"/>
              <w:right w:val="nil"/>
            </w:tcBorders>
            <w:shd w:val="clear" w:color="auto" w:fill="auto"/>
            <w:vAlign w:val="bottom"/>
          </w:tcPr>
          <w:p w14:paraId="5199FD19" w14:textId="77777777" w:rsidR="00D00B16" w:rsidRDefault="00365F6D">
            <w:pPr>
              <w:rPr>
                <w:sz w:val="20"/>
                <w:szCs w:val="20"/>
              </w:rPr>
            </w:pPr>
            <w:r>
              <w:rPr>
                <w:sz w:val="20"/>
                <w:szCs w:val="20"/>
              </w:rPr>
              <w:t>.17</w:t>
            </w:r>
          </w:p>
        </w:tc>
        <w:tc>
          <w:tcPr>
            <w:tcW w:w="1117" w:type="dxa"/>
            <w:tcBorders>
              <w:top w:val="nil"/>
              <w:left w:val="nil"/>
              <w:bottom w:val="single" w:sz="4" w:space="0" w:color="000000"/>
              <w:right w:val="nil"/>
            </w:tcBorders>
            <w:shd w:val="clear" w:color="auto" w:fill="auto"/>
            <w:vAlign w:val="bottom"/>
          </w:tcPr>
          <w:p w14:paraId="1B8F896B" w14:textId="77777777" w:rsidR="00D00B16" w:rsidRDefault="00365F6D">
            <w:pPr>
              <w:rPr>
                <w:sz w:val="20"/>
                <w:szCs w:val="20"/>
              </w:rPr>
            </w:pPr>
            <w:r>
              <w:rPr>
                <w:sz w:val="20"/>
                <w:szCs w:val="20"/>
              </w:rPr>
              <w:t>.17</w:t>
            </w:r>
          </w:p>
        </w:tc>
      </w:tr>
    </w:tbl>
    <w:p w14:paraId="0B02283E" w14:textId="77777777" w:rsidR="00D00B16" w:rsidRDefault="00365F6D">
      <w:pPr>
        <w:ind w:left="-270"/>
        <w:rPr>
          <w:sz w:val="20"/>
          <w:szCs w:val="20"/>
        </w:rPr>
      </w:pPr>
      <w:r>
        <w:rPr>
          <w:sz w:val="20"/>
          <w:szCs w:val="20"/>
        </w:rPr>
        <w:t>Standard errors (clustered at state-level) in parentheses</w:t>
      </w:r>
    </w:p>
    <w:p w14:paraId="6CCE798F" w14:textId="77777777" w:rsidR="00D00B16" w:rsidRDefault="00365F6D">
      <w:pPr>
        <w:ind w:left="-270"/>
        <w:rPr>
          <w:sz w:val="20"/>
          <w:szCs w:val="20"/>
        </w:rPr>
      </w:pPr>
      <w:r>
        <w:rPr>
          <w:sz w:val="20"/>
          <w:szCs w:val="20"/>
        </w:rPr>
        <w:t xml:space="preserve">*** p&lt;0.001, ** p&lt;0.01, * p&lt;0.05, </w:t>
      </w:r>
      <w:r>
        <w:rPr>
          <w:b/>
          <w:sz w:val="20"/>
          <w:szCs w:val="20"/>
          <w:vertAlign w:val="superscript"/>
        </w:rPr>
        <w:t>+</w:t>
      </w:r>
      <w:r>
        <w:rPr>
          <w:sz w:val="20"/>
          <w:szCs w:val="20"/>
        </w:rPr>
        <w:t>p&lt;.10</w:t>
      </w:r>
    </w:p>
    <w:p w14:paraId="481A5524" w14:textId="77777777" w:rsidR="00D00B16" w:rsidRDefault="00365F6D">
      <w:pPr>
        <w:ind w:left="-270"/>
        <w:rPr>
          <w:sz w:val="20"/>
          <w:szCs w:val="20"/>
        </w:rPr>
      </w:pPr>
      <w:r>
        <w:rPr>
          <w:sz w:val="20"/>
          <w:szCs w:val="20"/>
        </w:rPr>
        <w:t>Sources: U.S. Census (2010), Community Foundation Atlas (2017), Community Foundation Websites (2017), Council on Foundations (2017), Foundation Center (2017), Internal Revenue Service (2017), National Center for Charitable Statistics (2017).</w:t>
      </w:r>
    </w:p>
    <w:p w14:paraId="35411906" w14:textId="77777777" w:rsidR="00D00B16" w:rsidRDefault="00D00B16">
      <w:pPr>
        <w:ind w:left="-270"/>
        <w:rPr>
          <w:sz w:val="20"/>
          <w:szCs w:val="20"/>
        </w:rPr>
      </w:pPr>
    </w:p>
    <w:p w14:paraId="1D69D7F1" w14:textId="77777777" w:rsidR="00D00B16" w:rsidRDefault="00365F6D" w:rsidP="009D370D">
      <w:pPr>
        <w:rPr>
          <w:sz w:val="20"/>
          <w:szCs w:val="20"/>
        </w:rPr>
      </w:pPr>
      <w:r>
        <w:br w:type="page"/>
      </w:r>
    </w:p>
    <w:p w14:paraId="008E0D73" w14:textId="77777777" w:rsidR="00D00B16" w:rsidRDefault="009D370D">
      <w:pPr>
        <w:rPr>
          <w:sz w:val="20"/>
          <w:szCs w:val="20"/>
        </w:rPr>
      </w:pPr>
      <w:r>
        <w:rPr>
          <w:noProof/>
          <w:sz w:val="20"/>
          <w:szCs w:val="20"/>
        </w:rPr>
        <w:lastRenderedPageBreak/>
        <w:drawing>
          <wp:inline distT="0" distB="0" distL="0" distR="0" wp14:anchorId="3992D00C" wp14:editId="50441F32">
            <wp:extent cx="7720494" cy="6249670"/>
            <wp:effectExtent l="0" t="127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visualization_02_RandR.pdf"/>
                    <pic:cNvPicPr/>
                  </pic:nvPicPr>
                  <pic:blipFill>
                    <a:blip r:embed="rId15">
                      <a:extLst>
                        <a:ext uri="{28A0092B-C50C-407E-A947-70E740481C1C}">
                          <a14:useLocalDpi xmlns:a14="http://schemas.microsoft.com/office/drawing/2010/main" val="0"/>
                        </a:ext>
                      </a:extLst>
                    </a:blip>
                    <a:stretch>
                      <a:fillRect/>
                    </a:stretch>
                  </pic:blipFill>
                  <pic:spPr>
                    <a:xfrm rot="5400000">
                      <a:off x="0" y="0"/>
                      <a:ext cx="7743521" cy="6268311"/>
                    </a:xfrm>
                    <a:prstGeom prst="rect">
                      <a:avLst/>
                    </a:prstGeom>
                  </pic:spPr>
                </pic:pic>
              </a:graphicData>
            </a:graphic>
          </wp:inline>
        </w:drawing>
      </w:r>
    </w:p>
    <w:p w14:paraId="64A6A089" w14:textId="77777777" w:rsidR="00D00B16" w:rsidRDefault="00365F6D">
      <w:pPr>
        <w:rPr>
          <w:sz w:val="22"/>
          <w:szCs w:val="22"/>
        </w:rPr>
      </w:pPr>
      <w:r>
        <w:rPr>
          <w:sz w:val="22"/>
          <w:szCs w:val="22"/>
        </w:rPr>
        <w:t>Figure 1. Marginal Effect Sizes of Predictors of Community Foundation Website Advocacy, OLS Models (N=590)</w:t>
      </w:r>
    </w:p>
    <w:p w14:paraId="6769849B" w14:textId="77777777" w:rsidR="00D00B16" w:rsidRDefault="00D00B16">
      <w:pPr>
        <w:rPr>
          <w:sz w:val="22"/>
          <w:szCs w:val="22"/>
        </w:rPr>
      </w:pPr>
    </w:p>
    <w:p w14:paraId="561115A2" w14:textId="77777777" w:rsidR="00D00B16" w:rsidRDefault="00365F6D">
      <w:pPr>
        <w:rPr>
          <w:sz w:val="22"/>
          <w:szCs w:val="22"/>
          <w:u w:val="single"/>
        </w:rPr>
      </w:pPr>
      <w:r>
        <w:br w:type="page"/>
      </w:r>
    </w:p>
    <w:p w14:paraId="6877D432" w14:textId="77777777" w:rsidR="00D00B16" w:rsidRDefault="00365F6D">
      <w:pPr>
        <w:rPr>
          <w:sz w:val="22"/>
          <w:szCs w:val="22"/>
          <w:u w:val="single"/>
        </w:rPr>
      </w:pPr>
      <w:r>
        <w:rPr>
          <w:sz w:val="22"/>
          <w:szCs w:val="22"/>
          <w:u w:val="single"/>
        </w:rPr>
        <w:lastRenderedPageBreak/>
        <w:t>Appendix A</w:t>
      </w:r>
    </w:p>
    <w:p w14:paraId="58147507" w14:textId="77777777" w:rsidR="00D00B16" w:rsidRDefault="00365F6D">
      <w:pPr>
        <w:rPr>
          <w:sz w:val="22"/>
          <w:szCs w:val="22"/>
        </w:rPr>
      </w:pPr>
      <w:r>
        <w:rPr>
          <w:color w:val="000000"/>
          <w:sz w:val="22"/>
          <w:szCs w:val="22"/>
        </w:rPr>
        <w:t>We provide here the list of the terms we used to identify, among all 1,444,226 sentences, advocacy discourse. Note that in order to perform this task, these terms and all words in the complete corpus of sentences were stemmed using a Porter stemmer. As an example, the first stem “</w:t>
      </w:r>
      <w:proofErr w:type="spellStart"/>
      <w:r>
        <w:rPr>
          <w:color w:val="000000"/>
          <w:sz w:val="22"/>
          <w:szCs w:val="22"/>
        </w:rPr>
        <w:t>advoc</w:t>
      </w:r>
      <w:proofErr w:type="spellEnd"/>
      <w:r>
        <w:rPr>
          <w:color w:val="000000"/>
          <w:sz w:val="22"/>
          <w:szCs w:val="22"/>
        </w:rPr>
        <w:t>” allowed us to find sentences that had the word advocacy but also the word advocate in them.</w:t>
      </w:r>
    </w:p>
    <w:p w14:paraId="23DA78D8" w14:textId="77777777" w:rsidR="00D00B16" w:rsidRDefault="00365F6D">
      <w:pPr>
        <w:numPr>
          <w:ilvl w:val="0"/>
          <w:numId w:val="1"/>
        </w:numPr>
        <w:rPr>
          <w:color w:val="000000"/>
        </w:rPr>
      </w:pPr>
      <w:proofErr w:type="spellStart"/>
      <w:r>
        <w:rPr>
          <w:color w:val="000000"/>
          <w:sz w:val="22"/>
          <w:szCs w:val="22"/>
        </w:rPr>
        <w:t>advoc</w:t>
      </w:r>
      <w:proofErr w:type="spellEnd"/>
    </w:p>
    <w:p w14:paraId="0F5AAE25" w14:textId="77777777" w:rsidR="00D00B16" w:rsidRDefault="00365F6D">
      <w:pPr>
        <w:numPr>
          <w:ilvl w:val="0"/>
          <w:numId w:val="1"/>
        </w:numPr>
        <w:rPr>
          <w:color w:val="000000"/>
        </w:rPr>
      </w:pPr>
      <w:proofErr w:type="spellStart"/>
      <w:r>
        <w:rPr>
          <w:color w:val="000000"/>
          <w:sz w:val="22"/>
          <w:szCs w:val="22"/>
        </w:rPr>
        <w:t>advocaci</w:t>
      </w:r>
      <w:proofErr w:type="spellEnd"/>
    </w:p>
    <w:p w14:paraId="24D77358" w14:textId="77777777" w:rsidR="00D00B16" w:rsidRDefault="00365F6D">
      <w:pPr>
        <w:numPr>
          <w:ilvl w:val="0"/>
          <w:numId w:val="1"/>
        </w:numPr>
        <w:rPr>
          <w:color w:val="000000"/>
        </w:rPr>
      </w:pPr>
      <w:proofErr w:type="spellStart"/>
      <w:r>
        <w:rPr>
          <w:color w:val="000000"/>
          <w:sz w:val="22"/>
          <w:szCs w:val="22"/>
        </w:rPr>
        <w:t>lobbi</w:t>
      </w:r>
      <w:proofErr w:type="spellEnd"/>
    </w:p>
    <w:p w14:paraId="7870CFC1" w14:textId="77777777" w:rsidR="00D00B16" w:rsidRDefault="00365F6D">
      <w:pPr>
        <w:numPr>
          <w:ilvl w:val="0"/>
          <w:numId w:val="1"/>
        </w:numPr>
        <w:rPr>
          <w:color w:val="000000"/>
        </w:rPr>
      </w:pPr>
      <w:r>
        <w:rPr>
          <w:color w:val="000000"/>
          <w:sz w:val="22"/>
          <w:szCs w:val="22"/>
        </w:rPr>
        <w:t xml:space="preserve">public </w:t>
      </w:r>
      <w:proofErr w:type="spellStart"/>
      <w:r>
        <w:rPr>
          <w:color w:val="000000"/>
          <w:sz w:val="22"/>
          <w:szCs w:val="22"/>
        </w:rPr>
        <w:t>educ</w:t>
      </w:r>
      <w:proofErr w:type="spellEnd"/>
    </w:p>
    <w:p w14:paraId="1ADF28AF" w14:textId="77777777" w:rsidR="00D00B16" w:rsidRDefault="00365F6D">
      <w:pPr>
        <w:numPr>
          <w:ilvl w:val="0"/>
          <w:numId w:val="1"/>
        </w:numPr>
        <w:rPr>
          <w:color w:val="000000"/>
        </w:rPr>
      </w:pPr>
      <w:r>
        <w:rPr>
          <w:color w:val="000000"/>
          <w:sz w:val="22"/>
          <w:szCs w:val="22"/>
        </w:rPr>
        <w:t xml:space="preserve">public </w:t>
      </w:r>
      <w:proofErr w:type="spellStart"/>
      <w:r>
        <w:rPr>
          <w:color w:val="000000"/>
          <w:sz w:val="22"/>
          <w:szCs w:val="22"/>
        </w:rPr>
        <w:t>polici</w:t>
      </w:r>
      <w:proofErr w:type="spellEnd"/>
    </w:p>
    <w:p w14:paraId="7E2887EE" w14:textId="77777777" w:rsidR="00D00B16" w:rsidRDefault="00365F6D">
      <w:pPr>
        <w:numPr>
          <w:ilvl w:val="0"/>
          <w:numId w:val="1"/>
        </w:numPr>
        <w:rPr>
          <w:color w:val="000000"/>
        </w:rPr>
      </w:pPr>
      <w:proofErr w:type="spellStart"/>
      <w:r>
        <w:rPr>
          <w:color w:val="000000"/>
          <w:sz w:val="22"/>
          <w:szCs w:val="22"/>
        </w:rPr>
        <w:t>justic</w:t>
      </w:r>
      <w:proofErr w:type="spellEnd"/>
    </w:p>
    <w:p w14:paraId="73F3A4CD" w14:textId="77777777" w:rsidR="00D00B16" w:rsidRDefault="00365F6D">
      <w:pPr>
        <w:numPr>
          <w:ilvl w:val="0"/>
          <w:numId w:val="1"/>
        </w:numPr>
        <w:rPr>
          <w:color w:val="000000"/>
        </w:rPr>
      </w:pPr>
      <w:r>
        <w:rPr>
          <w:color w:val="000000"/>
          <w:sz w:val="22"/>
          <w:szCs w:val="22"/>
        </w:rPr>
        <w:t>civil rights</w:t>
      </w:r>
    </w:p>
    <w:p w14:paraId="650649AD" w14:textId="77777777" w:rsidR="00D00B16" w:rsidRDefault="00365F6D">
      <w:pPr>
        <w:numPr>
          <w:ilvl w:val="0"/>
          <w:numId w:val="1"/>
        </w:numPr>
        <w:rPr>
          <w:color w:val="000000"/>
        </w:rPr>
      </w:pPr>
      <w:r>
        <w:rPr>
          <w:color w:val="000000"/>
          <w:sz w:val="22"/>
          <w:szCs w:val="22"/>
        </w:rPr>
        <w:t xml:space="preserve">reform </w:t>
      </w:r>
      <w:proofErr w:type="spellStart"/>
      <w:r>
        <w:rPr>
          <w:color w:val="000000"/>
          <w:sz w:val="22"/>
          <w:szCs w:val="22"/>
        </w:rPr>
        <w:t>mobil</w:t>
      </w:r>
      <w:proofErr w:type="spellEnd"/>
    </w:p>
    <w:p w14:paraId="3D455FC5" w14:textId="77777777" w:rsidR="00D00B16" w:rsidRDefault="00365F6D">
      <w:pPr>
        <w:numPr>
          <w:ilvl w:val="0"/>
          <w:numId w:val="1"/>
        </w:numPr>
        <w:rPr>
          <w:color w:val="000000"/>
        </w:rPr>
      </w:pPr>
      <w:r>
        <w:rPr>
          <w:color w:val="000000"/>
          <w:sz w:val="22"/>
          <w:szCs w:val="22"/>
        </w:rPr>
        <w:t>protest</w:t>
      </w:r>
    </w:p>
    <w:p w14:paraId="2977CDF4" w14:textId="77777777" w:rsidR="00D00B16" w:rsidRDefault="00365F6D">
      <w:pPr>
        <w:numPr>
          <w:ilvl w:val="0"/>
          <w:numId w:val="1"/>
        </w:numPr>
        <w:rPr>
          <w:color w:val="000000"/>
        </w:rPr>
      </w:pPr>
      <w:proofErr w:type="spellStart"/>
      <w:r>
        <w:rPr>
          <w:color w:val="000000"/>
          <w:sz w:val="22"/>
          <w:szCs w:val="22"/>
        </w:rPr>
        <w:t>ralli</w:t>
      </w:r>
      <w:proofErr w:type="spellEnd"/>
    </w:p>
    <w:p w14:paraId="7424C4C2" w14:textId="77777777" w:rsidR="00D00B16" w:rsidRDefault="00365F6D">
      <w:pPr>
        <w:numPr>
          <w:ilvl w:val="0"/>
          <w:numId w:val="1"/>
        </w:numPr>
        <w:rPr>
          <w:color w:val="000000"/>
        </w:rPr>
      </w:pPr>
      <w:r>
        <w:rPr>
          <w:color w:val="000000"/>
          <w:sz w:val="22"/>
          <w:szCs w:val="22"/>
        </w:rPr>
        <w:t>public opinion</w:t>
      </w:r>
    </w:p>
    <w:p w14:paraId="419D2C61" w14:textId="77777777" w:rsidR="00D00B16" w:rsidRDefault="00365F6D">
      <w:pPr>
        <w:numPr>
          <w:ilvl w:val="0"/>
          <w:numId w:val="1"/>
        </w:numPr>
        <w:rPr>
          <w:color w:val="000000"/>
        </w:rPr>
      </w:pPr>
      <w:proofErr w:type="spellStart"/>
      <w:r>
        <w:rPr>
          <w:color w:val="000000"/>
          <w:sz w:val="22"/>
          <w:szCs w:val="22"/>
        </w:rPr>
        <w:t>legisl</w:t>
      </w:r>
      <w:proofErr w:type="spellEnd"/>
    </w:p>
    <w:p w14:paraId="45BC6047" w14:textId="77777777" w:rsidR="00D00B16" w:rsidRDefault="00365F6D">
      <w:pPr>
        <w:numPr>
          <w:ilvl w:val="0"/>
          <w:numId w:val="1"/>
        </w:numPr>
        <w:rPr>
          <w:color w:val="000000"/>
        </w:rPr>
      </w:pPr>
      <w:r>
        <w:rPr>
          <w:color w:val="000000"/>
          <w:sz w:val="22"/>
          <w:szCs w:val="22"/>
        </w:rPr>
        <w:t>congress</w:t>
      </w:r>
    </w:p>
    <w:p w14:paraId="66C651DE" w14:textId="77777777" w:rsidR="00D00B16" w:rsidRDefault="00365F6D">
      <w:pPr>
        <w:numPr>
          <w:ilvl w:val="0"/>
          <w:numId w:val="1"/>
        </w:numPr>
        <w:rPr>
          <w:color w:val="000000"/>
        </w:rPr>
      </w:pPr>
      <w:proofErr w:type="spellStart"/>
      <w:r>
        <w:rPr>
          <w:color w:val="000000"/>
          <w:sz w:val="22"/>
          <w:szCs w:val="22"/>
        </w:rPr>
        <w:t>judici</w:t>
      </w:r>
      <w:proofErr w:type="spellEnd"/>
    </w:p>
    <w:p w14:paraId="613F95D3" w14:textId="77777777" w:rsidR="00D00B16" w:rsidRDefault="00365F6D">
      <w:pPr>
        <w:numPr>
          <w:ilvl w:val="0"/>
          <w:numId w:val="1"/>
        </w:numPr>
        <w:rPr>
          <w:color w:val="000000"/>
        </w:rPr>
      </w:pPr>
      <w:r>
        <w:rPr>
          <w:color w:val="000000"/>
          <w:sz w:val="22"/>
          <w:szCs w:val="22"/>
        </w:rPr>
        <w:t>grassroot</w:t>
      </w:r>
    </w:p>
    <w:p w14:paraId="5F63BA3C" w14:textId="77777777" w:rsidR="00D00B16" w:rsidRDefault="00D00B16">
      <w:pPr>
        <w:rPr>
          <w:sz w:val="22"/>
          <w:szCs w:val="22"/>
        </w:rPr>
      </w:pPr>
    </w:p>
    <w:p w14:paraId="0FEC6FEF" w14:textId="77777777" w:rsidR="00D00B16" w:rsidRDefault="00D00B16">
      <w:pPr>
        <w:rPr>
          <w:sz w:val="22"/>
          <w:szCs w:val="22"/>
        </w:rPr>
      </w:pPr>
    </w:p>
    <w:p w14:paraId="7C8ED905" w14:textId="77777777" w:rsidR="00D00B16" w:rsidRDefault="00365F6D">
      <w:pPr>
        <w:rPr>
          <w:sz w:val="22"/>
          <w:szCs w:val="22"/>
          <w:u w:val="single"/>
        </w:rPr>
      </w:pPr>
      <w:r>
        <w:br w:type="page"/>
      </w:r>
    </w:p>
    <w:p w14:paraId="0F2893AC" w14:textId="77777777" w:rsidR="00D00B16" w:rsidRDefault="00365F6D">
      <w:pPr>
        <w:rPr>
          <w:sz w:val="22"/>
          <w:szCs w:val="22"/>
        </w:rPr>
      </w:pPr>
      <w:r>
        <w:rPr>
          <w:sz w:val="22"/>
          <w:szCs w:val="22"/>
          <w:u w:val="single"/>
        </w:rPr>
        <w:lastRenderedPageBreak/>
        <w:t>Appendix B</w:t>
      </w:r>
    </w:p>
    <w:p w14:paraId="22B5F4E5" w14:textId="77777777" w:rsidR="00D00B16" w:rsidRDefault="00365F6D">
      <w:pPr>
        <w:rPr>
          <w:sz w:val="22"/>
          <w:szCs w:val="22"/>
        </w:rPr>
      </w:pPr>
      <w:r>
        <w:rPr>
          <w:color w:val="000000"/>
          <w:sz w:val="22"/>
          <w:szCs w:val="22"/>
        </w:rPr>
        <w:t>We report here the cross-validated accuracy of different pre-processing configurations and machine learning algorithms that motivated our final selections.</w:t>
      </w:r>
      <w:r>
        <w:rPr>
          <w:sz w:val="22"/>
          <w:szCs w:val="22"/>
        </w:rPr>
        <w:t xml:space="preserve"> </w:t>
      </w:r>
      <w:r>
        <w:rPr>
          <w:color w:val="000000"/>
          <w:sz w:val="22"/>
          <w:szCs w:val="22"/>
        </w:rPr>
        <w:t>We tested three different pre-processing configurations and four machine learning models.</w:t>
      </w:r>
    </w:p>
    <w:p w14:paraId="3980ACA4" w14:textId="77777777" w:rsidR="00D00B16" w:rsidRDefault="00D00B16">
      <w:pPr>
        <w:rPr>
          <w:sz w:val="22"/>
          <w:szCs w:val="22"/>
        </w:rPr>
      </w:pPr>
    </w:p>
    <w:p w14:paraId="186BD2F1" w14:textId="77777777" w:rsidR="00D00B16" w:rsidRDefault="00365F6D">
      <w:pPr>
        <w:rPr>
          <w:sz w:val="22"/>
          <w:szCs w:val="22"/>
        </w:rPr>
      </w:pPr>
      <w:r>
        <w:rPr>
          <w:color w:val="000000"/>
          <w:sz w:val="22"/>
          <w:szCs w:val="22"/>
        </w:rPr>
        <w:t>Pre-Processing Configurations</w:t>
      </w:r>
    </w:p>
    <w:tbl>
      <w:tblPr>
        <w:tblStyle w:val="a1"/>
        <w:tblW w:w="9865" w:type="dxa"/>
        <w:tblLayout w:type="fixed"/>
        <w:tblLook w:val="0400" w:firstRow="0" w:lastRow="0" w:firstColumn="0" w:lastColumn="0" w:noHBand="0" w:noVBand="1"/>
      </w:tblPr>
      <w:tblGrid>
        <w:gridCol w:w="7102"/>
        <w:gridCol w:w="927"/>
        <w:gridCol w:w="918"/>
        <w:gridCol w:w="918"/>
      </w:tblGrid>
      <w:tr w:rsidR="00D00B16" w14:paraId="20D7A306" w14:textId="77777777">
        <w:trPr>
          <w:trHeight w:val="340"/>
        </w:trPr>
        <w:tc>
          <w:tcPr>
            <w:tcW w:w="7102" w:type="dxa"/>
            <w:tcBorders>
              <w:bottom w:val="single" w:sz="8" w:space="0" w:color="000000"/>
              <w:right w:val="single" w:sz="8" w:space="0" w:color="000000"/>
            </w:tcBorders>
            <w:tcMar>
              <w:top w:w="100" w:type="dxa"/>
              <w:left w:w="100" w:type="dxa"/>
              <w:bottom w:w="100" w:type="dxa"/>
              <w:right w:w="100" w:type="dxa"/>
            </w:tcMar>
          </w:tcPr>
          <w:p w14:paraId="7B882656" w14:textId="77777777" w:rsidR="00D00B16" w:rsidRDefault="00D00B16">
            <w:pPr>
              <w:rPr>
                <w:sz w:val="22"/>
                <w:szCs w:val="22"/>
              </w:rPr>
            </w:pP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3B9B0" w14:textId="77777777" w:rsidR="00D00B16" w:rsidRDefault="00365F6D">
            <w:pPr>
              <w:jc w:val="center"/>
              <w:rPr>
                <w:sz w:val="22"/>
                <w:szCs w:val="22"/>
              </w:rPr>
            </w:pPr>
            <w:r>
              <w:rPr>
                <w:color w:val="000000"/>
                <w:sz w:val="22"/>
                <w:szCs w:val="22"/>
              </w:rPr>
              <w:t>1</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765F0" w14:textId="77777777" w:rsidR="00D00B16" w:rsidRDefault="00365F6D">
            <w:pPr>
              <w:jc w:val="center"/>
              <w:rPr>
                <w:sz w:val="22"/>
                <w:szCs w:val="22"/>
              </w:rPr>
            </w:pPr>
            <w:r>
              <w:rPr>
                <w:color w:val="000000"/>
                <w:sz w:val="22"/>
                <w:szCs w:val="22"/>
              </w:rPr>
              <w:t>2</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E693A" w14:textId="77777777" w:rsidR="00D00B16" w:rsidRDefault="00365F6D">
            <w:pPr>
              <w:jc w:val="center"/>
              <w:rPr>
                <w:sz w:val="22"/>
                <w:szCs w:val="22"/>
              </w:rPr>
            </w:pPr>
            <w:r>
              <w:rPr>
                <w:color w:val="000000"/>
                <w:sz w:val="22"/>
                <w:szCs w:val="22"/>
              </w:rPr>
              <w:t>3</w:t>
            </w:r>
          </w:p>
        </w:tc>
      </w:tr>
      <w:tr w:rsidR="00D00B16" w14:paraId="3EE1F7CE" w14:textId="77777777">
        <w:trPr>
          <w:trHeight w:val="280"/>
        </w:trPr>
        <w:tc>
          <w:tcPr>
            <w:tcW w:w="7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E590" w14:textId="77777777" w:rsidR="00D00B16" w:rsidRDefault="00365F6D">
            <w:pPr>
              <w:rPr>
                <w:sz w:val="22"/>
                <w:szCs w:val="22"/>
              </w:rPr>
            </w:pPr>
            <w:r>
              <w:rPr>
                <w:color w:val="000000"/>
                <w:sz w:val="22"/>
                <w:szCs w:val="22"/>
              </w:rPr>
              <w:t>Remove punctuation: delete punctuation signs.</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48AA0" w14:textId="77777777" w:rsidR="00D00B16" w:rsidRDefault="00365F6D">
            <w:pPr>
              <w:jc w:val="center"/>
              <w:rPr>
                <w:sz w:val="22"/>
                <w:szCs w:val="22"/>
              </w:rPr>
            </w:pPr>
            <w:r>
              <w:rPr>
                <w:color w:val="000000"/>
                <w:sz w:val="22"/>
                <w:szCs w:val="22"/>
              </w:rPr>
              <w:t>YES</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6D047" w14:textId="77777777" w:rsidR="00D00B16" w:rsidRDefault="00365F6D">
            <w:pPr>
              <w:jc w:val="center"/>
              <w:rPr>
                <w:sz w:val="22"/>
                <w:szCs w:val="22"/>
              </w:rPr>
            </w:pPr>
            <w:r>
              <w:rPr>
                <w:color w:val="000000"/>
                <w:sz w:val="22"/>
                <w:szCs w:val="22"/>
              </w:rPr>
              <w:t>YES</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0F775" w14:textId="77777777" w:rsidR="00D00B16" w:rsidRDefault="00365F6D">
            <w:pPr>
              <w:jc w:val="center"/>
              <w:rPr>
                <w:sz w:val="22"/>
                <w:szCs w:val="22"/>
              </w:rPr>
            </w:pPr>
            <w:r>
              <w:rPr>
                <w:color w:val="000000"/>
                <w:sz w:val="22"/>
                <w:szCs w:val="22"/>
              </w:rPr>
              <w:t>YES</w:t>
            </w:r>
          </w:p>
        </w:tc>
      </w:tr>
      <w:tr w:rsidR="00D00B16" w14:paraId="3BEFAF38" w14:textId="77777777">
        <w:trPr>
          <w:trHeight w:val="260"/>
        </w:trPr>
        <w:tc>
          <w:tcPr>
            <w:tcW w:w="7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C6B6E" w14:textId="77777777" w:rsidR="00D00B16" w:rsidRDefault="00365F6D">
            <w:pPr>
              <w:rPr>
                <w:sz w:val="22"/>
                <w:szCs w:val="22"/>
              </w:rPr>
            </w:pPr>
            <w:r>
              <w:rPr>
                <w:color w:val="000000"/>
                <w:sz w:val="22"/>
                <w:szCs w:val="22"/>
              </w:rPr>
              <w:t>Remove numbers: delete numbers present in the text</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253BE" w14:textId="77777777" w:rsidR="00D00B16" w:rsidRDefault="00365F6D">
            <w:pPr>
              <w:jc w:val="center"/>
              <w:rPr>
                <w:sz w:val="22"/>
                <w:szCs w:val="22"/>
              </w:rPr>
            </w:pPr>
            <w:r>
              <w:rPr>
                <w:color w:val="000000"/>
                <w:sz w:val="22"/>
                <w:szCs w:val="22"/>
              </w:rPr>
              <w:t>YES</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398BC" w14:textId="77777777" w:rsidR="00D00B16" w:rsidRDefault="00365F6D">
            <w:pPr>
              <w:jc w:val="center"/>
              <w:rPr>
                <w:sz w:val="22"/>
                <w:szCs w:val="22"/>
              </w:rPr>
            </w:pPr>
            <w:r>
              <w:rPr>
                <w:color w:val="000000"/>
                <w:sz w:val="22"/>
                <w:szCs w:val="22"/>
              </w:rPr>
              <w:t>YES</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72FC1" w14:textId="77777777" w:rsidR="00D00B16" w:rsidRDefault="00365F6D">
            <w:pPr>
              <w:jc w:val="center"/>
              <w:rPr>
                <w:sz w:val="22"/>
                <w:szCs w:val="22"/>
              </w:rPr>
            </w:pPr>
            <w:r>
              <w:rPr>
                <w:color w:val="000000"/>
                <w:sz w:val="22"/>
                <w:szCs w:val="22"/>
              </w:rPr>
              <w:t>YES</w:t>
            </w:r>
          </w:p>
        </w:tc>
      </w:tr>
      <w:tr w:rsidR="00D00B16" w14:paraId="61136C28" w14:textId="77777777">
        <w:trPr>
          <w:trHeight w:val="260"/>
        </w:trPr>
        <w:tc>
          <w:tcPr>
            <w:tcW w:w="7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1C258" w14:textId="77777777" w:rsidR="00D00B16" w:rsidRDefault="00365F6D">
            <w:pPr>
              <w:rPr>
                <w:sz w:val="22"/>
                <w:szCs w:val="22"/>
              </w:rPr>
            </w:pPr>
            <w:r>
              <w:rPr>
                <w:color w:val="000000"/>
                <w:sz w:val="22"/>
                <w:szCs w:val="22"/>
              </w:rPr>
              <w:t>Remove stopwords: delete common words such “I” and “we”</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9A35B" w14:textId="77777777" w:rsidR="00D00B16" w:rsidRDefault="00365F6D">
            <w:pPr>
              <w:jc w:val="center"/>
              <w:rPr>
                <w:sz w:val="22"/>
                <w:szCs w:val="22"/>
              </w:rPr>
            </w:pPr>
            <w:r>
              <w:rPr>
                <w:color w:val="000000"/>
                <w:sz w:val="22"/>
                <w:szCs w:val="22"/>
              </w:rPr>
              <w:t>YES</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C976C" w14:textId="77777777" w:rsidR="00D00B16" w:rsidRDefault="00365F6D">
            <w:pPr>
              <w:jc w:val="center"/>
              <w:rPr>
                <w:sz w:val="22"/>
                <w:szCs w:val="22"/>
              </w:rPr>
            </w:pPr>
            <w:r>
              <w:rPr>
                <w:color w:val="000000"/>
                <w:sz w:val="22"/>
                <w:szCs w:val="22"/>
              </w:rPr>
              <w:t>YES</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015F" w14:textId="77777777" w:rsidR="00D00B16" w:rsidRDefault="00365F6D">
            <w:pPr>
              <w:jc w:val="center"/>
              <w:rPr>
                <w:sz w:val="22"/>
                <w:szCs w:val="22"/>
              </w:rPr>
            </w:pPr>
            <w:r>
              <w:rPr>
                <w:color w:val="000000"/>
                <w:sz w:val="22"/>
                <w:szCs w:val="22"/>
              </w:rPr>
              <w:t>YES</w:t>
            </w:r>
          </w:p>
        </w:tc>
      </w:tr>
      <w:tr w:rsidR="00D00B16" w14:paraId="1FE6C062" w14:textId="77777777">
        <w:trPr>
          <w:trHeight w:val="260"/>
        </w:trPr>
        <w:tc>
          <w:tcPr>
            <w:tcW w:w="7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21C8" w14:textId="77777777" w:rsidR="00D00B16" w:rsidRDefault="00365F6D">
            <w:pPr>
              <w:rPr>
                <w:sz w:val="22"/>
                <w:szCs w:val="22"/>
              </w:rPr>
            </w:pPr>
            <w:r>
              <w:rPr>
                <w:color w:val="000000"/>
                <w:sz w:val="22"/>
                <w:szCs w:val="22"/>
              </w:rPr>
              <w:t>Make all text lowercase</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1DB08" w14:textId="77777777" w:rsidR="00D00B16" w:rsidRDefault="00365F6D">
            <w:pPr>
              <w:jc w:val="center"/>
              <w:rPr>
                <w:sz w:val="22"/>
                <w:szCs w:val="22"/>
              </w:rPr>
            </w:pPr>
            <w:r>
              <w:rPr>
                <w:color w:val="000000"/>
                <w:sz w:val="22"/>
                <w:szCs w:val="22"/>
              </w:rPr>
              <w:t>Upper</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B8E4" w14:textId="77777777" w:rsidR="00D00B16" w:rsidRDefault="00365F6D">
            <w:pPr>
              <w:jc w:val="center"/>
              <w:rPr>
                <w:sz w:val="22"/>
                <w:szCs w:val="22"/>
              </w:rPr>
            </w:pPr>
            <w:r>
              <w:rPr>
                <w:color w:val="000000"/>
                <w:sz w:val="22"/>
                <w:szCs w:val="22"/>
              </w:rPr>
              <w:t>Lower</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DEDC0" w14:textId="77777777" w:rsidR="00D00B16" w:rsidRDefault="00365F6D">
            <w:pPr>
              <w:jc w:val="center"/>
              <w:rPr>
                <w:sz w:val="22"/>
                <w:szCs w:val="22"/>
              </w:rPr>
            </w:pPr>
            <w:r>
              <w:rPr>
                <w:color w:val="000000"/>
                <w:sz w:val="22"/>
                <w:szCs w:val="22"/>
              </w:rPr>
              <w:t>Lower</w:t>
            </w:r>
          </w:p>
        </w:tc>
      </w:tr>
      <w:tr w:rsidR="00D00B16" w14:paraId="7AF754F4" w14:textId="77777777">
        <w:trPr>
          <w:trHeight w:val="260"/>
        </w:trPr>
        <w:tc>
          <w:tcPr>
            <w:tcW w:w="7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F3D13" w14:textId="77777777" w:rsidR="00D00B16" w:rsidRDefault="00365F6D">
            <w:pPr>
              <w:rPr>
                <w:sz w:val="22"/>
                <w:szCs w:val="22"/>
              </w:rPr>
            </w:pPr>
            <w:r>
              <w:rPr>
                <w:color w:val="000000"/>
                <w:sz w:val="22"/>
                <w:szCs w:val="22"/>
              </w:rPr>
              <w:t>Stemming: keep only the stem-root of words (Porter stemmer)</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6FB10" w14:textId="77777777" w:rsidR="00D00B16" w:rsidRDefault="00365F6D">
            <w:pPr>
              <w:jc w:val="center"/>
              <w:rPr>
                <w:sz w:val="22"/>
                <w:szCs w:val="22"/>
              </w:rPr>
            </w:pPr>
            <w:r>
              <w:rPr>
                <w:color w:val="000000"/>
                <w:sz w:val="22"/>
                <w:szCs w:val="22"/>
              </w:rPr>
              <w:t>NO</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A63B6" w14:textId="77777777" w:rsidR="00D00B16" w:rsidRDefault="00365F6D">
            <w:pPr>
              <w:jc w:val="center"/>
              <w:rPr>
                <w:sz w:val="22"/>
                <w:szCs w:val="22"/>
              </w:rPr>
            </w:pPr>
            <w:r>
              <w:rPr>
                <w:color w:val="000000"/>
                <w:sz w:val="22"/>
                <w:szCs w:val="22"/>
              </w:rPr>
              <w:t>NO</w:t>
            </w:r>
          </w:p>
        </w:tc>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2139" w14:textId="77777777" w:rsidR="00D00B16" w:rsidRDefault="00365F6D">
            <w:pPr>
              <w:jc w:val="center"/>
              <w:rPr>
                <w:sz w:val="22"/>
                <w:szCs w:val="22"/>
              </w:rPr>
            </w:pPr>
            <w:r>
              <w:rPr>
                <w:color w:val="000000"/>
                <w:sz w:val="22"/>
                <w:szCs w:val="22"/>
              </w:rPr>
              <w:t>YES</w:t>
            </w:r>
          </w:p>
        </w:tc>
      </w:tr>
    </w:tbl>
    <w:p w14:paraId="7D831F41" w14:textId="77777777" w:rsidR="00D00B16" w:rsidRDefault="00D00B16">
      <w:pPr>
        <w:rPr>
          <w:sz w:val="22"/>
          <w:szCs w:val="22"/>
        </w:rPr>
      </w:pPr>
    </w:p>
    <w:p w14:paraId="2A530251" w14:textId="77777777" w:rsidR="00D00B16" w:rsidRDefault="00D00B16">
      <w:pPr>
        <w:rPr>
          <w:sz w:val="22"/>
          <w:szCs w:val="22"/>
        </w:rPr>
      </w:pPr>
    </w:p>
    <w:p w14:paraId="4D8CA116" w14:textId="77777777" w:rsidR="00D00B16" w:rsidRDefault="00365F6D">
      <w:pPr>
        <w:rPr>
          <w:sz w:val="22"/>
          <w:szCs w:val="22"/>
        </w:rPr>
      </w:pPr>
      <w:r>
        <w:rPr>
          <w:color w:val="000000"/>
          <w:sz w:val="22"/>
          <w:szCs w:val="22"/>
        </w:rPr>
        <w:t>Machine Learning Models</w:t>
      </w:r>
    </w:p>
    <w:p w14:paraId="270CA3A8" w14:textId="77777777" w:rsidR="00D00B16" w:rsidRDefault="00365F6D">
      <w:pPr>
        <w:numPr>
          <w:ilvl w:val="0"/>
          <w:numId w:val="2"/>
        </w:numPr>
        <w:rPr>
          <w:color w:val="000000"/>
          <w:sz w:val="22"/>
          <w:szCs w:val="22"/>
        </w:rPr>
      </w:pPr>
      <w:r>
        <w:rPr>
          <w:color w:val="000000"/>
          <w:sz w:val="22"/>
          <w:szCs w:val="22"/>
        </w:rPr>
        <w:t>NB (Naive Bayes).</w:t>
      </w:r>
    </w:p>
    <w:p w14:paraId="2AEF35A1" w14:textId="77777777" w:rsidR="00D00B16" w:rsidRDefault="00365F6D">
      <w:pPr>
        <w:numPr>
          <w:ilvl w:val="0"/>
          <w:numId w:val="2"/>
        </w:numPr>
        <w:rPr>
          <w:color w:val="000000"/>
          <w:sz w:val="22"/>
          <w:szCs w:val="22"/>
        </w:rPr>
      </w:pPr>
      <w:r>
        <w:rPr>
          <w:color w:val="000000"/>
          <w:sz w:val="22"/>
          <w:szCs w:val="22"/>
        </w:rPr>
        <w:t>SVM (Support Vector Machine).</w:t>
      </w:r>
    </w:p>
    <w:p w14:paraId="35E933E9" w14:textId="77777777" w:rsidR="00D00B16" w:rsidRDefault="00365F6D">
      <w:pPr>
        <w:numPr>
          <w:ilvl w:val="0"/>
          <w:numId w:val="2"/>
        </w:numPr>
        <w:rPr>
          <w:color w:val="000000"/>
          <w:sz w:val="22"/>
          <w:szCs w:val="22"/>
        </w:rPr>
      </w:pPr>
      <w:r>
        <w:rPr>
          <w:color w:val="000000"/>
          <w:sz w:val="22"/>
          <w:szCs w:val="22"/>
        </w:rPr>
        <w:t>ENSEMBLE: Logistic Regression using NB and SVM predicted probabilities as features.</w:t>
      </w:r>
    </w:p>
    <w:p w14:paraId="4E7943FD" w14:textId="77777777" w:rsidR="00D00B16" w:rsidRDefault="00365F6D">
      <w:pPr>
        <w:numPr>
          <w:ilvl w:val="0"/>
          <w:numId w:val="2"/>
        </w:numPr>
        <w:rPr>
          <w:color w:val="000000"/>
          <w:sz w:val="22"/>
          <w:szCs w:val="22"/>
        </w:rPr>
      </w:pPr>
      <w:r>
        <w:rPr>
          <w:color w:val="000000"/>
          <w:sz w:val="22"/>
          <w:szCs w:val="22"/>
        </w:rPr>
        <w:t xml:space="preserve">DOC2VEC: Logistic Regression using document embeddings as features. Document embeddings of length 100 were predicted using a Doc2Vec model (Le and </w:t>
      </w:r>
      <w:proofErr w:type="spellStart"/>
      <w:r>
        <w:rPr>
          <w:color w:val="000000"/>
          <w:sz w:val="22"/>
          <w:szCs w:val="22"/>
        </w:rPr>
        <w:t>Mikolov</w:t>
      </w:r>
      <w:proofErr w:type="spellEnd"/>
      <w:r>
        <w:rPr>
          <w:color w:val="000000"/>
          <w:sz w:val="22"/>
          <w:szCs w:val="22"/>
        </w:rPr>
        <w:t xml:space="preserve"> 2014) trained (300 forward and backward propagation iterations) on our labels.</w:t>
      </w:r>
    </w:p>
    <w:p w14:paraId="1D3232A7" w14:textId="77777777" w:rsidR="00D00B16" w:rsidRDefault="00D00B16">
      <w:pPr>
        <w:rPr>
          <w:sz w:val="22"/>
          <w:szCs w:val="22"/>
        </w:rPr>
      </w:pPr>
    </w:p>
    <w:p w14:paraId="29CE002B" w14:textId="77777777" w:rsidR="00D00B16" w:rsidRDefault="00365F6D">
      <w:pPr>
        <w:rPr>
          <w:color w:val="000000"/>
          <w:sz w:val="22"/>
          <w:szCs w:val="22"/>
        </w:rPr>
      </w:pPr>
      <w:r>
        <w:rPr>
          <w:color w:val="000000"/>
          <w:sz w:val="22"/>
          <w:szCs w:val="22"/>
        </w:rPr>
        <w:t xml:space="preserve">In Figure A1, we report precision and recall measures calculated using 100-fold cross-validation and a 70-30 train-test split. The three subfigures in the top row report the results for the NB model, the three subfigures in the second row report the results for the SVM model, the results for the Ensemble are in the third row and the ones for the Doc2Vec model are in the bottom row. The subfigures on the left contain results when using the 1st pre-processing configuration, the subfigures in the middle show the results when using the second configuration, and the subfigure on the right provide accuracy measures when using the third configuration. Independently of the pre-processing set up, all models were trained using unigram, bigram, and trigram features from the remaining text. We find that the model with the highest predictive accuracy is the Ensemble model trained with features coming from the second pre-processing configuration. We get very satisfactory results for that model and configuration, 83% precision and 70% recall. </w:t>
      </w:r>
      <w:proofErr w:type="gramStart"/>
      <w:r>
        <w:rPr>
          <w:color w:val="000000"/>
          <w:sz w:val="22"/>
          <w:szCs w:val="22"/>
        </w:rPr>
        <w:t>These precision</w:t>
      </w:r>
      <w:proofErr w:type="gramEnd"/>
      <w:r>
        <w:rPr>
          <w:color w:val="000000"/>
          <w:sz w:val="22"/>
          <w:szCs w:val="22"/>
        </w:rPr>
        <w:t xml:space="preserve"> and recall percentages are based on predictions made by a logistic regression using a 50% probability threshold: sentences with a predicted likelihood higher than 50% are classified as being about advocacy. As can be seen in Figure A2, by increasing this probability threshold from 50% to 60% during testing we reduced recall but we were able to increase the model precision to 87%. Since our main concern was to be as certain as possible about the predicted true positives, we opted for a 60% probability threshold during classification.</w:t>
      </w:r>
    </w:p>
    <w:p w14:paraId="5EE940BE" w14:textId="77777777" w:rsidR="00D00B16" w:rsidRDefault="00365F6D">
      <w:pPr>
        <w:rPr>
          <w:sz w:val="22"/>
          <w:szCs w:val="22"/>
        </w:rPr>
      </w:pPr>
      <w:r>
        <w:rPr>
          <w:noProof/>
          <w:color w:val="000000"/>
          <w:sz w:val="22"/>
          <w:szCs w:val="22"/>
        </w:rPr>
        <w:lastRenderedPageBreak/>
        <w:drawing>
          <wp:inline distT="0" distB="0" distL="0" distR="0" wp14:anchorId="606D9BE7" wp14:editId="6802C57B">
            <wp:extent cx="6342547" cy="3435950"/>
            <wp:effectExtent l="0" t="0" r="0" b="0"/>
            <wp:docPr id="3" name="image6.png" descr="https://lh5.googleusercontent.com/7Dm-CXF5nTCG8SoAAunwwO7fptTtDISOCVKgW50spbrY-zKcAiIEUV-FeDgbSUgkJGbf-mxmfr3FbRDad7U6A04uOmh3slx1Li23B8Oxg8lOOBM2jWxgbbcUd4YHYp06Kg"/>
            <wp:cNvGraphicFramePr/>
            <a:graphic xmlns:a="http://schemas.openxmlformats.org/drawingml/2006/main">
              <a:graphicData uri="http://schemas.openxmlformats.org/drawingml/2006/picture">
                <pic:pic xmlns:pic="http://schemas.openxmlformats.org/drawingml/2006/picture">
                  <pic:nvPicPr>
                    <pic:cNvPr id="0" name="image6.png" descr="https://lh5.googleusercontent.com/7Dm-CXF5nTCG8SoAAunwwO7fptTtDISOCVKgW50spbrY-zKcAiIEUV-FeDgbSUgkJGbf-mxmfr3FbRDad7U6A04uOmh3slx1Li23B8Oxg8lOOBM2jWxgbbcUd4YHYp06Kg"/>
                    <pic:cNvPicPr preferRelativeResize="0"/>
                  </pic:nvPicPr>
                  <pic:blipFill>
                    <a:blip r:embed="rId16"/>
                    <a:srcRect/>
                    <a:stretch>
                      <a:fillRect/>
                    </a:stretch>
                  </pic:blipFill>
                  <pic:spPr>
                    <a:xfrm>
                      <a:off x="0" y="0"/>
                      <a:ext cx="6342547" cy="3435950"/>
                    </a:xfrm>
                    <a:prstGeom prst="rect">
                      <a:avLst/>
                    </a:prstGeom>
                    <a:ln/>
                  </pic:spPr>
                </pic:pic>
              </a:graphicData>
            </a:graphic>
          </wp:inline>
        </w:drawing>
      </w:r>
    </w:p>
    <w:p w14:paraId="3565B209" w14:textId="77777777" w:rsidR="00D00B16" w:rsidRDefault="00365F6D">
      <w:pPr>
        <w:rPr>
          <w:color w:val="000000"/>
          <w:sz w:val="22"/>
          <w:szCs w:val="22"/>
        </w:rPr>
      </w:pPr>
      <w:r>
        <w:rPr>
          <w:color w:val="000000"/>
          <w:sz w:val="22"/>
          <w:szCs w:val="22"/>
        </w:rPr>
        <w:t>Figure A1. Precision and Recall for a Variety of Machine Learning Models Predicting Sentences about Advocacy</w:t>
      </w:r>
    </w:p>
    <w:p w14:paraId="196BC429" w14:textId="77777777" w:rsidR="00D00B16" w:rsidRDefault="00D00B16">
      <w:pPr>
        <w:rPr>
          <w:color w:val="000000"/>
          <w:sz w:val="22"/>
          <w:szCs w:val="22"/>
        </w:rPr>
      </w:pPr>
    </w:p>
    <w:p w14:paraId="565117E8" w14:textId="77777777" w:rsidR="00D00B16" w:rsidRDefault="00D00B16">
      <w:pPr>
        <w:rPr>
          <w:color w:val="000000"/>
          <w:sz w:val="22"/>
          <w:szCs w:val="22"/>
        </w:rPr>
      </w:pPr>
    </w:p>
    <w:p w14:paraId="000F1646" w14:textId="77777777" w:rsidR="00D00B16" w:rsidRDefault="00D00B16">
      <w:pPr>
        <w:rPr>
          <w:sz w:val="22"/>
          <w:szCs w:val="22"/>
        </w:rPr>
      </w:pPr>
    </w:p>
    <w:p w14:paraId="5DD619A0" w14:textId="77777777" w:rsidR="00D00B16" w:rsidRDefault="00365F6D">
      <w:pPr>
        <w:rPr>
          <w:sz w:val="22"/>
          <w:szCs w:val="22"/>
        </w:rPr>
      </w:pPr>
      <w:r>
        <w:rPr>
          <w:noProof/>
          <w:color w:val="000000"/>
          <w:sz w:val="22"/>
          <w:szCs w:val="22"/>
        </w:rPr>
        <w:drawing>
          <wp:inline distT="0" distB="0" distL="0" distR="0" wp14:anchorId="4D5EF459" wp14:editId="4ED0CD0D">
            <wp:extent cx="6373262" cy="3447557"/>
            <wp:effectExtent l="0" t="0" r="0" b="0"/>
            <wp:docPr id="2" name="image4.png" descr="https://lh3.googleusercontent.com/ky_ADebeZX-u4Z8TEQIAz2UZr-8KzxOqv1wgWPbh2SKL1EkevrxpFxo27vvgaiijpfD3uwYQIN01D19v8Q58cqsuEu0C1Hy7Ro-_rNSobQzoUOGvN0rRE3VL-FlMDApvSQ"/>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ky_ADebeZX-u4Z8TEQIAz2UZr-8KzxOqv1wgWPbh2SKL1EkevrxpFxo27vvgaiijpfD3uwYQIN01D19v8Q58cqsuEu0C1Hy7Ro-_rNSobQzoUOGvN0rRE3VL-FlMDApvSQ"/>
                    <pic:cNvPicPr preferRelativeResize="0"/>
                  </pic:nvPicPr>
                  <pic:blipFill>
                    <a:blip r:embed="rId17"/>
                    <a:srcRect/>
                    <a:stretch>
                      <a:fillRect/>
                    </a:stretch>
                  </pic:blipFill>
                  <pic:spPr>
                    <a:xfrm>
                      <a:off x="0" y="0"/>
                      <a:ext cx="6373262" cy="3447557"/>
                    </a:xfrm>
                    <a:prstGeom prst="rect">
                      <a:avLst/>
                    </a:prstGeom>
                    <a:ln/>
                  </pic:spPr>
                </pic:pic>
              </a:graphicData>
            </a:graphic>
          </wp:inline>
        </w:drawing>
      </w:r>
    </w:p>
    <w:p w14:paraId="79A1F0AE" w14:textId="77777777" w:rsidR="00D00B16" w:rsidRDefault="00365F6D">
      <w:pPr>
        <w:rPr>
          <w:sz w:val="22"/>
          <w:szCs w:val="22"/>
        </w:rPr>
      </w:pPr>
      <w:r>
        <w:rPr>
          <w:sz w:val="22"/>
          <w:szCs w:val="22"/>
        </w:rPr>
        <w:t>Figure A2. Precision and Recall Using a 50% vs. 60% Probability Classification Threshold (Ensemble Model)</w:t>
      </w:r>
    </w:p>
    <w:p w14:paraId="05B32D49" w14:textId="3BAD51BF" w:rsidR="00D00B16" w:rsidRPr="00BB4BE1" w:rsidRDefault="00365F6D" w:rsidP="00BB4BE1">
      <w:pPr>
        <w:rPr>
          <w:sz w:val="22"/>
          <w:szCs w:val="22"/>
          <w:highlight w:val="yellow"/>
        </w:rPr>
        <w:sectPr w:rsidR="00D00B16" w:rsidRPr="00BB4BE1">
          <w:footerReference w:type="even" r:id="rId18"/>
          <w:footerReference w:type="default" r:id="rId19"/>
          <w:pgSz w:w="12240" w:h="15840"/>
          <w:pgMar w:top="1080" w:right="1080" w:bottom="1080" w:left="1080" w:header="720" w:footer="720" w:gutter="0"/>
          <w:pgNumType w:start="0"/>
          <w:cols w:space="720"/>
          <w:titlePg/>
        </w:sectPr>
      </w:pPr>
      <w:r>
        <w:br w:type="page"/>
      </w:r>
    </w:p>
    <w:p w14:paraId="45DCF727" w14:textId="77777777" w:rsidR="00D00B16" w:rsidRDefault="00365F6D">
      <w:pPr>
        <w:rPr>
          <w:sz w:val="22"/>
          <w:szCs w:val="22"/>
        </w:rPr>
      </w:pPr>
      <w:r>
        <w:rPr>
          <w:sz w:val="22"/>
          <w:szCs w:val="22"/>
        </w:rPr>
        <w:lastRenderedPageBreak/>
        <w:t>Appendix C. Correlation Table</w:t>
      </w:r>
    </w:p>
    <w:tbl>
      <w:tblPr>
        <w:tblStyle w:val="a2"/>
        <w:tblW w:w="13273" w:type="dxa"/>
        <w:tblInd w:w="9" w:type="dxa"/>
        <w:tblLayout w:type="fixed"/>
        <w:tblLook w:val="0400" w:firstRow="0" w:lastRow="0" w:firstColumn="0" w:lastColumn="0" w:noHBand="0" w:noVBand="1"/>
      </w:tblPr>
      <w:tblGrid>
        <w:gridCol w:w="1973"/>
        <w:gridCol w:w="947"/>
        <w:gridCol w:w="1081"/>
        <w:gridCol w:w="1067"/>
        <w:gridCol w:w="1049"/>
        <w:gridCol w:w="1141"/>
        <w:gridCol w:w="1153"/>
        <w:gridCol w:w="910"/>
        <w:gridCol w:w="1129"/>
        <w:gridCol w:w="1052"/>
        <w:gridCol w:w="868"/>
        <w:gridCol w:w="903"/>
      </w:tblGrid>
      <w:tr w:rsidR="00D00B16" w14:paraId="4288B1A0" w14:textId="77777777">
        <w:trPr>
          <w:trHeight w:val="980"/>
        </w:trPr>
        <w:tc>
          <w:tcPr>
            <w:tcW w:w="1973" w:type="dxa"/>
            <w:tcBorders>
              <w:top w:val="nil"/>
              <w:left w:val="nil"/>
              <w:bottom w:val="nil"/>
              <w:right w:val="nil"/>
            </w:tcBorders>
            <w:shd w:val="clear" w:color="auto" w:fill="auto"/>
            <w:vAlign w:val="bottom"/>
          </w:tcPr>
          <w:p w14:paraId="49025E65" w14:textId="77777777" w:rsidR="00D00B16" w:rsidRDefault="00D00B16">
            <w:pPr>
              <w:rPr>
                <w:sz w:val="20"/>
                <w:szCs w:val="20"/>
              </w:rPr>
            </w:pPr>
          </w:p>
        </w:tc>
        <w:tc>
          <w:tcPr>
            <w:tcW w:w="947" w:type="dxa"/>
            <w:tcBorders>
              <w:top w:val="nil"/>
              <w:left w:val="nil"/>
              <w:bottom w:val="nil"/>
              <w:right w:val="nil"/>
            </w:tcBorders>
            <w:shd w:val="clear" w:color="auto" w:fill="auto"/>
            <w:vAlign w:val="bottom"/>
          </w:tcPr>
          <w:p w14:paraId="5211F4C4" w14:textId="1FB346BC" w:rsidR="00D00B16" w:rsidRDefault="00BB4BE1" w:rsidP="00BB4BE1">
            <w:pPr>
              <w:jc w:val="center"/>
              <w:rPr>
                <w:color w:val="000000"/>
                <w:sz w:val="20"/>
                <w:szCs w:val="20"/>
              </w:rPr>
            </w:pPr>
            <w:proofErr w:type="spellStart"/>
            <w:r>
              <w:rPr>
                <w:color w:val="000000"/>
                <w:sz w:val="20"/>
                <w:szCs w:val="20"/>
              </w:rPr>
              <w:t>Comm</w:t>
            </w:r>
            <w:proofErr w:type="spellEnd"/>
            <w:r>
              <w:rPr>
                <w:color w:val="000000"/>
                <w:sz w:val="20"/>
                <w:szCs w:val="20"/>
              </w:rPr>
              <w:t xml:space="preserve"> </w:t>
            </w:r>
            <w:r w:rsidR="00365F6D">
              <w:rPr>
                <w:color w:val="000000"/>
                <w:sz w:val="20"/>
                <w:szCs w:val="20"/>
              </w:rPr>
              <w:t xml:space="preserve">Wealth </w:t>
            </w:r>
          </w:p>
        </w:tc>
        <w:tc>
          <w:tcPr>
            <w:tcW w:w="1081" w:type="dxa"/>
            <w:tcBorders>
              <w:top w:val="nil"/>
              <w:left w:val="nil"/>
              <w:bottom w:val="nil"/>
              <w:right w:val="nil"/>
            </w:tcBorders>
            <w:shd w:val="clear" w:color="auto" w:fill="auto"/>
            <w:vAlign w:val="bottom"/>
          </w:tcPr>
          <w:p w14:paraId="15E7D541" w14:textId="77777777" w:rsidR="00D00B16" w:rsidRDefault="00365F6D">
            <w:pPr>
              <w:jc w:val="center"/>
              <w:rPr>
                <w:color w:val="000000"/>
                <w:sz w:val="20"/>
                <w:szCs w:val="20"/>
              </w:rPr>
            </w:pPr>
            <w:r>
              <w:rPr>
                <w:color w:val="000000"/>
                <w:sz w:val="20"/>
                <w:szCs w:val="20"/>
              </w:rPr>
              <w:t>Political Liberalism</w:t>
            </w:r>
          </w:p>
        </w:tc>
        <w:tc>
          <w:tcPr>
            <w:tcW w:w="1067" w:type="dxa"/>
            <w:tcBorders>
              <w:top w:val="nil"/>
              <w:left w:val="nil"/>
              <w:bottom w:val="nil"/>
              <w:right w:val="nil"/>
            </w:tcBorders>
            <w:shd w:val="clear" w:color="auto" w:fill="auto"/>
            <w:vAlign w:val="bottom"/>
          </w:tcPr>
          <w:p w14:paraId="79ECCE1D" w14:textId="77777777" w:rsidR="00D00B16" w:rsidRDefault="00365F6D">
            <w:pPr>
              <w:jc w:val="center"/>
              <w:rPr>
                <w:color w:val="000000"/>
                <w:sz w:val="20"/>
                <w:szCs w:val="20"/>
              </w:rPr>
            </w:pPr>
            <w:proofErr w:type="spellStart"/>
            <w:r>
              <w:rPr>
                <w:color w:val="000000"/>
                <w:sz w:val="20"/>
                <w:szCs w:val="20"/>
              </w:rPr>
              <w:t>Commun</w:t>
            </w:r>
            <w:proofErr w:type="spellEnd"/>
            <w:r>
              <w:rPr>
                <w:color w:val="000000"/>
                <w:sz w:val="20"/>
                <w:szCs w:val="20"/>
              </w:rPr>
              <w:t xml:space="preserve"> Logic</w:t>
            </w:r>
          </w:p>
        </w:tc>
        <w:tc>
          <w:tcPr>
            <w:tcW w:w="1049" w:type="dxa"/>
            <w:tcBorders>
              <w:top w:val="nil"/>
              <w:left w:val="nil"/>
              <w:bottom w:val="nil"/>
              <w:right w:val="nil"/>
            </w:tcBorders>
            <w:shd w:val="clear" w:color="auto" w:fill="auto"/>
            <w:vAlign w:val="bottom"/>
          </w:tcPr>
          <w:p w14:paraId="0CAC34E3" w14:textId="45D7A2E0" w:rsidR="00D00B16" w:rsidRDefault="00BB4BE1">
            <w:pPr>
              <w:jc w:val="center"/>
              <w:rPr>
                <w:color w:val="000000"/>
                <w:sz w:val="20"/>
                <w:szCs w:val="20"/>
              </w:rPr>
            </w:pPr>
            <w:r>
              <w:rPr>
                <w:color w:val="000000"/>
                <w:sz w:val="20"/>
                <w:szCs w:val="20"/>
              </w:rPr>
              <w:t>Donation</w:t>
            </w:r>
          </w:p>
          <w:p w14:paraId="45758FCD" w14:textId="77777777" w:rsidR="00D00B16" w:rsidRDefault="00D00B16">
            <w:pPr>
              <w:jc w:val="center"/>
              <w:rPr>
                <w:color w:val="000000"/>
                <w:sz w:val="20"/>
                <w:szCs w:val="20"/>
              </w:rPr>
            </w:pPr>
          </w:p>
        </w:tc>
        <w:tc>
          <w:tcPr>
            <w:tcW w:w="1141" w:type="dxa"/>
            <w:tcBorders>
              <w:top w:val="nil"/>
              <w:left w:val="nil"/>
              <w:bottom w:val="nil"/>
              <w:right w:val="nil"/>
            </w:tcBorders>
            <w:shd w:val="clear" w:color="auto" w:fill="auto"/>
            <w:vAlign w:val="bottom"/>
          </w:tcPr>
          <w:p w14:paraId="4A1A932C" w14:textId="39278D72" w:rsidR="00D00B16" w:rsidRDefault="00365F6D">
            <w:pPr>
              <w:jc w:val="center"/>
              <w:rPr>
                <w:color w:val="000000"/>
                <w:sz w:val="20"/>
                <w:szCs w:val="20"/>
              </w:rPr>
            </w:pPr>
            <w:r>
              <w:rPr>
                <w:color w:val="000000"/>
                <w:sz w:val="20"/>
                <w:szCs w:val="20"/>
              </w:rPr>
              <w:t>Donative Dom</w:t>
            </w:r>
          </w:p>
        </w:tc>
        <w:tc>
          <w:tcPr>
            <w:tcW w:w="1153" w:type="dxa"/>
            <w:tcBorders>
              <w:top w:val="nil"/>
              <w:left w:val="nil"/>
              <w:bottom w:val="nil"/>
              <w:right w:val="nil"/>
            </w:tcBorders>
            <w:shd w:val="clear" w:color="auto" w:fill="auto"/>
            <w:vAlign w:val="bottom"/>
          </w:tcPr>
          <w:p w14:paraId="788CE7CE" w14:textId="77777777" w:rsidR="00D00B16" w:rsidRDefault="00365F6D">
            <w:pPr>
              <w:jc w:val="center"/>
              <w:rPr>
                <w:color w:val="000000"/>
                <w:sz w:val="20"/>
                <w:szCs w:val="20"/>
              </w:rPr>
            </w:pPr>
            <w:r>
              <w:rPr>
                <w:color w:val="000000"/>
                <w:sz w:val="20"/>
                <w:szCs w:val="20"/>
              </w:rPr>
              <w:t>Embedded</w:t>
            </w:r>
          </w:p>
          <w:p w14:paraId="50A5CE75" w14:textId="77777777" w:rsidR="00D00B16" w:rsidRDefault="00D00B16">
            <w:pPr>
              <w:jc w:val="center"/>
              <w:rPr>
                <w:color w:val="000000"/>
                <w:sz w:val="20"/>
                <w:szCs w:val="20"/>
              </w:rPr>
            </w:pPr>
          </w:p>
        </w:tc>
        <w:tc>
          <w:tcPr>
            <w:tcW w:w="910" w:type="dxa"/>
            <w:tcBorders>
              <w:top w:val="nil"/>
              <w:left w:val="nil"/>
              <w:bottom w:val="nil"/>
              <w:right w:val="nil"/>
            </w:tcBorders>
            <w:shd w:val="clear" w:color="auto" w:fill="auto"/>
            <w:vAlign w:val="bottom"/>
          </w:tcPr>
          <w:p w14:paraId="03EE4BD4" w14:textId="77777777" w:rsidR="00D00B16" w:rsidRDefault="00365F6D">
            <w:pPr>
              <w:jc w:val="center"/>
              <w:rPr>
                <w:color w:val="000000"/>
                <w:sz w:val="20"/>
                <w:szCs w:val="20"/>
              </w:rPr>
            </w:pPr>
            <w:r>
              <w:rPr>
                <w:color w:val="000000"/>
                <w:sz w:val="20"/>
                <w:szCs w:val="20"/>
              </w:rPr>
              <w:t>Social Justice</w:t>
            </w:r>
          </w:p>
        </w:tc>
        <w:tc>
          <w:tcPr>
            <w:tcW w:w="1129" w:type="dxa"/>
            <w:tcBorders>
              <w:top w:val="nil"/>
              <w:left w:val="nil"/>
              <w:bottom w:val="nil"/>
              <w:right w:val="nil"/>
            </w:tcBorders>
            <w:shd w:val="clear" w:color="auto" w:fill="auto"/>
            <w:vAlign w:val="bottom"/>
          </w:tcPr>
          <w:p w14:paraId="67DFB804" w14:textId="77777777" w:rsidR="00D00B16" w:rsidRDefault="00365F6D">
            <w:pPr>
              <w:jc w:val="center"/>
              <w:rPr>
                <w:color w:val="000000"/>
                <w:sz w:val="20"/>
                <w:szCs w:val="20"/>
              </w:rPr>
            </w:pPr>
            <w:r>
              <w:rPr>
                <w:color w:val="000000"/>
                <w:sz w:val="20"/>
                <w:szCs w:val="20"/>
              </w:rPr>
              <w:t>Profession</w:t>
            </w:r>
          </w:p>
          <w:p w14:paraId="0CA34D8B" w14:textId="77777777" w:rsidR="00D00B16" w:rsidRDefault="00D00B16">
            <w:pPr>
              <w:jc w:val="center"/>
              <w:rPr>
                <w:color w:val="000000"/>
                <w:sz w:val="20"/>
                <w:szCs w:val="20"/>
              </w:rPr>
            </w:pPr>
          </w:p>
        </w:tc>
        <w:tc>
          <w:tcPr>
            <w:tcW w:w="1052" w:type="dxa"/>
            <w:tcBorders>
              <w:top w:val="nil"/>
              <w:left w:val="nil"/>
              <w:bottom w:val="nil"/>
              <w:right w:val="nil"/>
            </w:tcBorders>
            <w:shd w:val="clear" w:color="auto" w:fill="auto"/>
            <w:vAlign w:val="bottom"/>
          </w:tcPr>
          <w:p w14:paraId="6FE28A09" w14:textId="77777777" w:rsidR="00D00B16" w:rsidRDefault="00365F6D">
            <w:pPr>
              <w:jc w:val="center"/>
              <w:rPr>
                <w:color w:val="000000"/>
                <w:sz w:val="20"/>
                <w:szCs w:val="20"/>
              </w:rPr>
            </w:pPr>
            <w:r>
              <w:rPr>
                <w:color w:val="000000"/>
                <w:sz w:val="20"/>
                <w:szCs w:val="20"/>
              </w:rPr>
              <w:t>Rational</w:t>
            </w:r>
          </w:p>
          <w:p w14:paraId="60D6727B" w14:textId="77777777" w:rsidR="00D00B16" w:rsidRDefault="00D00B16">
            <w:pPr>
              <w:jc w:val="center"/>
              <w:rPr>
                <w:color w:val="000000"/>
                <w:sz w:val="20"/>
                <w:szCs w:val="20"/>
              </w:rPr>
            </w:pPr>
          </w:p>
        </w:tc>
        <w:tc>
          <w:tcPr>
            <w:tcW w:w="868" w:type="dxa"/>
            <w:tcBorders>
              <w:top w:val="nil"/>
              <w:left w:val="nil"/>
              <w:bottom w:val="nil"/>
              <w:right w:val="nil"/>
            </w:tcBorders>
            <w:shd w:val="clear" w:color="auto" w:fill="auto"/>
            <w:vAlign w:val="bottom"/>
          </w:tcPr>
          <w:p w14:paraId="1DF2B23A" w14:textId="77777777" w:rsidR="00D00B16" w:rsidRDefault="00365F6D">
            <w:pPr>
              <w:jc w:val="center"/>
              <w:rPr>
                <w:color w:val="000000"/>
                <w:sz w:val="20"/>
                <w:szCs w:val="20"/>
              </w:rPr>
            </w:pPr>
            <w:r>
              <w:rPr>
                <w:color w:val="000000"/>
                <w:sz w:val="20"/>
                <w:szCs w:val="20"/>
              </w:rPr>
              <w:t>Age</w:t>
            </w:r>
          </w:p>
          <w:p w14:paraId="02AC10DF" w14:textId="77777777" w:rsidR="00D00B16" w:rsidRDefault="00D00B16">
            <w:pPr>
              <w:jc w:val="center"/>
              <w:rPr>
                <w:color w:val="000000"/>
                <w:sz w:val="20"/>
                <w:szCs w:val="20"/>
              </w:rPr>
            </w:pPr>
          </w:p>
        </w:tc>
        <w:tc>
          <w:tcPr>
            <w:tcW w:w="903" w:type="dxa"/>
            <w:tcBorders>
              <w:top w:val="nil"/>
              <w:left w:val="nil"/>
              <w:bottom w:val="nil"/>
              <w:right w:val="nil"/>
            </w:tcBorders>
            <w:shd w:val="clear" w:color="auto" w:fill="auto"/>
            <w:vAlign w:val="bottom"/>
          </w:tcPr>
          <w:p w14:paraId="1E0FFE86" w14:textId="77777777" w:rsidR="00D00B16" w:rsidRDefault="00365F6D">
            <w:pPr>
              <w:jc w:val="center"/>
              <w:rPr>
                <w:color w:val="000000"/>
                <w:sz w:val="20"/>
                <w:szCs w:val="20"/>
              </w:rPr>
            </w:pPr>
            <w:r>
              <w:rPr>
                <w:color w:val="000000"/>
                <w:sz w:val="20"/>
                <w:szCs w:val="20"/>
              </w:rPr>
              <w:t>Assets</w:t>
            </w:r>
          </w:p>
          <w:p w14:paraId="66A42768" w14:textId="77777777" w:rsidR="00D00B16" w:rsidRDefault="00D00B16">
            <w:pPr>
              <w:jc w:val="center"/>
              <w:rPr>
                <w:color w:val="000000"/>
                <w:sz w:val="20"/>
                <w:szCs w:val="20"/>
              </w:rPr>
            </w:pPr>
          </w:p>
        </w:tc>
      </w:tr>
      <w:tr w:rsidR="00D00B16" w14:paraId="49E9F2B4" w14:textId="77777777">
        <w:trPr>
          <w:trHeight w:val="360"/>
        </w:trPr>
        <w:tc>
          <w:tcPr>
            <w:tcW w:w="1973" w:type="dxa"/>
            <w:tcBorders>
              <w:top w:val="nil"/>
              <w:left w:val="nil"/>
              <w:bottom w:val="nil"/>
              <w:right w:val="nil"/>
            </w:tcBorders>
            <w:shd w:val="clear" w:color="auto" w:fill="auto"/>
            <w:vAlign w:val="bottom"/>
          </w:tcPr>
          <w:p w14:paraId="11130FBC" w14:textId="3D6A228F" w:rsidR="00D00B16" w:rsidRDefault="00BB4BE1">
            <w:pPr>
              <w:rPr>
                <w:color w:val="000000"/>
                <w:sz w:val="20"/>
                <w:szCs w:val="20"/>
              </w:rPr>
            </w:pPr>
            <w:proofErr w:type="spellStart"/>
            <w:r>
              <w:rPr>
                <w:color w:val="000000"/>
                <w:sz w:val="20"/>
                <w:szCs w:val="20"/>
              </w:rPr>
              <w:t>Comm</w:t>
            </w:r>
            <w:proofErr w:type="spellEnd"/>
            <w:r>
              <w:rPr>
                <w:color w:val="000000"/>
                <w:sz w:val="20"/>
                <w:szCs w:val="20"/>
              </w:rPr>
              <w:t xml:space="preserve"> </w:t>
            </w:r>
            <w:r w:rsidR="00365F6D">
              <w:rPr>
                <w:color w:val="000000"/>
                <w:sz w:val="20"/>
                <w:szCs w:val="20"/>
              </w:rPr>
              <w:t xml:space="preserve">Wealth </w:t>
            </w:r>
          </w:p>
        </w:tc>
        <w:tc>
          <w:tcPr>
            <w:tcW w:w="947" w:type="dxa"/>
            <w:tcBorders>
              <w:top w:val="nil"/>
              <w:left w:val="nil"/>
              <w:bottom w:val="nil"/>
              <w:right w:val="nil"/>
            </w:tcBorders>
            <w:shd w:val="clear" w:color="auto" w:fill="auto"/>
            <w:vAlign w:val="bottom"/>
          </w:tcPr>
          <w:p w14:paraId="234F5326" w14:textId="77777777" w:rsidR="00D00B16" w:rsidRDefault="00365F6D">
            <w:pPr>
              <w:jc w:val="center"/>
              <w:rPr>
                <w:color w:val="000000"/>
                <w:sz w:val="20"/>
                <w:szCs w:val="20"/>
              </w:rPr>
            </w:pPr>
            <w:r>
              <w:rPr>
                <w:color w:val="000000"/>
                <w:sz w:val="20"/>
                <w:szCs w:val="20"/>
              </w:rPr>
              <w:t>1</w:t>
            </w:r>
          </w:p>
        </w:tc>
        <w:tc>
          <w:tcPr>
            <w:tcW w:w="1081" w:type="dxa"/>
            <w:tcBorders>
              <w:top w:val="nil"/>
              <w:left w:val="nil"/>
              <w:bottom w:val="nil"/>
              <w:right w:val="nil"/>
            </w:tcBorders>
            <w:shd w:val="clear" w:color="auto" w:fill="auto"/>
            <w:vAlign w:val="bottom"/>
          </w:tcPr>
          <w:p w14:paraId="3535A6F5" w14:textId="77777777" w:rsidR="00D00B16" w:rsidRDefault="00D00B16">
            <w:pPr>
              <w:jc w:val="center"/>
              <w:rPr>
                <w:sz w:val="20"/>
                <w:szCs w:val="20"/>
              </w:rPr>
            </w:pPr>
          </w:p>
        </w:tc>
        <w:tc>
          <w:tcPr>
            <w:tcW w:w="1067" w:type="dxa"/>
            <w:tcBorders>
              <w:top w:val="nil"/>
              <w:left w:val="nil"/>
              <w:bottom w:val="nil"/>
              <w:right w:val="nil"/>
            </w:tcBorders>
            <w:shd w:val="clear" w:color="auto" w:fill="auto"/>
            <w:vAlign w:val="bottom"/>
          </w:tcPr>
          <w:p w14:paraId="6652C9C9" w14:textId="77777777" w:rsidR="00D00B16" w:rsidRDefault="00D00B16">
            <w:pPr>
              <w:jc w:val="center"/>
              <w:rPr>
                <w:sz w:val="20"/>
                <w:szCs w:val="20"/>
              </w:rPr>
            </w:pPr>
          </w:p>
        </w:tc>
        <w:tc>
          <w:tcPr>
            <w:tcW w:w="1049" w:type="dxa"/>
            <w:tcBorders>
              <w:top w:val="nil"/>
              <w:left w:val="nil"/>
              <w:bottom w:val="nil"/>
              <w:right w:val="nil"/>
            </w:tcBorders>
            <w:shd w:val="clear" w:color="auto" w:fill="auto"/>
            <w:vAlign w:val="bottom"/>
          </w:tcPr>
          <w:p w14:paraId="11141A7C" w14:textId="77777777" w:rsidR="00D00B16" w:rsidRDefault="00D00B16">
            <w:pPr>
              <w:jc w:val="center"/>
              <w:rPr>
                <w:sz w:val="20"/>
                <w:szCs w:val="20"/>
              </w:rPr>
            </w:pPr>
          </w:p>
        </w:tc>
        <w:tc>
          <w:tcPr>
            <w:tcW w:w="1141" w:type="dxa"/>
            <w:tcBorders>
              <w:top w:val="nil"/>
              <w:left w:val="nil"/>
              <w:bottom w:val="nil"/>
              <w:right w:val="nil"/>
            </w:tcBorders>
            <w:shd w:val="clear" w:color="auto" w:fill="auto"/>
            <w:vAlign w:val="bottom"/>
          </w:tcPr>
          <w:p w14:paraId="4B48C131" w14:textId="77777777" w:rsidR="00D00B16" w:rsidRDefault="00D00B16">
            <w:pPr>
              <w:jc w:val="center"/>
              <w:rPr>
                <w:sz w:val="20"/>
                <w:szCs w:val="20"/>
              </w:rPr>
            </w:pPr>
          </w:p>
        </w:tc>
        <w:tc>
          <w:tcPr>
            <w:tcW w:w="1153" w:type="dxa"/>
            <w:tcBorders>
              <w:top w:val="nil"/>
              <w:left w:val="nil"/>
              <w:bottom w:val="nil"/>
              <w:right w:val="nil"/>
            </w:tcBorders>
            <w:shd w:val="clear" w:color="auto" w:fill="auto"/>
            <w:vAlign w:val="bottom"/>
          </w:tcPr>
          <w:p w14:paraId="41284CD7" w14:textId="77777777" w:rsidR="00D00B16" w:rsidRDefault="00D00B16">
            <w:pPr>
              <w:jc w:val="center"/>
              <w:rPr>
                <w:sz w:val="20"/>
                <w:szCs w:val="20"/>
              </w:rPr>
            </w:pPr>
          </w:p>
        </w:tc>
        <w:tc>
          <w:tcPr>
            <w:tcW w:w="910" w:type="dxa"/>
            <w:tcBorders>
              <w:top w:val="nil"/>
              <w:left w:val="nil"/>
              <w:bottom w:val="nil"/>
              <w:right w:val="nil"/>
            </w:tcBorders>
            <w:shd w:val="clear" w:color="auto" w:fill="auto"/>
            <w:vAlign w:val="bottom"/>
          </w:tcPr>
          <w:p w14:paraId="4218BE5B" w14:textId="77777777" w:rsidR="00D00B16" w:rsidRDefault="00D00B16">
            <w:pPr>
              <w:jc w:val="center"/>
              <w:rPr>
                <w:sz w:val="20"/>
                <w:szCs w:val="20"/>
              </w:rPr>
            </w:pPr>
          </w:p>
        </w:tc>
        <w:tc>
          <w:tcPr>
            <w:tcW w:w="1129" w:type="dxa"/>
            <w:tcBorders>
              <w:top w:val="nil"/>
              <w:left w:val="nil"/>
              <w:bottom w:val="nil"/>
              <w:right w:val="nil"/>
            </w:tcBorders>
            <w:shd w:val="clear" w:color="auto" w:fill="auto"/>
            <w:vAlign w:val="bottom"/>
          </w:tcPr>
          <w:p w14:paraId="4A4B7243" w14:textId="77777777" w:rsidR="00D00B16" w:rsidRDefault="00D00B16">
            <w:pPr>
              <w:jc w:val="center"/>
              <w:rPr>
                <w:sz w:val="20"/>
                <w:szCs w:val="20"/>
              </w:rPr>
            </w:pPr>
          </w:p>
        </w:tc>
        <w:tc>
          <w:tcPr>
            <w:tcW w:w="1052" w:type="dxa"/>
            <w:tcBorders>
              <w:top w:val="nil"/>
              <w:left w:val="nil"/>
              <w:bottom w:val="nil"/>
              <w:right w:val="nil"/>
            </w:tcBorders>
            <w:shd w:val="clear" w:color="auto" w:fill="auto"/>
            <w:vAlign w:val="bottom"/>
          </w:tcPr>
          <w:p w14:paraId="4B6B5FF0" w14:textId="77777777" w:rsidR="00D00B16" w:rsidRDefault="00D00B16">
            <w:pPr>
              <w:jc w:val="center"/>
              <w:rPr>
                <w:sz w:val="20"/>
                <w:szCs w:val="20"/>
              </w:rPr>
            </w:pPr>
          </w:p>
        </w:tc>
        <w:tc>
          <w:tcPr>
            <w:tcW w:w="868" w:type="dxa"/>
            <w:tcBorders>
              <w:top w:val="nil"/>
              <w:left w:val="nil"/>
              <w:bottom w:val="nil"/>
              <w:right w:val="nil"/>
            </w:tcBorders>
            <w:shd w:val="clear" w:color="auto" w:fill="auto"/>
            <w:vAlign w:val="bottom"/>
          </w:tcPr>
          <w:p w14:paraId="714C4DBB"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174EED15" w14:textId="77777777" w:rsidR="00D00B16" w:rsidRDefault="00D00B16">
            <w:pPr>
              <w:jc w:val="center"/>
              <w:rPr>
                <w:sz w:val="20"/>
                <w:szCs w:val="20"/>
              </w:rPr>
            </w:pPr>
          </w:p>
        </w:tc>
      </w:tr>
      <w:tr w:rsidR="00D00B16" w14:paraId="3EFDED7C" w14:textId="77777777">
        <w:trPr>
          <w:trHeight w:val="360"/>
        </w:trPr>
        <w:tc>
          <w:tcPr>
            <w:tcW w:w="1973" w:type="dxa"/>
            <w:tcBorders>
              <w:top w:val="nil"/>
              <w:left w:val="nil"/>
              <w:bottom w:val="nil"/>
              <w:right w:val="nil"/>
            </w:tcBorders>
            <w:shd w:val="clear" w:color="auto" w:fill="auto"/>
            <w:vAlign w:val="bottom"/>
          </w:tcPr>
          <w:p w14:paraId="2F10C672" w14:textId="77777777" w:rsidR="00D00B16" w:rsidRDefault="00365F6D">
            <w:pPr>
              <w:rPr>
                <w:color w:val="000000"/>
                <w:sz w:val="20"/>
                <w:szCs w:val="20"/>
              </w:rPr>
            </w:pPr>
            <w:r>
              <w:rPr>
                <w:color w:val="000000"/>
                <w:sz w:val="20"/>
                <w:szCs w:val="20"/>
              </w:rPr>
              <w:t>Political Liberalism</w:t>
            </w:r>
          </w:p>
        </w:tc>
        <w:tc>
          <w:tcPr>
            <w:tcW w:w="947" w:type="dxa"/>
            <w:tcBorders>
              <w:top w:val="nil"/>
              <w:left w:val="nil"/>
              <w:bottom w:val="nil"/>
              <w:right w:val="nil"/>
            </w:tcBorders>
            <w:shd w:val="clear" w:color="auto" w:fill="auto"/>
            <w:vAlign w:val="bottom"/>
          </w:tcPr>
          <w:p w14:paraId="3199E233" w14:textId="77777777" w:rsidR="00D00B16" w:rsidRDefault="00365F6D">
            <w:pPr>
              <w:jc w:val="center"/>
              <w:rPr>
                <w:color w:val="000000"/>
                <w:sz w:val="20"/>
                <w:szCs w:val="20"/>
              </w:rPr>
            </w:pPr>
            <w:r>
              <w:rPr>
                <w:color w:val="000000"/>
                <w:sz w:val="20"/>
                <w:szCs w:val="20"/>
              </w:rPr>
              <w:t>.31</w:t>
            </w:r>
          </w:p>
        </w:tc>
        <w:tc>
          <w:tcPr>
            <w:tcW w:w="1081" w:type="dxa"/>
            <w:tcBorders>
              <w:top w:val="nil"/>
              <w:left w:val="nil"/>
              <w:bottom w:val="nil"/>
              <w:right w:val="nil"/>
            </w:tcBorders>
            <w:shd w:val="clear" w:color="auto" w:fill="auto"/>
            <w:vAlign w:val="bottom"/>
          </w:tcPr>
          <w:p w14:paraId="77878FBF" w14:textId="77777777" w:rsidR="00D00B16" w:rsidRDefault="00365F6D">
            <w:pPr>
              <w:jc w:val="center"/>
              <w:rPr>
                <w:color w:val="000000"/>
                <w:sz w:val="20"/>
                <w:szCs w:val="20"/>
              </w:rPr>
            </w:pPr>
            <w:r>
              <w:rPr>
                <w:color w:val="000000"/>
                <w:sz w:val="20"/>
                <w:szCs w:val="20"/>
              </w:rPr>
              <w:t>1</w:t>
            </w:r>
          </w:p>
        </w:tc>
        <w:tc>
          <w:tcPr>
            <w:tcW w:w="1067" w:type="dxa"/>
            <w:tcBorders>
              <w:top w:val="nil"/>
              <w:left w:val="nil"/>
              <w:bottom w:val="nil"/>
              <w:right w:val="nil"/>
            </w:tcBorders>
            <w:shd w:val="clear" w:color="auto" w:fill="auto"/>
            <w:vAlign w:val="bottom"/>
          </w:tcPr>
          <w:p w14:paraId="26A28EB2" w14:textId="77777777" w:rsidR="00D00B16" w:rsidRDefault="00D00B16">
            <w:pPr>
              <w:jc w:val="center"/>
              <w:rPr>
                <w:sz w:val="20"/>
                <w:szCs w:val="20"/>
              </w:rPr>
            </w:pPr>
          </w:p>
        </w:tc>
        <w:tc>
          <w:tcPr>
            <w:tcW w:w="1049" w:type="dxa"/>
            <w:tcBorders>
              <w:top w:val="nil"/>
              <w:left w:val="nil"/>
              <w:bottom w:val="nil"/>
              <w:right w:val="nil"/>
            </w:tcBorders>
            <w:shd w:val="clear" w:color="auto" w:fill="auto"/>
            <w:vAlign w:val="bottom"/>
          </w:tcPr>
          <w:p w14:paraId="45490354" w14:textId="77777777" w:rsidR="00D00B16" w:rsidRDefault="00D00B16">
            <w:pPr>
              <w:jc w:val="center"/>
              <w:rPr>
                <w:sz w:val="20"/>
                <w:szCs w:val="20"/>
              </w:rPr>
            </w:pPr>
          </w:p>
        </w:tc>
        <w:tc>
          <w:tcPr>
            <w:tcW w:w="1141" w:type="dxa"/>
            <w:tcBorders>
              <w:top w:val="nil"/>
              <w:left w:val="nil"/>
              <w:bottom w:val="nil"/>
              <w:right w:val="nil"/>
            </w:tcBorders>
            <w:shd w:val="clear" w:color="auto" w:fill="auto"/>
            <w:vAlign w:val="bottom"/>
          </w:tcPr>
          <w:p w14:paraId="1D117DFE" w14:textId="77777777" w:rsidR="00D00B16" w:rsidRDefault="00D00B16">
            <w:pPr>
              <w:jc w:val="center"/>
              <w:rPr>
                <w:sz w:val="20"/>
                <w:szCs w:val="20"/>
              </w:rPr>
            </w:pPr>
          </w:p>
        </w:tc>
        <w:tc>
          <w:tcPr>
            <w:tcW w:w="1153" w:type="dxa"/>
            <w:tcBorders>
              <w:top w:val="nil"/>
              <w:left w:val="nil"/>
              <w:bottom w:val="nil"/>
              <w:right w:val="nil"/>
            </w:tcBorders>
            <w:shd w:val="clear" w:color="auto" w:fill="auto"/>
            <w:vAlign w:val="bottom"/>
          </w:tcPr>
          <w:p w14:paraId="431B2FE5" w14:textId="77777777" w:rsidR="00D00B16" w:rsidRDefault="00D00B16">
            <w:pPr>
              <w:jc w:val="center"/>
              <w:rPr>
                <w:sz w:val="20"/>
                <w:szCs w:val="20"/>
              </w:rPr>
            </w:pPr>
          </w:p>
        </w:tc>
        <w:tc>
          <w:tcPr>
            <w:tcW w:w="910" w:type="dxa"/>
            <w:tcBorders>
              <w:top w:val="nil"/>
              <w:left w:val="nil"/>
              <w:bottom w:val="nil"/>
              <w:right w:val="nil"/>
            </w:tcBorders>
            <w:shd w:val="clear" w:color="auto" w:fill="auto"/>
            <w:vAlign w:val="bottom"/>
          </w:tcPr>
          <w:p w14:paraId="05094DFE" w14:textId="77777777" w:rsidR="00D00B16" w:rsidRDefault="00D00B16">
            <w:pPr>
              <w:jc w:val="center"/>
              <w:rPr>
                <w:sz w:val="20"/>
                <w:szCs w:val="20"/>
              </w:rPr>
            </w:pPr>
          </w:p>
        </w:tc>
        <w:tc>
          <w:tcPr>
            <w:tcW w:w="1129" w:type="dxa"/>
            <w:tcBorders>
              <w:top w:val="nil"/>
              <w:left w:val="nil"/>
              <w:bottom w:val="nil"/>
              <w:right w:val="nil"/>
            </w:tcBorders>
            <w:shd w:val="clear" w:color="auto" w:fill="auto"/>
            <w:vAlign w:val="bottom"/>
          </w:tcPr>
          <w:p w14:paraId="5101CF08" w14:textId="77777777" w:rsidR="00D00B16" w:rsidRDefault="00D00B16">
            <w:pPr>
              <w:jc w:val="center"/>
              <w:rPr>
                <w:sz w:val="20"/>
                <w:szCs w:val="20"/>
              </w:rPr>
            </w:pPr>
          </w:p>
        </w:tc>
        <w:tc>
          <w:tcPr>
            <w:tcW w:w="1052" w:type="dxa"/>
            <w:tcBorders>
              <w:top w:val="nil"/>
              <w:left w:val="nil"/>
              <w:bottom w:val="nil"/>
              <w:right w:val="nil"/>
            </w:tcBorders>
            <w:shd w:val="clear" w:color="auto" w:fill="auto"/>
            <w:vAlign w:val="bottom"/>
          </w:tcPr>
          <w:p w14:paraId="4D7043DE" w14:textId="77777777" w:rsidR="00D00B16" w:rsidRDefault="00D00B16">
            <w:pPr>
              <w:jc w:val="center"/>
              <w:rPr>
                <w:sz w:val="20"/>
                <w:szCs w:val="20"/>
              </w:rPr>
            </w:pPr>
          </w:p>
        </w:tc>
        <w:tc>
          <w:tcPr>
            <w:tcW w:w="868" w:type="dxa"/>
            <w:tcBorders>
              <w:top w:val="nil"/>
              <w:left w:val="nil"/>
              <w:bottom w:val="nil"/>
              <w:right w:val="nil"/>
            </w:tcBorders>
            <w:shd w:val="clear" w:color="auto" w:fill="auto"/>
            <w:vAlign w:val="bottom"/>
          </w:tcPr>
          <w:p w14:paraId="66E86CF2"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7DA85CD2" w14:textId="77777777" w:rsidR="00D00B16" w:rsidRDefault="00D00B16">
            <w:pPr>
              <w:jc w:val="center"/>
              <w:rPr>
                <w:sz w:val="20"/>
                <w:szCs w:val="20"/>
              </w:rPr>
            </w:pPr>
          </w:p>
        </w:tc>
      </w:tr>
      <w:tr w:rsidR="00D00B16" w14:paraId="41CA5CF5" w14:textId="77777777">
        <w:trPr>
          <w:trHeight w:val="360"/>
        </w:trPr>
        <w:tc>
          <w:tcPr>
            <w:tcW w:w="1973" w:type="dxa"/>
            <w:tcBorders>
              <w:top w:val="nil"/>
              <w:left w:val="nil"/>
              <w:bottom w:val="nil"/>
              <w:right w:val="nil"/>
            </w:tcBorders>
            <w:shd w:val="clear" w:color="auto" w:fill="auto"/>
            <w:vAlign w:val="bottom"/>
          </w:tcPr>
          <w:p w14:paraId="2E8C7801" w14:textId="77777777" w:rsidR="00D00B16" w:rsidRDefault="00365F6D">
            <w:pPr>
              <w:rPr>
                <w:color w:val="000000"/>
                <w:sz w:val="20"/>
                <w:szCs w:val="20"/>
              </w:rPr>
            </w:pPr>
            <w:r>
              <w:rPr>
                <w:color w:val="000000"/>
                <w:sz w:val="20"/>
                <w:szCs w:val="20"/>
              </w:rPr>
              <w:t>Community Logic</w:t>
            </w:r>
          </w:p>
        </w:tc>
        <w:tc>
          <w:tcPr>
            <w:tcW w:w="947" w:type="dxa"/>
            <w:tcBorders>
              <w:top w:val="nil"/>
              <w:left w:val="nil"/>
              <w:bottom w:val="nil"/>
              <w:right w:val="nil"/>
            </w:tcBorders>
            <w:shd w:val="clear" w:color="auto" w:fill="auto"/>
            <w:vAlign w:val="bottom"/>
          </w:tcPr>
          <w:p w14:paraId="5DE47C8D" w14:textId="77777777" w:rsidR="00D00B16" w:rsidRDefault="00365F6D">
            <w:pPr>
              <w:jc w:val="center"/>
              <w:rPr>
                <w:color w:val="000000"/>
                <w:sz w:val="20"/>
                <w:szCs w:val="20"/>
              </w:rPr>
            </w:pPr>
            <w:r>
              <w:rPr>
                <w:color w:val="000000"/>
                <w:sz w:val="20"/>
                <w:szCs w:val="20"/>
              </w:rPr>
              <w:t>.20</w:t>
            </w:r>
          </w:p>
        </w:tc>
        <w:tc>
          <w:tcPr>
            <w:tcW w:w="1081" w:type="dxa"/>
            <w:tcBorders>
              <w:top w:val="nil"/>
              <w:left w:val="nil"/>
              <w:bottom w:val="nil"/>
              <w:right w:val="nil"/>
            </w:tcBorders>
            <w:shd w:val="clear" w:color="auto" w:fill="auto"/>
            <w:vAlign w:val="bottom"/>
          </w:tcPr>
          <w:p w14:paraId="218B2449" w14:textId="77777777" w:rsidR="00D00B16" w:rsidRDefault="00365F6D">
            <w:pPr>
              <w:jc w:val="center"/>
              <w:rPr>
                <w:color w:val="000000"/>
                <w:sz w:val="20"/>
                <w:szCs w:val="20"/>
              </w:rPr>
            </w:pPr>
            <w:r>
              <w:rPr>
                <w:color w:val="000000"/>
                <w:sz w:val="20"/>
                <w:szCs w:val="20"/>
              </w:rPr>
              <w:t>.27</w:t>
            </w:r>
          </w:p>
        </w:tc>
        <w:tc>
          <w:tcPr>
            <w:tcW w:w="1067" w:type="dxa"/>
            <w:tcBorders>
              <w:top w:val="nil"/>
              <w:left w:val="nil"/>
              <w:bottom w:val="nil"/>
              <w:right w:val="nil"/>
            </w:tcBorders>
            <w:shd w:val="clear" w:color="auto" w:fill="auto"/>
            <w:vAlign w:val="bottom"/>
          </w:tcPr>
          <w:p w14:paraId="71FBD00B" w14:textId="77777777" w:rsidR="00D00B16" w:rsidRDefault="00365F6D">
            <w:pPr>
              <w:jc w:val="center"/>
              <w:rPr>
                <w:color w:val="000000"/>
                <w:sz w:val="20"/>
                <w:szCs w:val="20"/>
              </w:rPr>
            </w:pPr>
            <w:r>
              <w:rPr>
                <w:color w:val="000000"/>
                <w:sz w:val="20"/>
                <w:szCs w:val="20"/>
              </w:rPr>
              <w:t>1</w:t>
            </w:r>
          </w:p>
        </w:tc>
        <w:tc>
          <w:tcPr>
            <w:tcW w:w="1049" w:type="dxa"/>
            <w:tcBorders>
              <w:top w:val="nil"/>
              <w:left w:val="nil"/>
              <w:bottom w:val="nil"/>
              <w:right w:val="nil"/>
            </w:tcBorders>
            <w:shd w:val="clear" w:color="auto" w:fill="auto"/>
            <w:vAlign w:val="bottom"/>
          </w:tcPr>
          <w:p w14:paraId="646939CB" w14:textId="77777777" w:rsidR="00D00B16" w:rsidRDefault="00D00B16">
            <w:pPr>
              <w:jc w:val="center"/>
              <w:rPr>
                <w:sz w:val="20"/>
                <w:szCs w:val="20"/>
              </w:rPr>
            </w:pPr>
          </w:p>
        </w:tc>
        <w:tc>
          <w:tcPr>
            <w:tcW w:w="1141" w:type="dxa"/>
            <w:tcBorders>
              <w:top w:val="nil"/>
              <w:left w:val="nil"/>
              <w:bottom w:val="nil"/>
              <w:right w:val="nil"/>
            </w:tcBorders>
            <w:shd w:val="clear" w:color="auto" w:fill="auto"/>
            <w:vAlign w:val="bottom"/>
          </w:tcPr>
          <w:p w14:paraId="33DB0E11" w14:textId="77777777" w:rsidR="00D00B16" w:rsidRDefault="00D00B16">
            <w:pPr>
              <w:jc w:val="center"/>
              <w:rPr>
                <w:sz w:val="20"/>
                <w:szCs w:val="20"/>
              </w:rPr>
            </w:pPr>
          </w:p>
        </w:tc>
        <w:tc>
          <w:tcPr>
            <w:tcW w:w="1153" w:type="dxa"/>
            <w:tcBorders>
              <w:top w:val="nil"/>
              <w:left w:val="nil"/>
              <w:bottom w:val="nil"/>
              <w:right w:val="nil"/>
            </w:tcBorders>
            <w:shd w:val="clear" w:color="auto" w:fill="auto"/>
            <w:vAlign w:val="bottom"/>
          </w:tcPr>
          <w:p w14:paraId="75B77C89" w14:textId="77777777" w:rsidR="00D00B16" w:rsidRDefault="00D00B16">
            <w:pPr>
              <w:jc w:val="center"/>
              <w:rPr>
                <w:sz w:val="20"/>
                <w:szCs w:val="20"/>
              </w:rPr>
            </w:pPr>
          </w:p>
        </w:tc>
        <w:tc>
          <w:tcPr>
            <w:tcW w:w="910" w:type="dxa"/>
            <w:tcBorders>
              <w:top w:val="nil"/>
              <w:left w:val="nil"/>
              <w:bottom w:val="nil"/>
              <w:right w:val="nil"/>
            </w:tcBorders>
            <w:shd w:val="clear" w:color="auto" w:fill="auto"/>
            <w:vAlign w:val="bottom"/>
          </w:tcPr>
          <w:p w14:paraId="1B319639" w14:textId="77777777" w:rsidR="00D00B16" w:rsidRDefault="00D00B16">
            <w:pPr>
              <w:jc w:val="center"/>
              <w:rPr>
                <w:sz w:val="20"/>
                <w:szCs w:val="20"/>
              </w:rPr>
            </w:pPr>
          </w:p>
        </w:tc>
        <w:tc>
          <w:tcPr>
            <w:tcW w:w="1129" w:type="dxa"/>
            <w:tcBorders>
              <w:top w:val="nil"/>
              <w:left w:val="nil"/>
              <w:bottom w:val="nil"/>
              <w:right w:val="nil"/>
            </w:tcBorders>
            <w:shd w:val="clear" w:color="auto" w:fill="auto"/>
            <w:vAlign w:val="bottom"/>
          </w:tcPr>
          <w:p w14:paraId="585CC553" w14:textId="77777777" w:rsidR="00D00B16" w:rsidRDefault="00D00B16">
            <w:pPr>
              <w:jc w:val="center"/>
              <w:rPr>
                <w:sz w:val="20"/>
                <w:szCs w:val="20"/>
              </w:rPr>
            </w:pPr>
          </w:p>
        </w:tc>
        <w:tc>
          <w:tcPr>
            <w:tcW w:w="1052" w:type="dxa"/>
            <w:tcBorders>
              <w:top w:val="nil"/>
              <w:left w:val="nil"/>
              <w:bottom w:val="nil"/>
              <w:right w:val="nil"/>
            </w:tcBorders>
            <w:shd w:val="clear" w:color="auto" w:fill="auto"/>
            <w:vAlign w:val="bottom"/>
          </w:tcPr>
          <w:p w14:paraId="7A0AD8F7" w14:textId="77777777" w:rsidR="00D00B16" w:rsidRDefault="00D00B16">
            <w:pPr>
              <w:jc w:val="center"/>
              <w:rPr>
                <w:sz w:val="20"/>
                <w:szCs w:val="20"/>
              </w:rPr>
            </w:pPr>
          </w:p>
        </w:tc>
        <w:tc>
          <w:tcPr>
            <w:tcW w:w="868" w:type="dxa"/>
            <w:tcBorders>
              <w:top w:val="nil"/>
              <w:left w:val="nil"/>
              <w:bottom w:val="nil"/>
              <w:right w:val="nil"/>
            </w:tcBorders>
            <w:shd w:val="clear" w:color="auto" w:fill="auto"/>
            <w:vAlign w:val="bottom"/>
          </w:tcPr>
          <w:p w14:paraId="0D327771"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641CD954" w14:textId="77777777" w:rsidR="00D00B16" w:rsidRDefault="00D00B16">
            <w:pPr>
              <w:jc w:val="center"/>
              <w:rPr>
                <w:sz w:val="20"/>
                <w:szCs w:val="20"/>
              </w:rPr>
            </w:pPr>
          </w:p>
        </w:tc>
      </w:tr>
      <w:tr w:rsidR="00D00B16" w14:paraId="674D34E0" w14:textId="77777777">
        <w:trPr>
          <w:trHeight w:val="360"/>
        </w:trPr>
        <w:tc>
          <w:tcPr>
            <w:tcW w:w="1973" w:type="dxa"/>
            <w:tcBorders>
              <w:top w:val="nil"/>
              <w:left w:val="nil"/>
              <w:bottom w:val="nil"/>
              <w:right w:val="nil"/>
            </w:tcBorders>
            <w:shd w:val="clear" w:color="auto" w:fill="auto"/>
            <w:vAlign w:val="bottom"/>
          </w:tcPr>
          <w:p w14:paraId="0B5CFCFF" w14:textId="7DEED74B" w:rsidR="00D00B16" w:rsidRDefault="00BB4BE1">
            <w:pPr>
              <w:rPr>
                <w:color w:val="000000"/>
                <w:sz w:val="20"/>
                <w:szCs w:val="20"/>
              </w:rPr>
            </w:pPr>
            <w:r>
              <w:rPr>
                <w:color w:val="000000"/>
                <w:sz w:val="20"/>
                <w:szCs w:val="20"/>
              </w:rPr>
              <w:t>Donation</w:t>
            </w:r>
            <w:r w:rsidR="00365F6D">
              <w:rPr>
                <w:color w:val="000000"/>
                <w:sz w:val="20"/>
                <w:szCs w:val="20"/>
              </w:rPr>
              <w:t>s</w:t>
            </w:r>
          </w:p>
        </w:tc>
        <w:tc>
          <w:tcPr>
            <w:tcW w:w="947" w:type="dxa"/>
            <w:tcBorders>
              <w:top w:val="nil"/>
              <w:left w:val="nil"/>
              <w:bottom w:val="nil"/>
              <w:right w:val="nil"/>
            </w:tcBorders>
            <w:shd w:val="clear" w:color="auto" w:fill="auto"/>
            <w:vAlign w:val="bottom"/>
          </w:tcPr>
          <w:p w14:paraId="09627BE3" w14:textId="77777777" w:rsidR="00D00B16" w:rsidRDefault="00365F6D">
            <w:pPr>
              <w:jc w:val="center"/>
              <w:rPr>
                <w:color w:val="000000"/>
                <w:sz w:val="20"/>
                <w:szCs w:val="20"/>
              </w:rPr>
            </w:pPr>
            <w:r>
              <w:rPr>
                <w:color w:val="000000"/>
                <w:sz w:val="20"/>
                <w:szCs w:val="20"/>
              </w:rPr>
              <w:t>.18</w:t>
            </w:r>
          </w:p>
        </w:tc>
        <w:tc>
          <w:tcPr>
            <w:tcW w:w="1081" w:type="dxa"/>
            <w:tcBorders>
              <w:top w:val="nil"/>
              <w:left w:val="nil"/>
              <w:bottom w:val="nil"/>
              <w:right w:val="nil"/>
            </w:tcBorders>
            <w:shd w:val="clear" w:color="auto" w:fill="auto"/>
            <w:vAlign w:val="bottom"/>
          </w:tcPr>
          <w:p w14:paraId="22375E40" w14:textId="77777777" w:rsidR="00D00B16" w:rsidRDefault="00365F6D">
            <w:pPr>
              <w:jc w:val="center"/>
              <w:rPr>
                <w:color w:val="000000"/>
                <w:sz w:val="20"/>
                <w:szCs w:val="20"/>
              </w:rPr>
            </w:pPr>
            <w:r>
              <w:rPr>
                <w:color w:val="000000"/>
                <w:sz w:val="20"/>
                <w:szCs w:val="20"/>
              </w:rPr>
              <w:t>.08</w:t>
            </w:r>
          </w:p>
        </w:tc>
        <w:tc>
          <w:tcPr>
            <w:tcW w:w="1067" w:type="dxa"/>
            <w:tcBorders>
              <w:top w:val="nil"/>
              <w:left w:val="nil"/>
              <w:bottom w:val="nil"/>
              <w:right w:val="nil"/>
            </w:tcBorders>
            <w:shd w:val="clear" w:color="auto" w:fill="auto"/>
            <w:vAlign w:val="bottom"/>
          </w:tcPr>
          <w:p w14:paraId="41278C3A" w14:textId="77777777" w:rsidR="00D00B16" w:rsidRDefault="00365F6D">
            <w:pPr>
              <w:jc w:val="center"/>
              <w:rPr>
                <w:color w:val="000000"/>
                <w:sz w:val="20"/>
                <w:szCs w:val="20"/>
              </w:rPr>
            </w:pPr>
            <w:r>
              <w:rPr>
                <w:color w:val="000000"/>
                <w:sz w:val="20"/>
                <w:szCs w:val="20"/>
              </w:rPr>
              <w:t>.06</w:t>
            </w:r>
          </w:p>
        </w:tc>
        <w:tc>
          <w:tcPr>
            <w:tcW w:w="1049" w:type="dxa"/>
            <w:tcBorders>
              <w:top w:val="nil"/>
              <w:left w:val="nil"/>
              <w:bottom w:val="nil"/>
              <w:right w:val="nil"/>
            </w:tcBorders>
            <w:shd w:val="clear" w:color="auto" w:fill="auto"/>
            <w:vAlign w:val="bottom"/>
          </w:tcPr>
          <w:p w14:paraId="253B51C8" w14:textId="77777777" w:rsidR="00D00B16" w:rsidRDefault="00365F6D">
            <w:pPr>
              <w:jc w:val="center"/>
              <w:rPr>
                <w:color w:val="000000"/>
                <w:sz w:val="20"/>
                <w:szCs w:val="20"/>
              </w:rPr>
            </w:pPr>
            <w:r>
              <w:rPr>
                <w:color w:val="000000"/>
                <w:sz w:val="20"/>
                <w:szCs w:val="20"/>
              </w:rPr>
              <w:t>1</w:t>
            </w:r>
          </w:p>
        </w:tc>
        <w:tc>
          <w:tcPr>
            <w:tcW w:w="1141" w:type="dxa"/>
            <w:tcBorders>
              <w:top w:val="nil"/>
              <w:left w:val="nil"/>
              <w:bottom w:val="nil"/>
              <w:right w:val="nil"/>
            </w:tcBorders>
            <w:shd w:val="clear" w:color="auto" w:fill="auto"/>
            <w:vAlign w:val="bottom"/>
          </w:tcPr>
          <w:p w14:paraId="6FBD2EC9" w14:textId="77777777" w:rsidR="00D00B16" w:rsidRDefault="00D00B16">
            <w:pPr>
              <w:jc w:val="center"/>
              <w:rPr>
                <w:sz w:val="20"/>
                <w:szCs w:val="20"/>
              </w:rPr>
            </w:pPr>
          </w:p>
        </w:tc>
        <w:tc>
          <w:tcPr>
            <w:tcW w:w="1153" w:type="dxa"/>
            <w:tcBorders>
              <w:top w:val="nil"/>
              <w:left w:val="nil"/>
              <w:bottom w:val="nil"/>
              <w:right w:val="nil"/>
            </w:tcBorders>
            <w:shd w:val="clear" w:color="auto" w:fill="auto"/>
            <w:vAlign w:val="bottom"/>
          </w:tcPr>
          <w:p w14:paraId="47B8B9A6" w14:textId="77777777" w:rsidR="00D00B16" w:rsidRDefault="00D00B16">
            <w:pPr>
              <w:jc w:val="center"/>
              <w:rPr>
                <w:sz w:val="20"/>
                <w:szCs w:val="20"/>
              </w:rPr>
            </w:pPr>
          </w:p>
        </w:tc>
        <w:tc>
          <w:tcPr>
            <w:tcW w:w="910" w:type="dxa"/>
            <w:tcBorders>
              <w:top w:val="nil"/>
              <w:left w:val="nil"/>
              <w:bottom w:val="nil"/>
              <w:right w:val="nil"/>
            </w:tcBorders>
            <w:shd w:val="clear" w:color="auto" w:fill="auto"/>
            <w:vAlign w:val="bottom"/>
          </w:tcPr>
          <w:p w14:paraId="14B6ED0C" w14:textId="77777777" w:rsidR="00D00B16" w:rsidRDefault="00D00B16">
            <w:pPr>
              <w:jc w:val="center"/>
              <w:rPr>
                <w:sz w:val="20"/>
                <w:szCs w:val="20"/>
              </w:rPr>
            </w:pPr>
          </w:p>
        </w:tc>
        <w:tc>
          <w:tcPr>
            <w:tcW w:w="1129" w:type="dxa"/>
            <w:tcBorders>
              <w:top w:val="nil"/>
              <w:left w:val="nil"/>
              <w:bottom w:val="nil"/>
              <w:right w:val="nil"/>
            </w:tcBorders>
            <w:shd w:val="clear" w:color="auto" w:fill="auto"/>
            <w:vAlign w:val="bottom"/>
          </w:tcPr>
          <w:p w14:paraId="48B0B3BC" w14:textId="77777777" w:rsidR="00D00B16" w:rsidRDefault="00D00B16">
            <w:pPr>
              <w:jc w:val="center"/>
              <w:rPr>
                <w:sz w:val="20"/>
                <w:szCs w:val="20"/>
              </w:rPr>
            </w:pPr>
          </w:p>
        </w:tc>
        <w:tc>
          <w:tcPr>
            <w:tcW w:w="1052" w:type="dxa"/>
            <w:tcBorders>
              <w:top w:val="nil"/>
              <w:left w:val="nil"/>
              <w:bottom w:val="nil"/>
              <w:right w:val="nil"/>
            </w:tcBorders>
            <w:shd w:val="clear" w:color="auto" w:fill="auto"/>
            <w:vAlign w:val="bottom"/>
          </w:tcPr>
          <w:p w14:paraId="3DEC0CFD" w14:textId="77777777" w:rsidR="00D00B16" w:rsidRDefault="00D00B16">
            <w:pPr>
              <w:jc w:val="center"/>
              <w:rPr>
                <w:sz w:val="20"/>
                <w:szCs w:val="20"/>
              </w:rPr>
            </w:pPr>
          </w:p>
        </w:tc>
        <w:tc>
          <w:tcPr>
            <w:tcW w:w="868" w:type="dxa"/>
            <w:tcBorders>
              <w:top w:val="nil"/>
              <w:left w:val="nil"/>
              <w:bottom w:val="nil"/>
              <w:right w:val="nil"/>
            </w:tcBorders>
            <w:shd w:val="clear" w:color="auto" w:fill="auto"/>
            <w:vAlign w:val="bottom"/>
          </w:tcPr>
          <w:p w14:paraId="23BB09A6"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596DE092" w14:textId="77777777" w:rsidR="00D00B16" w:rsidRDefault="00D00B16">
            <w:pPr>
              <w:jc w:val="center"/>
              <w:rPr>
                <w:sz w:val="20"/>
                <w:szCs w:val="20"/>
              </w:rPr>
            </w:pPr>
          </w:p>
        </w:tc>
      </w:tr>
      <w:tr w:rsidR="00D00B16" w14:paraId="12F0661C" w14:textId="77777777">
        <w:trPr>
          <w:trHeight w:val="360"/>
        </w:trPr>
        <w:tc>
          <w:tcPr>
            <w:tcW w:w="1973" w:type="dxa"/>
            <w:tcBorders>
              <w:top w:val="nil"/>
              <w:left w:val="nil"/>
              <w:bottom w:val="nil"/>
              <w:right w:val="nil"/>
            </w:tcBorders>
            <w:shd w:val="clear" w:color="auto" w:fill="auto"/>
            <w:vAlign w:val="bottom"/>
          </w:tcPr>
          <w:p w14:paraId="17F26E89" w14:textId="77777777" w:rsidR="00D00B16" w:rsidRDefault="00365F6D">
            <w:pPr>
              <w:rPr>
                <w:color w:val="000000"/>
                <w:sz w:val="20"/>
                <w:szCs w:val="20"/>
              </w:rPr>
            </w:pPr>
            <w:r>
              <w:rPr>
                <w:color w:val="000000"/>
                <w:sz w:val="20"/>
                <w:szCs w:val="20"/>
              </w:rPr>
              <w:t>Donative Dominance</w:t>
            </w:r>
          </w:p>
        </w:tc>
        <w:tc>
          <w:tcPr>
            <w:tcW w:w="947" w:type="dxa"/>
            <w:tcBorders>
              <w:top w:val="nil"/>
              <w:left w:val="nil"/>
              <w:bottom w:val="nil"/>
              <w:right w:val="nil"/>
            </w:tcBorders>
            <w:shd w:val="clear" w:color="auto" w:fill="auto"/>
            <w:vAlign w:val="bottom"/>
          </w:tcPr>
          <w:p w14:paraId="4A874C98" w14:textId="77777777" w:rsidR="00D00B16" w:rsidRDefault="00365F6D">
            <w:pPr>
              <w:jc w:val="center"/>
              <w:rPr>
                <w:color w:val="000000"/>
                <w:sz w:val="20"/>
                <w:szCs w:val="20"/>
              </w:rPr>
            </w:pPr>
            <w:r>
              <w:rPr>
                <w:color w:val="000000"/>
                <w:sz w:val="20"/>
                <w:szCs w:val="20"/>
              </w:rPr>
              <w:t>.16</w:t>
            </w:r>
          </w:p>
        </w:tc>
        <w:tc>
          <w:tcPr>
            <w:tcW w:w="1081" w:type="dxa"/>
            <w:tcBorders>
              <w:top w:val="nil"/>
              <w:left w:val="nil"/>
              <w:bottom w:val="nil"/>
              <w:right w:val="nil"/>
            </w:tcBorders>
            <w:shd w:val="clear" w:color="auto" w:fill="auto"/>
            <w:vAlign w:val="bottom"/>
          </w:tcPr>
          <w:p w14:paraId="4392405B" w14:textId="77777777" w:rsidR="00D00B16" w:rsidRDefault="00365F6D">
            <w:pPr>
              <w:jc w:val="center"/>
              <w:rPr>
                <w:color w:val="000000"/>
                <w:sz w:val="20"/>
                <w:szCs w:val="20"/>
              </w:rPr>
            </w:pPr>
            <w:r>
              <w:rPr>
                <w:color w:val="000000"/>
                <w:sz w:val="20"/>
                <w:szCs w:val="20"/>
              </w:rPr>
              <w:t>.07</w:t>
            </w:r>
          </w:p>
        </w:tc>
        <w:tc>
          <w:tcPr>
            <w:tcW w:w="1067" w:type="dxa"/>
            <w:tcBorders>
              <w:top w:val="nil"/>
              <w:left w:val="nil"/>
              <w:bottom w:val="nil"/>
              <w:right w:val="nil"/>
            </w:tcBorders>
            <w:shd w:val="clear" w:color="auto" w:fill="auto"/>
            <w:vAlign w:val="bottom"/>
          </w:tcPr>
          <w:p w14:paraId="5CBBB46E" w14:textId="77777777" w:rsidR="00D00B16" w:rsidRDefault="00365F6D">
            <w:pPr>
              <w:jc w:val="center"/>
              <w:rPr>
                <w:color w:val="000000"/>
                <w:sz w:val="20"/>
                <w:szCs w:val="20"/>
              </w:rPr>
            </w:pPr>
            <w:r>
              <w:rPr>
                <w:color w:val="000000"/>
                <w:sz w:val="20"/>
                <w:szCs w:val="20"/>
              </w:rPr>
              <w:t>.07</w:t>
            </w:r>
          </w:p>
        </w:tc>
        <w:tc>
          <w:tcPr>
            <w:tcW w:w="1049" w:type="dxa"/>
            <w:tcBorders>
              <w:top w:val="nil"/>
              <w:left w:val="nil"/>
              <w:bottom w:val="nil"/>
              <w:right w:val="nil"/>
            </w:tcBorders>
            <w:shd w:val="clear" w:color="auto" w:fill="auto"/>
            <w:vAlign w:val="bottom"/>
          </w:tcPr>
          <w:p w14:paraId="2805C3D8" w14:textId="77777777" w:rsidR="00D00B16" w:rsidRDefault="00365F6D">
            <w:pPr>
              <w:jc w:val="center"/>
              <w:rPr>
                <w:color w:val="000000"/>
                <w:sz w:val="20"/>
                <w:szCs w:val="20"/>
              </w:rPr>
            </w:pPr>
            <w:r>
              <w:rPr>
                <w:color w:val="000000"/>
                <w:sz w:val="20"/>
                <w:szCs w:val="20"/>
              </w:rPr>
              <w:t>.82</w:t>
            </w:r>
          </w:p>
        </w:tc>
        <w:tc>
          <w:tcPr>
            <w:tcW w:w="1141" w:type="dxa"/>
            <w:tcBorders>
              <w:top w:val="nil"/>
              <w:left w:val="nil"/>
              <w:bottom w:val="nil"/>
              <w:right w:val="nil"/>
            </w:tcBorders>
            <w:shd w:val="clear" w:color="auto" w:fill="auto"/>
            <w:vAlign w:val="bottom"/>
          </w:tcPr>
          <w:p w14:paraId="0036EDD2" w14:textId="77777777" w:rsidR="00D00B16" w:rsidRDefault="00365F6D">
            <w:pPr>
              <w:jc w:val="center"/>
              <w:rPr>
                <w:color w:val="000000"/>
                <w:sz w:val="20"/>
                <w:szCs w:val="20"/>
              </w:rPr>
            </w:pPr>
            <w:r>
              <w:rPr>
                <w:color w:val="000000"/>
                <w:sz w:val="20"/>
                <w:szCs w:val="20"/>
              </w:rPr>
              <w:t>1</w:t>
            </w:r>
          </w:p>
        </w:tc>
        <w:tc>
          <w:tcPr>
            <w:tcW w:w="1153" w:type="dxa"/>
            <w:tcBorders>
              <w:top w:val="nil"/>
              <w:left w:val="nil"/>
              <w:bottom w:val="nil"/>
              <w:right w:val="nil"/>
            </w:tcBorders>
            <w:shd w:val="clear" w:color="auto" w:fill="auto"/>
            <w:vAlign w:val="bottom"/>
          </w:tcPr>
          <w:p w14:paraId="564E352E" w14:textId="77777777" w:rsidR="00D00B16" w:rsidRDefault="00D00B16">
            <w:pPr>
              <w:jc w:val="center"/>
              <w:rPr>
                <w:sz w:val="20"/>
                <w:szCs w:val="20"/>
              </w:rPr>
            </w:pPr>
          </w:p>
        </w:tc>
        <w:tc>
          <w:tcPr>
            <w:tcW w:w="910" w:type="dxa"/>
            <w:tcBorders>
              <w:top w:val="nil"/>
              <w:left w:val="nil"/>
              <w:bottom w:val="nil"/>
              <w:right w:val="nil"/>
            </w:tcBorders>
            <w:shd w:val="clear" w:color="auto" w:fill="auto"/>
            <w:vAlign w:val="bottom"/>
          </w:tcPr>
          <w:p w14:paraId="115AFFC8" w14:textId="77777777" w:rsidR="00D00B16" w:rsidRDefault="00D00B16">
            <w:pPr>
              <w:jc w:val="center"/>
              <w:rPr>
                <w:sz w:val="20"/>
                <w:szCs w:val="20"/>
              </w:rPr>
            </w:pPr>
          </w:p>
        </w:tc>
        <w:tc>
          <w:tcPr>
            <w:tcW w:w="1129" w:type="dxa"/>
            <w:tcBorders>
              <w:top w:val="nil"/>
              <w:left w:val="nil"/>
              <w:bottom w:val="nil"/>
              <w:right w:val="nil"/>
            </w:tcBorders>
            <w:shd w:val="clear" w:color="auto" w:fill="auto"/>
            <w:vAlign w:val="bottom"/>
          </w:tcPr>
          <w:p w14:paraId="6B1343E4" w14:textId="77777777" w:rsidR="00D00B16" w:rsidRDefault="00D00B16">
            <w:pPr>
              <w:jc w:val="center"/>
              <w:rPr>
                <w:sz w:val="20"/>
                <w:szCs w:val="20"/>
              </w:rPr>
            </w:pPr>
          </w:p>
        </w:tc>
        <w:tc>
          <w:tcPr>
            <w:tcW w:w="1052" w:type="dxa"/>
            <w:tcBorders>
              <w:top w:val="nil"/>
              <w:left w:val="nil"/>
              <w:bottom w:val="nil"/>
              <w:right w:val="nil"/>
            </w:tcBorders>
            <w:shd w:val="clear" w:color="auto" w:fill="auto"/>
            <w:vAlign w:val="bottom"/>
          </w:tcPr>
          <w:p w14:paraId="5D20706C" w14:textId="77777777" w:rsidR="00D00B16" w:rsidRDefault="00D00B16">
            <w:pPr>
              <w:jc w:val="center"/>
              <w:rPr>
                <w:sz w:val="20"/>
                <w:szCs w:val="20"/>
              </w:rPr>
            </w:pPr>
          </w:p>
        </w:tc>
        <w:tc>
          <w:tcPr>
            <w:tcW w:w="868" w:type="dxa"/>
            <w:tcBorders>
              <w:top w:val="nil"/>
              <w:left w:val="nil"/>
              <w:bottom w:val="nil"/>
              <w:right w:val="nil"/>
            </w:tcBorders>
            <w:shd w:val="clear" w:color="auto" w:fill="auto"/>
            <w:vAlign w:val="bottom"/>
          </w:tcPr>
          <w:p w14:paraId="4085BCF8"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65AF58D9" w14:textId="77777777" w:rsidR="00D00B16" w:rsidRDefault="00D00B16">
            <w:pPr>
              <w:jc w:val="center"/>
              <w:rPr>
                <w:sz w:val="20"/>
                <w:szCs w:val="20"/>
              </w:rPr>
            </w:pPr>
          </w:p>
        </w:tc>
      </w:tr>
      <w:tr w:rsidR="00D00B16" w14:paraId="02E980F6" w14:textId="77777777">
        <w:trPr>
          <w:trHeight w:val="360"/>
        </w:trPr>
        <w:tc>
          <w:tcPr>
            <w:tcW w:w="1973" w:type="dxa"/>
            <w:tcBorders>
              <w:top w:val="nil"/>
              <w:left w:val="nil"/>
              <w:bottom w:val="nil"/>
              <w:right w:val="nil"/>
            </w:tcBorders>
            <w:shd w:val="clear" w:color="auto" w:fill="auto"/>
            <w:vAlign w:val="bottom"/>
          </w:tcPr>
          <w:p w14:paraId="2B89FB84" w14:textId="77777777" w:rsidR="00D00B16" w:rsidRDefault="00365F6D">
            <w:pPr>
              <w:rPr>
                <w:color w:val="000000"/>
                <w:sz w:val="20"/>
                <w:szCs w:val="20"/>
              </w:rPr>
            </w:pPr>
            <w:r>
              <w:rPr>
                <w:color w:val="000000"/>
                <w:sz w:val="20"/>
                <w:szCs w:val="20"/>
              </w:rPr>
              <w:t>Embeddedness</w:t>
            </w:r>
          </w:p>
        </w:tc>
        <w:tc>
          <w:tcPr>
            <w:tcW w:w="947" w:type="dxa"/>
            <w:tcBorders>
              <w:top w:val="nil"/>
              <w:left w:val="nil"/>
              <w:bottom w:val="nil"/>
              <w:right w:val="nil"/>
            </w:tcBorders>
            <w:shd w:val="clear" w:color="auto" w:fill="auto"/>
            <w:vAlign w:val="bottom"/>
          </w:tcPr>
          <w:p w14:paraId="6782CB65" w14:textId="77777777" w:rsidR="00D00B16" w:rsidRDefault="00365F6D">
            <w:pPr>
              <w:jc w:val="center"/>
              <w:rPr>
                <w:color w:val="000000"/>
                <w:sz w:val="20"/>
                <w:szCs w:val="20"/>
              </w:rPr>
            </w:pPr>
            <w:r>
              <w:rPr>
                <w:color w:val="000000"/>
                <w:sz w:val="20"/>
                <w:szCs w:val="20"/>
              </w:rPr>
              <w:t>.21</w:t>
            </w:r>
          </w:p>
        </w:tc>
        <w:tc>
          <w:tcPr>
            <w:tcW w:w="1081" w:type="dxa"/>
            <w:tcBorders>
              <w:top w:val="nil"/>
              <w:left w:val="nil"/>
              <w:bottom w:val="nil"/>
              <w:right w:val="nil"/>
            </w:tcBorders>
            <w:shd w:val="clear" w:color="auto" w:fill="auto"/>
            <w:vAlign w:val="bottom"/>
          </w:tcPr>
          <w:p w14:paraId="1FC1D6BB" w14:textId="77777777" w:rsidR="00D00B16" w:rsidRDefault="00365F6D">
            <w:pPr>
              <w:jc w:val="center"/>
              <w:rPr>
                <w:color w:val="000000"/>
                <w:sz w:val="20"/>
                <w:szCs w:val="20"/>
              </w:rPr>
            </w:pPr>
            <w:r>
              <w:rPr>
                <w:color w:val="000000"/>
                <w:sz w:val="20"/>
                <w:szCs w:val="20"/>
              </w:rPr>
              <w:t>.37</w:t>
            </w:r>
          </w:p>
        </w:tc>
        <w:tc>
          <w:tcPr>
            <w:tcW w:w="1067" w:type="dxa"/>
            <w:tcBorders>
              <w:top w:val="nil"/>
              <w:left w:val="nil"/>
              <w:bottom w:val="nil"/>
              <w:right w:val="nil"/>
            </w:tcBorders>
            <w:shd w:val="clear" w:color="auto" w:fill="auto"/>
            <w:vAlign w:val="bottom"/>
          </w:tcPr>
          <w:p w14:paraId="6A579321" w14:textId="77777777" w:rsidR="00D00B16" w:rsidRDefault="00365F6D">
            <w:pPr>
              <w:jc w:val="center"/>
              <w:rPr>
                <w:color w:val="000000"/>
                <w:sz w:val="20"/>
                <w:szCs w:val="20"/>
              </w:rPr>
            </w:pPr>
            <w:r>
              <w:rPr>
                <w:color w:val="000000"/>
                <w:sz w:val="20"/>
                <w:szCs w:val="20"/>
              </w:rPr>
              <w:t>.33</w:t>
            </w:r>
          </w:p>
        </w:tc>
        <w:tc>
          <w:tcPr>
            <w:tcW w:w="1049" w:type="dxa"/>
            <w:tcBorders>
              <w:top w:val="nil"/>
              <w:left w:val="nil"/>
              <w:bottom w:val="nil"/>
              <w:right w:val="nil"/>
            </w:tcBorders>
            <w:shd w:val="clear" w:color="auto" w:fill="auto"/>
            <w:vAlign w:val="bottom"/>
          </w:tcPr>
          <w:p w14:paraId="3CB458F7" w14:textId="77777777" w:rsidR="00D00B16" w:rsidRDefault="00365F6D">
            <w:pPr>
              <w:jc w:val="center"/>
              <w:rPr>
                <w:color w:val="000000"/>
                <w:sz w:val="20"/>
                <w:szCs w:val="20"/>
              </w:rPr>
            </w:pPr>
            <w:r>
              <w:rPr>
                <w:color w:val="000000"/>
                <w:sz w:val="20"/>
                <w:szCs w:val="20"/>
              </w:rPr>
              <w:t>.08</w:t>
            </w:r>
          </w:p>
        </w:tc>
        <w:tc>
          <w:tcPr>
            <w:tcW w:w="1141" w:type="dxa"/>
            <w:tcBorders>
              <w:top w:val="nil"/>
              <w:left w:val="nil"/>
              <w:bottom w:val="nil"/>
              <w:right w:val="nil"/>
            </w:tcBorders>
            <w:shd w:val="clear" w:color="auto" w:fill="auto"/>
            <w:vAlign w:val="bottom"/>
          </w:tcPr>
          <w:p w14:paraId="6DC5DEDC" w14:textId="77777777" w:rsidR="00D00B16" w:rsidRDefault="00365F6D">
            <w:pPr>
              <w:jc w:val="center"/>
              <w:rPr>
                <w:color w:val="000000"/>
                <w:sz w:val="20"/>
                <w:szCs w:val="20"/>
              </w:rPr>
            </w:pPr>
            <w:r>
              <w:rPr>
                <w:color w:val="000000"/>
                <w:sz w:val="20"/>
                <w:szCs w:val="20"/>
              </w:rPr>
              <w:t>.11</w:t>
            </w:r>
          </w:p>
        </w:tc>
        <w:tc>
          <w:tcPr>
            <w:tcW w:w="1153" w:type="dxa"/>
            <w:tcBorders>
              <w:top w:val="nil"/>
              <w:left w:val="nil"/>
              <w:bottom w:val="nil"/>
              <w:right w:val="nil"/>
            </w:tcBorders>
            <w:shd w:val="clear" w:color="auto" w:fill="auto"/>
            <w:vAlign w:val="bottom"/>
          </w:tcPr>
          <w:p w14:paraId="5B0383AC" w14:textId="77777777" w:rsidR="00D00B16" w:rsidRDefault="00365F6D">
            <w:pPr>
              <w:jc w:val="center"/>
              <w:rPr>
                <w:color w:val="000000"/>
                <w:sz w:val="20"/>
                <w:szCs w:val="20"/>
              </w:rPr>
            </w:pPr>
            <w:r>
              <w:rPr>
                <w:color w:val="000000"/>
                <w:sz w:val="20"/>
                <w:szCs w:val="20"/>
              </w:rPr>
              <w:t>1</w:t>
            </w:r>
          </w:p>
        </w:tc>
        <w:tc>
          <w:tcPr>
            <w:tcW w:w="910" w:type="dxa"/>
            <w:tcBorders>
              <w:top w:val="nil"/>
              <w:left w:val="nil"/>
              <w:bottom w:val="nil"/>
              <w:right w:val="nil"/>
            </w:tcBorders>
            <w:shd w:val="clear" w:color="auto" w:fill="auto"/>
            <w:vAlign w:val="bottom"/>
          </w:tcPr>
          <w:p w14:paraId="30DF511A" w14:textId="77777777" w:rsidR="00D00B16" w:rsidRDefault="00D00B16">
            <w:pPr>
              <w:jc w:val="center"/>
              <w:rPr>
                <w:sz w:val="20"/>
                <w:szCs w:val="20"/>
              </w:rPr>
            </w:pPr>
          </w:p>
        </w:tc>
        <w:tc>
          <w:tcPr>
            <w:tcW w:w="1129" w:type="dxa"/>
            <w:tcBorders>
              <w:top w:val="nil"/>
              <w:left w:val="nil"/>
              <w:bottom w:val="nil"/>
              <w:right w:val="nil"/>
            </w:tcBorders>
            <w:shd w:val="clear" w:color="auto" w:fill="auto"/>
            <w:vAlign w:val="bottom"/>
          </w:tcPr>
          <w:p w14:paraId="02371057" w14:textId="77777777" w:rsidR="00D00B16" w:rsidRDefault="00D00B16">
            <w:pPr>
              <w:jc w:val="center"/>
              <w:rPr>
                <w:sz w:val="20"/>
                <w:szCs w:val="20"/>
              </w:rPr>
            </w:pPr>
          </w:p>
        </w:tc>
        <w:tc>
          <w:tcPr>
            <w:tcW w:w="1052" w:type="dxa"/>
            <w:tcBorders>
              <w:top w:val="nil"/>
              <w:left w:val="nil"/>
              <w:bottom w:val="nil"/>
              <w:right w:val="nil"/>
            </w:tcBorders>
            <w:shd w:val="clear" w:color="auto" w:fill="auto"/>
            <w:vAlign w:val="bottom"/>
          </w:tcPr>
          <w:p w14:paraId="157A8E6F" w14:textId="77777777" w:rsidR="00D00B16" w:rsidRDefault="00D00B16">
            <w:pPr>
              <w:jc w:val="center"/>
              <w:rPr>
                <w:sz w:val="20"/>
                <w:szCs w:val="20"/>
              </w:rPr>
            </w:pPr>
          </w:p>
        </w:tc>
        <w:tc>
          <w:tcPr>
            <w:tcW w:w="868" w:type="dxa"/>
            <w:tcBorders>
              <w:top w:val="nil"/>
              <w:left w:val="nil"/>
              <w:bottom w:val="nil"/>
              <w:right w:val="nil"/>
            </w:tcBorders>
            <w:shd w:val="clear" w:color="auto" w:fill="auto"/>
            <w:vAlign w:val="bottom"/>
          </w:tcPr>
          <w:p w14:paraId="19B6EDFA"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19D45C66" w14:textId="77777777" w:rsidR="00D00B16" w:rsidRDefault="00D00B16">
            <w:pPr>
              <w:jc w:val="center"/>
              <w:rPr>
                <w:sz w:val="20"/>
                <w:szCs w:val="20"/>
              </w:rPr>
            </w:pPr>
          </w:p>
        </w:tc>
      </w:tr>
      <w:tr w:rsidR="00D00B16" w14:paraId="35CE59F3" w14:textId="77777777">
        <w:trPr>
          <w:trHeight w:val="360"/>
        </w:trPr>
        <w:tc>
          <w:tcPr>
            <w:tcW w:w="1973" w:type="dxa"/>
            <w:tcBorders>
              <w:top w:val="nil"/>
              <w:left w:val="nil"/>
              <w:bottom w:val="nil"/>
              <w:right w:val="nil"/>
            </w:tcBorders>
            <w:shd w:val="clear" w:color="auto" w:fill="auto"/>
            <w:vAlign w:val="bottom"/>
          </w:tcPr>
          <w:p w14:paraId="530510EB" w14:textId="77777777" w:rsidR="00D00B16" w:rsidRDefault="00365F6D">
            <w:pPr>
              <w:rPr>
                <w:color w:val="000000"/>
                <w:sz w:val="20"/>
                <w:szCs w:val="20"/>
              </w:rPr>
            </w:pPr>
            <w:r>
              <w:rPr>
                <w:color w:val="000000"/>
                <w:sz w:val="20"/>
                <w:szCs w:val="20"/>
              </w:rPr>
              <w:t>Social Justice</w:t>
            </w:r>
          </w:p>
        </w:tc>
        <w:tc>
          <w:tcPr>
            <w:tcW w:w="947" w:type="dxa"/>
            <w:tcBorders>
              <w:top w:val="nil"/>
              <w:left w:val="nil"/>
              <w:bottom w:val="nil"/>
              <w:right w:val="nil"/>
            </w:tcBorders>
            <w:shd w:val="clear" w:color="auto" w:fill="auto"/>
            <w:vAlign w:val="bottom"/>
          </w:tcPr>
          <w:p w14:paraId="0466E004" w14:textId="77777777" w:rsidR="00D00B16" w:rsidRDefault="00365F6D">
            <w:pPr>
              <w:jc w:val="center"/>
              <w:rPr>
                <w:color w:val="000000"/>
                <w:sz w:val="20"/>
                <w:szCs w:val="20"/>
              </w:rPr>
            </w:pPr>
            <w:r>
              <w:rPr>
                <w:color w:val="000000"/>
                <w:sz w:val="20"/>
                <w:szCs w:val="20"/>
              </w:rPr>
              <w:t>.14</w:t>
            </w:r>
          </w:p>
        </w:tc>
        <w:tc>
          <w:tcPr>
            <w:tcW w:w="1081" w:type="dxa"/>
            <w:tcBorders>
              <w:top w:val="nil"/>
              <w:left w:val="nil"/>
              <w:bottom w:val="nil"/>
              <w:right w:val="nil"/>
            </w:tcBorders>
            <w:shd w:val="clear" w:color="auto" w:fill="auto"/>
            <w:vAlign w:val="bottom"/>
          </w:tcPr>
          <w:p w14:paraId="79ACBF5C" w14:textId="77777777" w:rsidR="00D00B16" w:rsidRDefault="00365F6D">
            <w:pPr>
              <w:jc w:val="center"/>
              <w:rPr>
                <w:color w:val="000000"/>
                <w:sz w:val="20"/>
                <w:szCs w:val="20"/>
              </w:rPr>
            </w:pPr>
            <w:r>
              <w:rPr>
                <w:color w:val="000000"/>
                <w:sz w:val="20"/>
                <w:szCs w:val="20"/>
              </w:rPr>
              <w:t>.22</w:t>
            </w:r>
          </w:p>
        </w:tc>
        <w:tc>
          <w:tcPr>
            <w:tcW w:w="1067" w:type="dxa"/>
            <w:tcBorders>
              <w:top w:val="nil"/>
              <w:left w:val="nil"/>
              <w:bottom w:val="nil"/>
              <w:right w:val="nil"/>
            </w:tcBorders>
            <w:shd w:val="clear" w:color="auto" w:fill="auto"/>
            <w:vAlign w:val="bottom"/>
          </w:tcPr>
          <w:p w14:paraId="73361851" w14:textId="77777777" w:rsidR="00D00B16" w:rsidRDefault="00365F6D">
            <w:pPr>
              <w:jc w:val="center"/>
              <w:rPr>
                <w:color w:val="000000"/>
                <w:sz w:val="20"/>
                <w:szCs w:val="20"/>
              </w:rPr>
            </w:pPr>
            <w:r>
              <w:rPr>
                <w:color w:val="000000"/>
                <w:sz w:val="20"/>
                <w:szCs w:val="20"/>
              </w:rPr>
              <w:t>.18</w:t>
            </w:r>
          </w:p>
        </w:tc>
        <w:tc>
          <w:tcPr>
            <w:tcW w:w="1049" w:type="dxa"/>
            <w:tcBorders>
              <w:top w:val="nil"/>
              <w:left w:val="nil"/>
              <w:bottom w:val="nil"/>
              <w:right w:val="nil"/>
            </w:tcBorders>
            <w:shd w:val="clear" w:color="auto" w:fill="auto"/>
            <w:vAlign w:val="bottom"/>
          </w:tcPr>
          <w:p w14:paraId="7D4FCAD7" w14:textId="77777777" w:rsidR="00D00B16" w:rsidRDefault="00365F6D">
            <w:pPr>
              <w:jc w:val="center"/>
              <w:rPr>
                <w:color w:val="000000"/>
                <w:sz w:val="20"/>
                <w:szCs w:val="20"/>
              </w:rPr>
            </w:pPr>
            <w:r>
              <w:rPr>
                <w:color w:val="000000"/>
                <w:sz w:val="20"/>
                <w:szCs w:val="20"/>
              </w:rPr>
              <w:t>.02</w:t>
            </w:r>
          </w:p>
        </w:tc>
        <w:tc>
          <w:tcPr>
            <w:tcW w:w="1141" w:type="dxa"/>
            <w:tcBorders>
              <w:top w:val="nil"/>
              <w:left w:val="nil"/>
              <w:bottom w:val="nil"/>
              <w:right w:val="nil"/>
            </w:tcBorders>
            <w:shd w:val="clear" w:color="auto" w:fill="auto"/>
            <w:vAlign w:val="bottom"/>
          </w:tcPr>
          <w:p w14:paraId="79259E33" w14:textId="77777777" w:rsidR="00D00B16" w:rsidRDefault="00365F6D">
            <w:pPr>
              <w:jc w:val="center"/>
              <w:rPr>
                <w:color w:val="000000"/>
                <w:sz w:val="20"/>
                <w:szCs w:val="20"/>
              </w:rPr>
            </w:pPr>
            <w:r>
              <w:rPr>
                <w:color w:val="000000"/>
                <w:sz w:val="20"/>
                <w:szCs w:val="20"/>
              </w:rPr>
              <w:t>.05</w:t>
            </w:r>
          </w:p>
        </w:tc>
        <w:tc>
          <w:tcPr>
            <w:tcW w:w="1153" w:type="dxa"/>
            <w:tcBorders>
              <w:top w:val="nil"/>
              <w:left w:val="nil"/>
              <w:bottom w:val="nil"/>
              <w:right w:val="nil"/>
            </w:tcBorders>
            <w:shd w:val="clear" w:color="auto" w:fill="auto"/>
            <w:vAlign w:val="bottom"/>
          </w:tcPr>
          <w:p w14:paraId="333313B9" w14:textId="77777777" w:rsidR="00D00B16" w:rsidRDefault="00365F6D">
            <w:pPr>
              <w:jc w:val="center"/>
              <w:rPr>
                <w:color w:val="000000"/>
                <w:sz w:val="20"/>
                <w:szCs w:val="20"/>
              </w:rPr>
            </w:pPr>
            <w:r>
              <w:rPr>
                <w:color w:val="000000"/>
                <w:sz w:val="20"/>
                <w:szCs w:val="20"/>
              </w:rPr>
              <w:t>.49</w:t>
            </w:r>
          </w:p>
        </w:tc>
        <w:tc>
          <w:tcPr>
            <w:tcW w:w="910" w:type="dxa"/>
            <w:tcBorders>
              <w:top w:val="nil"/>
              <w:left w:val="nil"/>
              <w:bottom w:val="nil"/>
              <w:right w:val="nil"/>
            </w:tcBorders>
            <w:shd w:val="clear" w:color="auto" w:fill="auto"/>
            <w:vAlign w:val="bottom"/>
          </w:tcPr>
          <w:p w14:paraId="49886A29" w14:textId="77777777" w:rsidR="00D00B16" w:rsidRDefault="00365F6D">
            <w:pPr>
              <w:jc w:val="center"/>
              <w:rPr>
                <w:color w:val="000000"/>
                <w:sz w:val="20"/>
                <w:szCs w:val="20"/>
              </w:rPr>
            </w:pPr>
            <w:r>
              <w:rPr>
                <w:color w:val="000000"/>
                <w:sz w:val="20"/>
                <w:szCs w:val="20"/>
              </w:rPr>
              <w:t>1</w:t>
            </w:r>
          </w:p>
        </w:tc>
        <w:tc>
          <w:tcPr>
            <w:tcW w:w="1129" w:type="dxa"/>
            <w:tcBorders>
              <w:top w:val="nil"/>
              <w:left w:val="nil"/>
              <w:bottom w:val="nil"/>
              <w:right w:val="nil"/>
            </w:tcBorders>
            <w:shd w:val="clear" w:color="auto" w:fill="auto"/>
            <w:vAlign w:val="bottom"/>
          </w:tcPr>
          <w:p w14:paraId="115D8B74" w14:textId="77777777" w:rsidR="00D00B16" w:rsidRDefault="00D00B16">
            <w:pPr>
              <w:jc w:val="center"/>
              <w:rPr>
                <w:sz w:val="20"/>
                <w:szCs w:val="20"/>
              </w:rPr>
            </w:pPr>
          </w:p>
        </w:tc>
        <w:tc>
          <w:tcPr>
            <w:tcW w:w="1052" w:type="dxa"/>
            <w:tcBorders>
              <w:top w:val="nil"/>
              <w:left w:val="nil"/>
              <w:bottom w:val="nil"/>
              <w:right w:val="nil"/>
            </w:tcBorders>
            <w:shd w:val="clear" w:color="auto" w:fill="auto"/>
            <w:vAlign w:val="bottom"/>
          </w:tcPr>
          <w:p w14:paraId="4CBB8B7A" w14:textId="77777777" w:rsidR="00D00B16" w:rsidRDefault="00D00B16">
            <w:pPr>
              <w:jc w:val="center"/>
              <w:rPr>
                <w:sz w:val="20"/>
                <w:szCs w:val="20"/>
              </w:rPr>
            </w:pPr>
          </w:p>
        </w:tc>
        <w:tc>
          <w:tcPr>
            <w:tcW w:w="868" w:type="dxa"/>
            <w:tcBorders>
              <w:top w:val="nil"/>
              <w:left w:val="nil"/>
              <w:bottom w:val="nil"/>
              <w:right w:val="nil"/>
            </w:tcBorders>
            <w:shd w:val="clear" w:color="auto" w:fill="auto"/>
            <w:vAlign w:val="bottom"/>
          </w:tcPr>
          <w:p w14:paraId="51E292D9"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7C286C44" w14:textId="77777777" w:rsidR="00D00B16" w:rsidRDefault="00D00B16">
            <w:pPr>
              <w:jc w:val="center"/>
              <w:rPr>
                <w:sz w:val="20"/>
                <w:szCs w:val="20"/>
              </w:rPr>
            </w:pPr>
          </w:p>
        </w:tc>
      </w:tr>
      <w:tr w:rsidR="00D00B16" w14:paraId="0D0C3BF9" w14:textId="77777777">
        <w:trPr>
          <w:trHeight w:val="360"/>
        </w:trPr>
        <w:tc>
          <w:tcPr>
            <w:tcW w:w="1973" w:type="dxa"/>
            <w:tcBorders>
              <w:top w:val="nil"/>
              <w:left w:val="nil"/>
              <w:bottom w:val="nil"/>
              <w:right w:val="nil"/>
            </w:tcBorders>
            <w:shd w:val="clear" w:color="auto" w:fill="auto"/>
            <w:vAlign w:val="bottom"/>
          </w:tcPr>
          <w:p w14:paraId="485D92D2" w14:textId="77777777" w:rsidR="00D00B16" w:rsidRDefault="00365F6D">
            <w:pPr>
              <w:rPr>
                <w:color w:val="000000"/>
                <w:sz w:val="20"/>
                <w:szCs w:val="20"/>
              </w:rPr>
            </w:pPr>
            <w:r>
              <w:rPr>
                <w:color w:val="000000"/>
                <w:sz w:val="20"/>
                <w:szCs w:val="20"/>
              </w:rPr>
              <w:t>Professionalization</w:t>
            </w:r>
          </w:p>
        </w:tc>
        <w:tc>
          <w:tcPr>
            <w:tcW w:w="947" w:type="dxa"/>
            <w:tcBorders>
              <w:top w:val="nil"/>
              <w:left w:val="nil"/>
              <w:bottom w:val="nil"/>
              <w:right w:val="nil"/>
            </w:tcBorders>
            <w:shd w:val="clear" w:color="auto" w:fill="auto"/>
            <w:vAlign w:val="bottom"/>
          </w:tcPr>
          <w:p w14:paraId="48D6706F" w14:textId="77777777" w:rsidR="00D00B16" w:rsidRDefault="00365F6D">
            <w:pPr>
              <w:jc w:val="center"/>
              <w:rPr>
                <w:color w:val="000000"/>
                <w:sz w:val="20"/>
                <w:szCs w:val="20"/>
              </w:rPr>
            </w:pPr>
            <w:r>
              <w:rPr>
                <w:color w:val="000000"/>
                <w:sz w:val="20"/>
                <w:szCs w:val="20"/>
              </w:rPr>
              <w:t>.03</w:t>
            </w:r>
          </w:p>
        </w:tc>
        <w:tc>
          <w:tcPr>
            <w:tcW w:w="1081" w:type="dxa"/>
            <w:tcBorders>
              <w:top w:val="nil"/>
              <w:left w:val="nil"/>
              <w:bottom w:val="nil"/>
              <w:right w:val="nil"/>
            </w:tcBorders>
            <w:shd w:val="clear" w:color="auto" w:fill="auto"/>
            <w:vAlign w:val="bottom"/>
          </w:tcPr>
          <w:p w14:paraId="65A42C9C" w14:textId="77777777" w:rsidR="00D00B16" w:rsidRDefault="00365F6D">
            <w:pPr>
              <w:jc w:val="center"/>
              <w:rPr>
                <w:color w:val="000000"/>
                <w:sz w:val="20"/>
                <w:szCs w:val="20"/>
              </w:rPr>
            </w:pPr>
            <w:r>
              <w:rPr>
                <w:color w:val="000000"/>
                <w:sz w:val="20"/>
                <w:szCs w:val="20"/>
              </w:rPr>
              <w:t>.02</w:t>
            </w:r>
          </w:p>
        </w:tc>
        <w:tc>
          <w:tcPr>
            <w:tcW w:w="1067" w:type="dxa"/>
            <w:tcBorders>
              <w:top w:val="nil"/>
              <w:left w:val="nil"/>
              <w:bottom w:val="nil"/>
              <w:right w:val="nil"/>
            </w:tcBorders>
            <w:shd w:val="clear" w:color="auto" w:fill="auto"/>
            <w:vAlign w:val="bottom"/>
          </w:tcPr>
          <w:p w14:paraId="66505827" w14:textId="77777777" w:rsidR="00D00B16" w:rsidRDefault="00365F6D">
            <w:pPr>
              <w:jc w:val="center"/>
              <w:rPr>
                <w:color w:val="000000"/>
                <w:sz w:val="20"/>
                <w:szCs w:val="20"/>
              </w:rPr>
            </w:pPr>
            <w:r>
              <w:rPr>
                <w:color w:val="000000"/>
                <w:sz w:val="20"/>
                <w:szCs w:val="20"/>
              </w:rPr>
              <w:t>-.04</w:t>
            </w:r>
          </w:p>
        </w:tc>
        <w:tc>
          <w:tcPr>
            <w:tcW w:w="1049" w:type="dxa"/>
            <w:tcBorders>
              <w:top w:val="nil"/>
              <w:left w:val="nil"/>
              <w:bottom w:val="nil"/>
              <w:right w:val="nil"/>
            </w:tcBorders>
            <w:shd w:val="clear" w:color="auto" w:fill="auto"/>
            <w:vAlign w:val="bottom"/>
          </w:tcPr>
          <w:p w14:paraId="3352B732" w14:textId="77777777" w:rsidR="00D00B16" w:rsidRDefault="00365F6D">
            <w:pPr>
              <w:jc w:val="center"/>
              <w:rPr>
                <w:color w:val="000000"/>
                <w:sz w:val="20"/>
                <w:szCs w:val="20"/>
              </w:rPr>
            </w:pPr>
            <w:r>
              <w:rPr>
                <w:color w:val="000000"/>
                <w:sz w:val="20"/>
                <w:szCs w:val="20"/>
              </w:rPr>
              <w:t>-.12</w:t>
            </w:r>
          </w:p>
        </w:tc>
        <w:tc>
          <w:tcPr>
            <w:tcW w:w="1141" w:type="dxa"/>
            <w:tcBorders>
              <w:top w:val="nil"/>
              <w:left w:val="nil"/>
              <w:bottom w:val="nil"/>
              <w:right w:val="nil"/>
            </w:tcBorders>
            <w:shd w:val="clear" w:color="auto" w:fill="auto"/>
            <w:vAlign w:val="bottom"/>
          </w:tcPr>
          <w:p w14:paraId="074AC9A4" w14:textId="77777777" w:rsidR="00D00B16" w:rsidRDefault="00365F6D">
            <w:pPr>
              <w:jc w:val="center"/>
              <w:rPr>
                <w:color w:val="000000"/>
                <w:sz w:val="20"/>
                <w:szCs w:val="20"/>
              </w:rPr>
            </w:pPr>
            <w:r>
              <w:rPr>
                <w:color w:val="000000"/>
                <w:sz w:val="20"/>
                <w:szCs w:val="20"/>
              </w:rPr>
              <w:t>-.11</w:t>
            </w:r>
          </w:p>
        </w:tc>
        <w:tc>
          <w:tcPr>
            <w:tcW w:w="1153" w:type="dxa"/>
            <w:tcBorders>
              <w:top w:val="nil"/>
              <w:left w:val="nil"/>
              <w:bottom w:val="nil"/>
              <w:right w:val="nil"/>
            </w:tcBorders>
            <w:shd w:val="clear" w:color="auto" w:fill="auto"/>
            <w:vAlign w:val="bottom"/>
          </w:tcPr>
          <w:p w14:paraId="5B264F33" w14:textId="77777777" w:rsidR="00D00B16" w:rsidRDefault="00365F6D">
            <w:pPr>
              <w:jc w:val="center"/>
              <w:rPr>
                <w:color w:val="000000"/>
                <w:sz w:val="20"/>
                <w:szCs w:val="20"/>
              </w:rPr>
            </w:pPr>
            <w:r>
              <w:rPr>
                <w:color w:val="000000"/>
                <w:sz w:val="20"/>
                <w:szCs w:val="20"/>
              </w:rPr>
              <w:t>-.02</w:t>
            </w:r>
          </w:p>
        </w:tc>
        <w:tc>
          <w:tcPr>
            <w:tcW w:w="910" w:type="dxa"/>
            <w:tcBorders>
              <w:top w:val="nil"/>
              <w:left w:val="nil"/>
              <w:bottom w:val="nil"/>
              <w:right w:val="nil"/>
            </w:tcBorders>
            <w:shd w:val="clear" w:color="auto" w:fill="auto"/>
            <w:vAlign w:val="bottom"/>
          </w:tcPr>
          <w:p w14:paraId="67B94153" w14:textId="77777777" w:rsidR="00D00B16" w:rsidRDefault="00365F6D">
            <w:pPr>
              <w:jc w:val="center"/>
              <w:rPr>
                <w:color w:val="000000"/>
                <w:sz w:val="20"/>
                <w:szCs w:val="20"/>
              </w:rPr>
            </w:pPr>
            <w:r>
              <w:rPr>
                <w:color w:val="000000"/>
                <w:sz w:val="20"/>
                <w:szCs w:val="20"/>
              </w:rPr>
              <w:t>.09</w:t>
            </w:r>
          </w:p>
        </w:tc>
        <w:tc>
          <w:tcPr>
            <w:tcW w:w="1129" w:type="dxa"/>
            <w:tcBorders>
              <w:top w:val="nil"/>
              <w:left w:val="nil"/>
              <w:bottom w:val="nil"/>
              <w:right w:val="nil"/>
            </w:tcBorders>
            <w:shd w:val="clear" w:color="auto" w:fill="auto"/>
            <w:vAlign w:val="bottom"/>
          </w:tcPr>
          <w:p w14:paraId="490BF946" w14:textId="77777777" w:rsidR="00D00B16" w:rsidRDefault="00365F6D">
            <w:pPr>
              <w:jc w:val="center"/>
              <w:rPr>
                <w:color w:val="000000"/>
                <w:sz w:val="20"/>
                <w:szCs w:val="20"/>
              </w:rPr>
            </w:pPr>
            <w:r>
              <w:rPr>
                <w:color w:val="000000"/>
                <w:sz w:val="20"/>
                <w:szCs w:val="20"/>
              </w:rPr>
              <w:t>1</w:t>
            </w:r>
          </w:p>
        </w:tc>
        <w:tc>
          <w:tcPr>
            <w:tcW w:w="1052" w:type="dxa"/>
            <w:tcBorders>
              <w:top w:val="nil"/>
              <w:left w:val="nil"/>
              <w:bottom w:val="nil"/>
              <w:right w:val="nil"/>
            </w:tcBorders>
            <w:shd w:val="clear" w:color="auto" w:fill="auto"/>
            <w:vAlign w:val="bottom"/>
          </w:tcPr>
          <w:p w14:paraId="6B66D063" w14:textId="77777777" w:rsidR="00D00B16" w:rsidRDefault="00D00B16">
            <w:pPr>
              <w:jc w:val="center"/>
              <w:rPr>
                <w:sz w:val="20"/>
                <w:szCs w:val="20"/>
              </w:rPr>
            </w:pPr>
          </w:p>
        </w:tc>
        <w:tc>
          <w:tcPr>
            <w:tcW w:w="868" w:type="dxa"/>
            <w:tcBorders>
              <w:top w:val="nil"/>
              <w:left w:val="nil"/>
              <w:bottom w:val="nil"/>
              <w:right w:val="nil"/>
            </w:tcBorders>
            <w:shd w:val="clear" w:color="auto" w:fill="auto"/>
            <w:vAlign w:val="bottom"/>
          </w:tcPr>
          <w:p w14:paraId="62555DA0"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7FF5A01C" w14:textId="77777777" w:rsidR="00D00B16" w:rsidRDefault="00D00B16">
            <w:pPr>
              <w:jc w:val="center"/>
              <w:rPr>
                <w:sz w:val="20"/>
                <w:szCs w:val="20"/>
              </w:rPr>
            </w:pPr>
          </w:p>
        </w:tc>
      </w:tr>
      <w:tr w:rsidR="00D00B16" w14:paraId="6242DAE3" w14:textId="77777777">
        <w:trPr>
          <w:trHeight w:val="360"/>
        </w:trPr>
        <w:tc>
          <w:tcPr>
            <w:tcW w:w="1973" w:type="dxa"/>
            <w:tcBorders>
              <w:top w:val="nil"/>
              <w:left w:val="nil"/>
              <w:bottom w:val="nil"/>
              <w:right w:val="nil"/>
            </w:tcBorders>
            <w:shd w:val="clear" w:color="auto" w:fill="auto"/>
            <w:vAlign w:val="bottom"/>
          </w:tcPr>
          <w:p w14:paraId="29658538" w14:textId="77777777" w:rsidR="00D00B16" w:rsidRDefault="00365F6D">
            <w:pPr>
              <w:rPr>
                <w:color w:val="000000"/>
                <w:sz w:val="20"/>
                <w:szCs w:val="20"/>
              </w:rPr>
            </w:pPr>
            <w:r>
              <w:rPr>
                <w:color w:val="000000"/>
                <w:sz w:val="20"/>
                <w:szCs w:val="20"/>
              </w:rPr>
              <w:t>Rationalization</w:t>
            </w:r>
          </w:p>
        </w:tc>
        <w:tc>
          <w:tcPr>
            <w:tcW w:w="947" w:type="dxa"/>
            <w:tcBorders>
              <w:top w:val="nil"/>
              <w:left w:val="nil"/>
              <w:bottom w:val="nil"/>
              <w:right w:val="nil"/>
            </w:tcBorders>
            <w:shd w:val="clear" w:color="auto" w:fill="auto"/>
            <w:vAlign w:val="bottom"/>
          </w:tcPr>
          <w:p w14:paraId="36B46CF1" w14:textId="77777777" w:rsidR="00D00B16" w:rsidRDefault="00365F6D">
            <w:pPr>
              <w:jc w:val="center"/>
              <w:rPr>
                <w:color w:val="000000"/>
                <w:sz w:val="20"/>
                <w:szCs w:val="20"/>
              </w:rPr>
            </w:pPr>
            <w:r>
              <w:rPr>
                <w:color w:val="000000"/>
                <w:sz w:val="20"/>
                <w:szCs w:val="20"/>
              </w:rPr>
              <w:t>.17</w:t>
            </w:r>
          </w:p>
        </w:tc>
        <w:tc>
          <w:tcPr>
            <w:tcW w:w="1081" w:type="dxa"/>
            <w:tcBorders>
              <w:top w:val="nil"/>
              <w:left w:val="nil"/>
              <w:bottom w:val="nil"/>
              <w:right w:val="nil"/>
            </w:tcBorders>
            <w:shd w:val="clear" w:color="auto" w:fill="auto"/>
            <w:vAlign w:val="bottom"/>
          </w:tcPr>
          <w:p w14:paraId="42C42AD9" w14:textId="77777777" w:rsidR="00D00B16" w:rsidRDefault="00365F6D">
            <w:pPr>
              <w:jc w:val="center"/>
              <w:rPr>
                <w:color w:val="000000"/>
                <w:sz w:val="20"/>
                <w:szCs w:val="20"/>
              </w:rPr>
            </w:pPr>
            <w:r>
              <w:rPr>
                <w:color w:val="000000"/>
                <w:sz w:val="20"/>
                <w:szCs w:val="20"/>
              </w:rPr>
              <w:t>.23</w:t>
            </w:r>
          </w:p>
        </w:tc>
        <w:tc>
          <w:tcPr>
            <w:tcW w:w="1067" w:type="dxa"/>
            <w:tcBorders>
              <w:top w:val="nil"/>
              <w:left w:val="nil"/>
              <w:bottom w:val="nil"/>
              <w:right w:val="nil"/>
            </w:tcBorders>
            <w:shd w:val="clear" w:color="auto" w:fill="auto"/>
            <w:vAlign w:val="bottom"/>
          </w:tcPr>
          <w:p w14:paraId="7AACA3BD" w14:textId="77777777" w:rsidR="00D00B16" w:rsidRDefault="00365F6D">
            <w:pPr>
              <w:jc w:val="center"/>
              <w:rPr>
                <w:color w:val="000000"/>
                <w:sz w:val="20"/>
                <w:szCs w:val="20"/>
              </w:rPr>
            </w:pPr>
            <w:r>
              <w:rPr>
                <w:color w:val="000000"/>
                <w:sz w:val="20"/>
                <w:szCs w:val="20"/>
              </w:rPr>
              <w:t>.23</w:t>
            </w:r>
          </w:p>
        </w:tc>
        <w:tc>
          <w:tcPr>
            <w:tcW w:w="1049" w:type="dxa"/>
            <w:tcBorders>
              <w:top w:val="nil"/>
              <w:left w:val="nil"/>
              <w:bottom w:val="nil"/>
              <w:right w:val="nil"/>
            </w:tcBorders>
            <w:shd w:val="clear" w:color="auto" w:fill="auto"/>
            <w:vAlign w:val="bottom"/>
          </w:tcPr>
          <w:p w14:paraId="4C1292DA" w14:textId="77777777" w:rsidR="00D00B16" w:rsidRDefault="00365F6D">
            <w:pPr>
              <w:jc w:val="center"/>
              <w:rPr>
                <w:color w:val="000000"/>
                <w:sz w:val="20"/>
                <w:szCs w:val="20"/>
              </w:rPr>
            </w:pPr>
            <w:r>
              <w:rPr>
                <w:color w:val="000000"/>
                <w:sz w:val="20"/>
                <w:szCs w:val="20"/>
              </w:rPr>
              <w:t>.04</w:t>
            </w:r>
          </w:p>
        </w:tc>
        <w:tc>
          <w:tcPr>
            <w:tcW w:w="1141" w:type="dxa"/>
            <w:tcBorders>
              <w:top w:val="nil"/>
              <w:left w:val="nil"/>
              <w:bottom w:val="nil"/>
              <w:right w:val="nil"/>
            </w:tcBorders>
            <w:shd w:val="clear" w:color="auto" w:fill="auto"/>
            <w:vAlign w:val="bottom"/>
          </w:tcPr>
          <w:p w14:paraId="7F98A582" w14:textId="77777777" w:rsidR="00D00B16" w:rsidRDefault="00365F6D">
            <w:pPr>
              <w:jc w:val="center"/>
              <w:rPr>
                <w:color w:val="000000"/>
                <w:sz w:val="20"/>
                <w:szCs w:val="20"/>
              </w:rPr>
            </w:pPr>
            <w:r>
              <w:rPr>
                <w:color w:val="000000"/>
                <w:sz w:val="20"/>
                <w:szCs w:val="20"/>
              </w:rPr>
              <w:t>.07</w:t>
            </w:r>
          </w:p>
        </w:tc>
        <w:tc>
          <w:tcPr>
            <w:tcW w:w="1153" w:type="dxa"/>
            <w:tcBorders>
              <w:top w:val="nil"/>
              <w:left w:val="nil"/>
              <w:bottom w:val="nil"/>
              <w:right w:val="nil"/>
            </w:tcBorders>
            <w:shd w:val="clear" w:color="auto" w:fill="auto"/>
            <w:vAlign w:val="bottom"/>
          </w:tcPr>
          <w:p w14:paraId="1E127725" w14:textId="77777777" w:rsidR="00D00B16" w:rsidRDefault="00365F6D">
            <w:pPr>
              <w:jc w:val="center"/>
              <w:rPr>
                <w:color w:val="000000"/>
                <w:sz w:val="20"/>
                <w:szCs w:val="20"/>
              </w:rPr>
            </w:pPr>
            <w:r>
              <w:rPr>
                <w:color w:val="000000"/>
                <w:sz w:val="20"/>
                <w:szCs w:val="20"/>
              </w:rPr>
              <w:t>.39</w:t>
            </w:r>
          </w:p>
        </w:tc>
        <w:tc>
          <w:tcPr>
            <w:tcW w:w="910" w:type="dxa"/>
            <w:tcBorders>
              <w:top w:val="nil"/>
              <w:left w:val="nil"/>
              <w:bottom w:val="nil"/>
              <w:right w:val="nil"/>
            </w:tcBorders>
            <w:shd w:val="clear" w:color="auto" w:fill="auto"/>
            <w:vAlign w:val="bottom"/>
          </w:tcPr>
          <w:p w14:paraId="4571974A" w14:textId="77777777" w:rsidR="00D00B16" w:rsidRDefault="00365F6D">
            <w:pPr>
              <w:jc w:val="center"/>
              <w:rPr>
                <w:color w:val="000000"/>
                <w:sz w:val="20"/>
                <w:szCs w:val="20"/>
              </w:rPr>
            </w:pPr>
            <w:r>
              <w:rPr>
                <w:color w:val="000000"/>
                <w:sz w:val="20"/>
                <w:szCs w:val="20"/>
              </w:rPr>
              <w:t>.13</w:t>
            </w:r>
          </w:p>
        </w:tc>
        <w:tc>
          <w:tcPr>
            <w:tcW w:w="1129" w:type="dxa"/>
            <w:tcBorders>
              <w:top w:val="nil"/>
              <w:left w:val="nil"/>
              <w:bottom w:val="nil"/>
              <w:right w:val="nil"/>
            </w:tcBorders>
            <w:shd w:val="clear" w:color="auto" w:fill="auto"/>
            <w:vAlign w:val="bottom"/>
          </w:tcPr>
          <w:p w14:paraId="31C5CB59" w14:textId="77777777" w:rsidR="00D00B16" w:rsidRDefault="00365F6D">
            <w:pPr>
              <w:jc w:val="center"/>
              <w:rPr>
                <w:color w:val="000000"/>
                <w:sz w:val="20"/>
                <w:szCs w:val="20"/>
              </w:rPr>
            </w:pPr>
            <w:r>
              <w:rPr>
                <w:color w:val="000000"/>
                <w:sz w:val="20"/>
                <w:szCs w:val="20"/>
              </w:rPr>
              <w:t>-.08</w:t>
            </w:r>
          </w:p>
        </w:tc>
        <w:tc>
          <w:tcPr>
            <w:tcW w:w="1052" w:type="dxa"/>
            <w:tcBorders>
              <w:top w:val="nil"/>
              <w:left w:val="nil"/>
              <w:bottom w:val="nil"/>
              <w:right w:val="nil"/>
            </w:tcBorders>
            <w:shd w:val="clear" w:color="auto" w:fill="auto"/>
            <w:vAlign w:val="bottom"/>
          </w:tcPr>
          <w:p w14:paraId="0C16EA87" w14:textId="77777777" w:rsidR="00D00B16" w:rsidRDefault="00365F6D">
            <w:pPr>
              <w:jc w:val="center"/>
              <w:rPr>
                <w:color w:val="000000"/>
                <w:sz w:val="20"/>
                <w:szCs w:val="20"/>
              </w:rPr>
            </w:pPr>
            <w:r>
              <w:rPr>
                <w:color w:val="000000"/>
                <w:sz w:val="20"/>
                <w:szCs w:val="20"/>
              </w:rPr>
              <w:t>1</w:t>
            </w:r>
          </w:p>
        </w:tc>
        <w:tc>
          <w:tcPr>
            <w:tcW w:w="868" w:type="dxa"/>
            <w:tcBorders>
              <w:top w:val="nil"/>
              <w:left w:val="nil"/>
              <w:bottom w:val="nil"/>
              <w:right w:val="nil"/>
            </w:tcBorders>
            <w:shd w:val="clear" w:color="auto" w:fill="auto"/>
            <w:vAlign w:val="bottom"/>
          </w:tcPr>
          <w:p w14:paraId="663004AC" w14:textId="77777777" w:rsidR="00D00B16" w:rsidRDefault="00D00B16">
            <w:pPr>
              <w:jc w:val="center"/>
              <w:rPr>
                <w:sz w:val="20"/>
                <w:szCs w:val="20"/>
              </w:rPr>
            </w:pPr>
          </w:p>
        </w:tc>
        <w:tc>
          <w:tcPr>
            <w:tcW w:w="903" w:type="dxa"/>
            <w:tcBorders>
              <w:top w:val="nil"/>
              <w:left w:val="nil"/>
              <w:bottom w:val="nil"/>
              <w:right w:val="nil"/>
            </w:tcBorders>
            <w:shd w:val="clear" w:color="auto" w:fill="auto"/>
            <w:vAlign w:val="bottom"/>
          </w:tcPr>
          <w:p w14:paraId="5B302D33" w14:textId="77777777" w:rsidR="00D00B16" w:rsidRDefault="00D00B16">
            <w:pPr>
              <w:jc w:val="center"/>
              <w:rPr>
                <w:sz w:val="20"/>
                <w:szCs w:val="20"/>
              </w:rPr>
            </w:pPr>
          </w:p>
        </w:tc>
      </w:tr>
      <w:tr w:rsidR="00D00B16" w14:paraId="43848DA3" w14:textId="77777777">
        <w:trPr>
          <w:trHeight w:val="360"/>
        </w:trPr>
        <w:tc>
          <w:tcPr>
            <w:tcW w:w="1973" w:type="dxa"/>
            <w:tcBorders>
              <w:top w:val="nil"/>
              <w:left w:val="nil"/>
              <w:bottom w:val="nil"/>
              <w:right w:val="nil"/>
            </w:tcBorders>
            <w:shd w:val="clear" w:color="auto" w:fill="auto"/>
            <w:vAlign w:val="bottom"/>
          </w:tcPr>
          <w:p w14:paraId="39D41CBE" w14:textId="77777777" w:rsidR="00D00B16" w:rsidRDefault="00365F6D">
            <w:pPr>
              <w:rPr>
                <w:color w:val="000000"/>
                <w:sz w:val="20"/>
                <w:szCs w:val="20"/>
              </w:rPr>
            </w:pPr>
            <w:r>
              <w:rPr>
                <w:color w:val="000000"/>
                <w:sz w:val="20"/>
                <w:szCs w:val="20"/>
              </w:rPr>
              <w:t>Age</w:t>
            </w:r>
          </w:p>
        </w:tc>
        <w:tc>
          <w:tcPr>
            <w:tcW w:w="947" w:type="dxa"/>
            <w:tcBorders>
              <w:top w:val="nil"/>
              <w:left w:val="nil"/>
              <w:bottom w:val="nil"/>
              <w:right w:val="nil"/>
            </w:tcBorders>
            <w:shd w:val="clear" w:color="auto" w:fill="auto"/>
            <w:vAlign w:val="bottom"/>
          </w:tcPr>
          <w:p w14:paraId="195F7C8B" w14:textId="77777777" w:rsidR="00D00B16" w:rsidRDefault="00365F6D">
            <w:pPr>
              <w:jc w:val="center"/>
              <w:rPr>
                <w:color w:val="000000"/>
                <w:sz w:val="20"/>
                <w:szCs w:val="20"/>
              </w:rPr>
            </w:pPr>
            <w:r>
              <w:rPr>
                <w:color w:val="000000"/>
                <w:sz w:val="20"/>
                <w:szCs w:val="20"/>
              </w:rPr>
              <w:t>.04</w:t>
            </w:r>
          </w:p>
        </w:tc>
        <w:tc>
          <w:tcPr>
            <w:tcW w:w="1081" w:type="dxa"/>
            <w:tcBorders>
              <w:top w:val="nil"/>
              <w:left w:val="nil"/>
              <w:bottom w:val="nil"/>
              <w:right w:val="nil"/>
            </w:tcBorders>
            <w:shd w:val="clear" w:color="auto" w:fill="auto"/>
            <w:vAlign w:val="bottom"/>
          </w:tcPr>
          <w:p w14:paraId="7F3999F6" w14:textId="77777777" w:rsidR="00D00B16" w:rsidRDefault="00365F6D">
            <w:pPr>
              <w:jc w:val="center"/>
              <w:rPr>
                <w:color w:val="000000"/>
                <w:sz w:val="20"/>
                <w:szCs w:val="20"/>
              </w:rPr>
            </w:pPr>
            <w:r>
              <w:rPr>
                <w:color w:val="000000"/>
                <w:sz w:val="20"/>
                <w:szCs w:val="20"/>
              </w:rPr>
              <w:t>.10</w:t>
            </w:r>
          </w:p>
        </w:tc>
        <w:tc>
          <w:tcPr>
            <w:tcW w:w="1067" w:type="dxa"/>
            <w:tcBorders>
              <w:top w:val="nil"/>
              <w:left w:val="nil"/>
              <w:bottom w:val="nil"/>
              <w:right w:val="nil"/>
            </w:tcBorders>
            <w:shd w:val="clear" w:color="auto" w:fill="auto"/>
            <w:vAlign w:val="bottom"/>
          </w:tcPr>
          <w:p w14:paraId="5FD47EC8" w14:textId="77777777" w:rsidR="00D00B16" w:rsidRDefault="00365F6D">
            <w:pPr>
              <w:jc w:val="center"/>
              <w:rPr>
                <w:color w:val="000000"/>
                <w:sz w:val="20"/>
                <w:szCs w:val="20"/>
              </w:rPr>
            </w:pPr>
            <w:r>
              <w:rPr>
                <w:color w:val="000000"/>
                <w:sz w:val="20"/>
                <w:szCs w:val="20"/>
              </w:rPr>
              <w:t>.17</w:t>
            </w:r>
          </w:p>
        </w:tc>
        <w:tc>
          <w:tcPr>
            <w:tcW w:w="1049" w:type="dxa"/>
            <w:tcBorders>
              <w:top w:val="nil"/>
              <w:left w:val="nil"/>
              <w:bottom w:val="nil"/>
              <w:right w:val="nil"/>
            </w:tcBorders>
            <w:shd w:val="clear" w:color="auto" w:fill="auto"/>
            <w:vAlign w:val="bottom"/>
          </w:tcPr>
          <w:p w14:paraId="7610A7C7" w14:textId="77777777" w:rsidR="00D00B16" w:rsidRDefault="00365F6D">
            <w:pPr>
              <w:jc w:val="center"/>
              <w:rPr>
                <w:color w:val="000000"/>
                <w:sz w:val="20"/>
                <w:szCs w:val="20"/>
              </w:rPr>
            </w:pPr>
            <w:r>
              <w:rPr>
                <w:color w:val="000000"/>
                <w:sz w:val="20"/>
                <w:szCs w:val="20"/>
              </w:rPr>
              <w:t>-.21</w:t>
            </w:r>
          </w:p>
        </w:tc>
        <w:tc>
          <w:tcPr>
            <w:tcW w:w="1141" w:type="dxa"/>
            <w:tcBorders>
              <w:top w:val="nil"/>
              <w:left w:val="nil"/>
              <w:bottom w:val="nil"/>
              <w:right w:val="nil"/>
            </w:tcBorders>
            <w:shd w:val="clear" w:color="auto" w:fill="auto"/>
            <w:vAlign w:val="bottom"/>
          </w:tcPr>
          <w:p w14:paraId="7801776C" w14:textId="77777777" w:rsidR="00D00B16" w:rsidRDefault="00365F6D">
            <w:pPr>
              <w:jc w:val="center"/>
              <w:rPr>
                <w:color w:val="000000"/>
                <w:sz w:val="20"/>
                <w:szCs w:val="20"/>
              </w:rPr>
            </w:pPr>
            <w:r>
              <w:rPr>
                <w:color w:val="000000"/>
                <w:sz w:val="20"/>
                <w:szCs w:val="20"/>
              </w:rPr>
              <w:t>-.15</w:t>
            </w:r>
          </w:p>
        </w:tc>
        <w:tc>
          <w:tcPr>
            <w:tcW w:w="1153" w:type="dxa"/>
            <w:tcBorders>
              <w:top w:val="nil"/>
              <w:left w:val="nil"/>
              <w:bottom w:val="nil"/>
              <w:right w:val="nil"/>
            </w:tcBorders>
            <w:shd w:val="clear" w:color="auto" w:fill="auto"/>
            <w:vAlign w:val="bottom"/>
          </w:tcPr>
          <w:p w14:paraId="6B4F6D6E" w14:textId="77777777" w:rsidR="00D00B16" w:rsidRDefault="00365F6D">
            <w:pPr>
              <w:jc w:val="center"/>
              <w:rPr>
                <w:color w:val="000000"/>
                <w:sz w:val="20"/>
                <w:szCs w:val="20"/>
              </w:rPr>
            </w:pPr>
            <w:r>
              <w:rPr>
                <w:color w:val="000000"/>
                <w:sz w:val="20"/>
                <w:szCs w:val="20"/>
              </w:rPr>
              <w:t>.25</w:t>
            </w:r>
          </w:p>
        </w:tc>
        <w:tc>
          <w:tcPr>
            <w:tcW w:w="910" w:type="dxa"/>
            <w:tcBorders>
              <w:top w:val="nil"/>
              <w:left w:val="nil"/>
              <w:bottom w:val="nil"/>
              <w:right w:val="nil"/>
            </w:tcBorders>
            <w:shd w:val="clear" w:color="auto" w:fill="auto"/>
            <w:vAlign w:val="bottom"/>
          </w:tcPr>
          <w:p w14:paraId="61261742" w14:textId="77777777" w:rsidR="00D00B16" w:rsidRDefault="00365F6D">
            <w:pPr>
              <w:jc w:val="center"/>
              <w:rPr>
                <w:color w:val="000000"/>
                <w:sz w:val="20"/>
                <w:szCs w:val="20"/>
              </w:rPr>
            </w:pPr>
            <w:r>
              <w:rPr>
                <w:color w:val="000000"/>
                <w:sz w:val="20"/>
                <w:szCs w:val="20"/>
              </w:rPr>
              <w:t>.06</w:t>
            </w:r>
          </w:p>
        </w:tc>
        <w:tc>
          <w:tcPr>
            <w:tcW w:w="1129" w:type="dxa"/>
            <w:tcBorders>
              <w:top w:val="nil"/>
              <w:left w:val="nil"/>
              <w:bottom w:val="nil"/>
              <w:right w:val="nil"/>
            </w:tcBorders>
            <w:shd w:val="clear" w:color="auto" w:fill="auto"/>
            <w:vAlign w:val="bottom"/>
          </w:tcPr>
          <w:p w14:paraId="0D573A63" w14:textId="77777777" w:rsidR="00D00B16" w:rsidRDefault="00365F6D">
            <w:pPr>
              <w:jc w:val="center"/>
              <w:rPr>
                <w:color w:val="000000"/>
                <w:sz w:val="20"/>
                <w:szCs w:val="20"/>
              </w:rPr>
            </w:pPr>
            <w:r>
              <w:rPr>
                <w:color w:val="000000"/>
                <w:sz w:val="20"/>
                <w:szCs w:val="20"/>
              </w:rPr>
              <w:t>-.07</w:t>
            </w:r>
          </w:p>
        </w:tc>
        <w:tc>
          <w:tcPr>
            <w:tcW w:w="1052" w:type="dxa"/>
            <w:tcBorders>
              <w:top w:val="nil"/>
              <w:left w:val="nil"/>
              <w:bottom w:val="nil"/>
              <w:right w:val="nil"/>
            </w:tcBorders>
            <w:shd w:val="clear" w:color="auto" w:fill="auto"/>
            <w:vAlign w:val="bottom"/>
          </w:tcPr>
          <w:p w14:paraId="6667A1A8" w14:textId="77777777" w:rsidR="00D00B16" w:rsidRDefault="00365F6D">
            <w:pPr>
              <w:jc w:val="center"/>
              <w:rPr>
                <w:color w:val="000000"/>
                <w:sz w:val="20"/>
                <w:szCs w:val="20"/>
              </w:rPr>
            </w:pPr>
            <w:r>
              <w:rPr>
                <w:color w:val="000000"/>
                <w:sz w:val="20"/>
                <w:szCs w:val="20"/>
              </w:rPr>
              <w:t>.21</w:t>
            </w:r>
          </w:p>
        </w:tc>
        <w:tc>
          <w:tcPr>
            <w:tcW w:w="868" w:type="dxa"/>
            <w:tcBorders>
              <w:top w:val="nil"/>
              <w:left w:val="nil"/>
              <w:bottom w:val="nil"/>
              <w:right w:val="nil"/>
            </w:tcBorders>
            <w:shd w:val="clear" w:color="auto" w:fill="auto"/>
            <w:vAlign w:val="bottom"/>
          </w:tcPr>
          <w:p w14:paraId="30B1A4FD" w14:textId="77777777" w:rsidR="00D00B16" w:rsidRDefault="00365F6D">
            <w:pPr>
              <w:jc w:val="center"/>
              <w:rPr>
                <w:color w:val="000000"/>
                <w:sz w:val="20"/>
                <w:szCs w:val="20"/>
              </w:rPr>
            </w:pPr>
            <w:r>
              <w:rPr>
                <w:color w:val="000000"/>
                <w:sz w:val="20"/>
                <w:szCs w:val="20"/>
              </w:rPr>
              <w:t>1</w:t>
            </w:r>
          </w:p>
        </w:tc>
        <w:tc>
          <w:tcPr>
            <w:tcW w:w="903" w:type="dxa"/>
            <w:tcBorders>
              <w:top w:val="nil"/>
              <w:left w:val="nil"/>
              <w:bottom w:val="nil"/>
              <w:right w:val="nil"/>
            </w:tcBorders>
            <w:shd w:val="clear" w:color="auto" w:fill="auto"/>
            <w:vAlign w:val="bottom"/>
          </w:tcPr>
          <w:p w14:paraId="2A135A86" w14:textId="77777777" w:rsidR="00D00B16" w:rsidRDefault="00D00B16">
            <w:pPr>
              <w:jc w:val="center"/>
              <w:rPr>
                <w:sz w:val="20"/>
                <w:szCs w:val="20"/>
              </w:rPr>
            </w:pPr>
          </w:p>
        </w:tc>
      </w:tr>
      <w:tr w:rsidR="00D00B16" w14:paraId="235EF093" w14:textId="77777777">
        <w:trPr>
          <w:trHeight w:val="360"/>
        </w:trPr>
        <w:tc>
          <w:tcPr>
            <w:tcW w:w="1973" w:type="dxa"/>
            <w:tcBorders>
              <w:top w:val="nil"/>
              <w:left w:val="nil"/>
              <w:bottom w:val="nil"/>
              <w:right w:val="nil"/>
            </w:tcBorders>
            <w:shd w:val="clear" w:color="auto" w:fill="auto"/>
            <w:vAlign w:val="bottom"/>
          </w:tcPr>
          <w:p w14:paraId="4F3A8094" w14:textId="77777777" w:rsidR="00D00B16" w:rsidRDefault="00365F6D">
            <w:pPr>
              <w:rPr>
                <w:color w:val="000000"/>
                <w:sz w:val="20"/>
                <w:szCs w:val="20"/>
              </w:rPr>
            </w:pPr>
            <w:r>
              <w:rPr>
                <w:color w:val="000000"/>
                <w:sz w:val="20"/>
                <w:szCs w:val="20"/>
              </w:rPr>
              <w:t>Assets</w:t>
            </w:r>
          </w:p>
        </w:tc>
        <w:tc>
          <w:tcPr>
            <w:tcW w:w="947" w:type="dxa"/>
            <w:tcBorders>
              <w:top w:val="nil"/>
              <w:left w:val="nil"/>
              <w:bottom w:val="nil"/>
              <w:right w:val="nil"/>
            </w:tcBorders>
            <w:shd w:val="clear" w:color="auto" w:fill="auto"/>
            <w:vAlign w:val="bottom"/>
          </w:tcPr>
          <w:p w14:paraId="126389DB" w14:textId="77777777" w:rsidR="00D00B16" w:rsidRDefault="00365F6D">
            <w:pPr>
              <w:jc w:val="center"/>
              <w:rPr>
                <w:color w:val="000000"/>
                <w:sz w:val="20"/>
                <w:szCs w:val="20"/>
              </w:rPr>
            </w:pPr>
            <w:r>
              <w:rPr>
                <w:color w:val="000000"/>
                <w:sz w:val="20"/>
                <w:szCs w:val="20"/>
              </w:rPr>
              <w:t>.07</w:t>
            </w:r>
          </w:p>
        </w:tc>
        <w:tc>
          <w:tcPr>
            <w:tcW w:w="1081" w:type="dxa"/>
            <w:tcBorders>
              <w:top w:val="nil"/>
              <w:left w:val="nil"/>
              <w:bottom w:val="nil"/>
              <w:right w:val="nil"/>
            </w:tcBorders>
            <w:shd w:val="clear" w:color="auto" w:fill="auto"/>
            <w:vAlign w:val="bottom"/>
          </w:tcPr>
          <w:p w14:paraId="0FAC531B" w14:textId="77777777" w:rsidR="00D00B16" w:rsidRDefault="00365F6D">
            <w:pPr>
              <w:jc w:val="center"/>
              <w:rPr>
                <w:color w:val="000000"/>
                <w:sz w:val="20"/>
                <w:szCs w:val="20"/>
              </w:rPr>
            </w:pPr>
            <w:r>
              <w:rPr>
                <w:color w:val="000000"/>
                <w:sz w:val="20"/>
                <w:szCs w:val="20"/>
              </w:rPr>
              <w:t>.23</w:t>
            </w:r>
          </w:p>
        </w:tc>
        <w:tc>
          <w:tcPr>
            <w:tcW w:w="1067" w:type="dxa"/>
            <w:tcBorders>
              <w:top w:val="nil"/>
              <w:left w:val="nil"/>
              <w:bottom w:val="nil"/>
              <w:right w:val="nil"/>
            </w:tcBorders>
            <w:shd w:val="clear" w:color="auto" w:fill="auto"/>
            <w:vAlign w:val="bottom"/>
          </w:tcPr>
          <w:p w14:paraId="60FCDD4B" w14:textId="77777777" w:rsidR="00D00B16" w:rsidRDefault="00365F6D">
            <w:pPr>
              <w:jc w:val="center"/>
              <w:rPr>
                <w:color w:val="000000"/>
                <w:sz w:val="20"/>
                <w:szCs w:val="20"/>
              </w:rPr>
            </w:pPr>
            <w:r>
              <w:rPr>
                <w:color w:val="000000"/>
                <w:sz w:val="20"/>
                <w:szCs w:val="20"/>
              </w:rPr>
              <w:t>.32</w:t>
            </w:r>
          </w:p>
        </w:tc>
        <w:tc>
          <w:tcPr>
            <w:tcW w:w="1049" w:type="dxa"/>
            <w:tcBorders>
              <w:top w:val="nil"/>
              <w:left w:val="nil"/>
              <w:bottom w:val="nil"/>
              <w:right w:val="nil"/>
            </w:tcBorders>
            <w:shd w:val="clear" w:color="auto" w:fill="auto"/>
            <w:vAlign w:val="bottom"/>
          </w:tcPr>
          <w:p w14:paraId="5FC25FB5" w14:textId="77777777" w:rsidR="00D00B16" w:rsidRDefault="00365F6D">
            <w:pPr>
              <w:jc w:val="center"/>
              <w:rPr>
                <w:color w:val="000000"/>
                <w:sz w:val="20"/>
                <w:szCs w:val="20"/>
              </w:rPr>
            </w:pPr>
            <w:r>
              <w:rPr>
                <w:color w:val="000000"/>
                <w:sz w:val="20"/>
                <w:szCs w:val="20"/>
              </w:rPr>
              <w:t>-.06</w:t>
            </w:r>
          </w:p>
        </w:tc>
        <w:tc>
          <w:tcPr>
            <w:tcW w:w="1141" w:type="dxa"/>
            <w:tcBorders>
              <w:top w:val="nil"/>
              <w:left w:val="nil"/>
              <w:bottom w:val="nil"/>
              <w:right w:val="nil"/>
            </w:tcBorders>
            <w:shd w:val="clear" w:color="auto" w:fill="auto"/>
            <w:vAlign w:val="bottom"/>
          </w:tcPr>
          <w:p w14:paraId="3EDE9E50" w14:textId="77777777" w:rsidR="00D00B16" w:rsidRDefault="00365F6D">
            <w:pPr>
              <w:jc w:val="center"/>
              <w:rPr>
                <w:color w:val="000000"/>
                <w:sz w:val="20"/>
                <w:szCs w:val="20"/>
              </w:rPr>
            </w:pPr>
            <w:r>
              <w:rPr>
                <w:color w:val="000000"/>
                <w:sz w:val="20"/>
                <w:szCs w:val="20"/>
              </w:rPr>
              <w:t>.02</w:t>
            </w:r>
          </w:p>
        </w:tc>
        <w:tc>
          <w:tcPr>
            <w:tcW w:w="1153" w:type="dxa"/>
            <w:tcBorders>
              <w:top w:val="nil"/>
              <w:left w:val="nil"/>
              <w:bottom w:val="nil"/>
              <w:right w:val="nil"/>
            </w:tcBorders>
            <w:shd w:val="clear" w:color="auto" w:fill="auto"/>
            <w:vAlign w:val="bottom"/>
          </w:tcPr>
          <w:p w14:paraId="7D6C2AB1" w14:textId="77777777" w:rsidR="00D00B16" w:rsidRDefault="00365F6D">
            <w:pPr>
              <w:jc w:val="center"/>
              <w:rPr>
                <w:color w:val="000000"/>
                <w:sz w:val="20"/>
                <w:szCs w:val="20"/>
              </w:rPr>
            </w:pPr>
            <w:r>
              <w:rPr>
                <w:color w:val="000000"/>
                <w:sz w:val="20"/>
                <w:szCs w:val="20"/>
              </w:rPr>
              <w:t>.57</w:t>
            </w:r>
          </w:p>
        </w:tc>
        <w:tc>
          <w:tcPr>
            <w:tcW w:w="910" w:type="dxa"/>
            <w:tcBorders>
              <w:top w:val="nil"/>
              <w:left w:val="nil"/>
              <w:bottom w:val="nil"/>
              <w:right w:val="nil"/>
            </w:tcBorders>
            <w:shd w:val="clear" w:color="auto" w:fill="auto"/>
            <w:vAlign w:val="bottom"/>
          </w:tcPr>
          <w:p w14:paraId="39AEBB04" w14:textId="77777777" w:rsidR="00D00B16" w:rsidRDefault="00365F6D">
            <w:pPr>
              <w:jc w:val="center"/>
              <w:rPr>
                <w:color w:val="000000"/>
                <w:sz w:val="20"/>
                <w:szCs w:val="20"/>
              </w:rPr>
            </w:pPr>
            <w:r>
              <w:rPr>
                <w:color w:val="000000"/>
                <w:sz w:val="20"/>
                <w:szCs w:val="20"/>
              </w:rPr>
              <w:t>.22</w:t>
            </w:r>
          </w:p>
        </w:tc>
        <w:tc>
          <w:tcPr>
            <w:tcW w:w="1129" w:type="dxa"/>
            <w:tcBorders>
              <w:top w:val="nil"/>
              <w:left w:val="nil"/>
              <w:bottom w:val="nil"/>
              <w:right w:val="nil"/>
            </w:tcBorders>
            <w:shd w:val="clear" w:color="auto" w:fill="auto"/>
            <w:vAlign w:val="bottom"/>
          </w:tcPr>
          <w:p w14:paraId="7F4965E3" w14:textId="77777777" w:rsidR="00D00B16" w:rsidRDefault="00365F6D">
            <w:pPr>
              <w:jc w:val="center"/>
              <w:rPr>
                <w:color w:val="000000"/>
                <w:sz w:val="20"/>
                <w:szCs w:val="20"/>
              </w:rPr>
            </w:pPr>
            <w:r>
              <w:rPr>
                <w:color w:val="000000"/>
                <w:sz w:val="20"/>
                <w:szCs w:val="20"/>
              </w:rPr>
              <w:t>-.26</w:t>
            </w:r>
          </w:p>
        </w:tc>
        <w:tc>
          <w:tcPr>
            <w:tcW w:w="1052" w:type="dxa"/>
            <w:tcBorders>
              <w:top w:val="nil"/>
              <w:left w:val="nil"/>
              <w:bottom w:val="nil"/>
              <w:right w:val="nil"/>
            </w:tcBorders>
            <w:shd w:val="clear" w:color="auto" w:fill="auto"/>
            <w:vAlign w:val="bottom"/>
          </w:tcPr>
          <w:p w14:paraId="3DD6A2B6" w14:textId="77777777" w:rsidR="00D00B16" w:rsidRDefault="00365F6D">
            <w:pPr>
              <w:jc w:val="center"/>
              <w:rPr>
                <w:color w:val="000000"/>
                <w:sz w:val="20"/>
                <w:szCs w:val="20"/>
              </w:rPr>
            </w:pPr>
            <w:r>
              <w:rPr>
                <w:color w:val="000000"/>
                <w:sz w:val="20"/>
                <w:szCs w:val="20"/>
              </w:rPr>
              <w:t>.53</w:t>
            </w:r>
          </w:p>
        </w:tc>
        <w:tc>
          <w:tcPr>
            <w:tcW w:w="868" w:type="dxa"/>
            <w:tcBorders>
              <w:top w:val="nil"/>
              <w:left w:val="nil"/>
              <w:bottom w:val="nil"/>
              <w:right w:val="nil"/>
            </w:tcBorders>
            <w:shd w:val="clear" w:color="auto" w:fill="auto"/>
            <w:vAlign w:val="bottom"/>
          </w:tcPr>
          <w:p w14:paraId="6E2CF3A9" w14:textId="77777777" w:rsidR="00D00B16" w:rsidRDefault="00365F6D">
            <w:pPr>
              <w:jc w:val="center"/>
              <w:rPr>
                <w:color w:val="000000"/>
                <w:sz w:val="20"/>
                <w:szCs w:val="20"/>
              </w:rPr>
            </w:pPr>
            <w:r>
              <w:rPr>
                <w:color w:val="000000"/>
                <w:sz w:val="20"/>
                <w:szCs w:val="20"/>
              </w:rPr>
              <w:t>.44</w:t>
            </w:r>
          </w:p>
        </w:tc>
        <w:tc>
          <w:tcPr>
            <w:tcW w:w="903" w:type="dxa"/>
            <w:tcBorders>
              <w:top w:val="nil"/>
              <w:left w:val="nil"/>
              <w:bottom w:val="nil"/>
              <w:right w:val="nil"/>
            </w:tcBorders>
            <w:shd w:val="clear" w:color="auto" w:fill="auto"/>
            <w:vAlign w:val="bottom"/>
          </w:tcPr>
          <w:p w14:paraId="4D8C888A" w14:textId="77777777" w:rsidR="00D00B16" w:rsidRDefault="00365F6D">
            <w:pPr>
              <w:jc w:val="center"/>
              <w:rPr>
                <w:color w:val="000000"/>
                <w:sz w:val="20"/>
                <w:szCs w:val="20"/>
              </w:rPr>
            </w:pPr>
            <w:r>
              <w:rPr>
                <w:color w:val="000000"/>
                <w:sz w:val="20"/>
                <w:szCs w:val="20"/>
              </w:rPr>
              <w:t>1</w:t>
            </w:r>
          </w:p>
        </w:tc>
      </w:tr>
      <w:tr w:rsidR="00D00B16" w14:paraId="7077FA1C" w14:textId="77777777">
        <w:trPr>
          <w:trHeight w:val="340"/>
        </w:trPr>
        <w:tc>
          <w:tcPr>
            <w:tcW w:w="1973" w:type="dxa"/>
            <w:tcBorders>
              <w:top w:val="nil"/>
              <w:left w:val="nil"/>
              <w:bottom w:val="nil"/>
              <w:right w:val="nil"/>
            </w:tcBorders>
            <w:shd w:val="clear" w:color="auto" w:fill="auto"/>
            <w:vAlign w:val="bottom"/>
          </w:tcPr>
          <w:p w14:paraId="0C3FF419" w14:textId="77777777" w:rsidR="00D00B16" w:rsidRDefault="00D00B16">
            <w:pPr>
              <w:rPr>
                <w:color w:val="000000"/>
                <w:sz w:val="20"/>
                <w:szCs w:val="20"/>
              </w:rPr>
            </w:pPr>
          </w:p>
        </w:tc>
        <w:tc>
          <w:tcPr>
            <w:tcW w:w="947" w:type="dxa"/>
            <w:tcBorders>
              <w:top w:val="nil"/>
              <w:left w:val="nil"/>
              <w:bottom w:val="nil"/>
              <w:right w:val="nil"/>
            </w:tcBorders>
            <w:shd w:val="clear" w:color="auto" w:fill="auto"/>
            <w:vAlign w:val="bottom"/>
          </w:tcPr>
          <w:p w14:paraId="0C841B82" w14:textId="77777777" w:rsidR="00D00B16" w:rsidRDefault="00D00B16">
            <w:pPr>
              <w:jc w:val="center"/>
              <w:rPr>
                <w:color w:val="000000"/>
                <w:sz w:val="20"/>
                <w:szCs w:val="20"/>
              </w:rPr>
            </w:pPr>
          </w:p>
        </w:tc>
        <w:tc>
          <w:tcPr>
            <w:tcW w:w="1081" w:type="dxa"/>
            <w:tcBorders>
              <w:top w:val="nil"/>
              <w:left w:val="nil"/>
              <w:bottom w:val="nil"/>
              <w:right w:val="nil"/>
            </w:tcBorders>
            <w:shd w:val="clear" w:color="auto" w:fill="auto"/>
            <w:vAlign w:val="bottom"/>
          </w:tcPr>
          <w:p w14:paraId="431FF516" w14:textId="77777777" w:rsidR="00D00B16" w:rsidRDefault="00D00B16">
            <w:pPr>
              <w:jc w:val="center"/>
              <w:rPr>
                <w:color w:val="000000"/>
                <w:sz w:val="20"/>
                <w:szCs w:val="20"/>
              </w:rPr>
            </w:pPr>
          </w:p>
        </w:tc>
        <w:tc>
          <w:tcPr>
            <w:tcW w:w="1067" w:type="dxa"/>
            <w:tcBorders>
              <w:top w:val="nil"/>
              <w:left w:val="nil"/>
              <w:bottom w:val="nil"/>
              <w:right w:val="nil"/>
            </w:tcBorders>
            <w:shd w:val="clear" w:color="auto" w:fill="auto"/>
            <w:vAlign w:val="bottom"/>
          </w:tcPr>
          <w:p w14:paraId="3C0A22EF" w14:textId="77777777" w:rsidR="00D00B16" w:rsidRDefault="00D00B16">
            <w:pPr>
              <w:jc w:val="center"/>
              <w:rPr>
                <w:color w:val="000000"/>
                <w:sz w:val="20"/>
                <w:szCs w:val="20"/>
              </w:rPr>
            </w:pPr>
          </w:p>
        </w:tc>
        <w:tc>
          <w:tcPr>
            <w:tcW w:w="1049" w:type="dxa"/>
            <w:tcBorders>
              <w:top w:val="nil"/>
              <w:left w:val="nil"/>
              <w:bottom w:val="nil"/>
              <w:right w:val="nil"/>
            </w:tcBorders>
            <w:shd w:val="clear" w:color="auto" w:fill="auto"/>
            <w:vAlign w:val="bottom"/>
          </w:tcPr>
          <w:p w14:paraId="6BEB11C6" w14:textId="77777777" w:rsidR="00D00B16" w:rsidRDefault="00D00B16">
            <w:pPr>
              <w:jc w:val="center"/>
              <w:rPr>
                <w:color w:val="000000"/>
                <w:sz w:val="20"/>
                <w:szCs w:val="20"/>
              </w:rPr>
            </w:pPr>
          </w:p>
        </w:tc>
        <w:tc>
          <w:tcPr>
            <w:tcW w:w="1141" w:type="dxa"/>
            <w:tcBorders>
              <w:top w:val="nil"/>
              <w:left w:val="nil"/>
              <w:bottom w:val="nil"/>
              <w:right w:val="nil"/>
            </w:tcBorders>
            <w:shd w:val="clear" w:color="auto" w:fill="auto"/>
            <w:vAlign w:val="bottom"/>
          </w:tcPr>
          <w:p w14:paraId="3415C8CC" w14:textId="77777777" w:rsidR="00D00B16" w:rsidRDefault="00D00B16">
            <w:pPr>
              <w:jc w:val="center"/>
              <w:rPr>
                <w:color w:val="000000"/>
                <w:sz w:val="20"/>
                <w:szCs w:val="20"/>
              </w:rPr>
            </w:pPr>
          </w:p>
        </w:tc>
        <w:tc>
          <w:tcPr>
            <w:tcW w:w="1153" w:type="dxa"/>
            <w:tcBorders>
              <w:top w:val="nil"/>
              <w:left w:val="nil"/>
              <w:bottom w:val="nil"/>
              <w:right w:val="nil"/>
            </w:tcBorders>
            <w:shd w:val="clear" w:color="auto" w:fill="auto"/>
            <w:vAlign w:val="bottom"/>
          </w:tcPr>
          <w:p w14:paraId="42C51B4B" w14:textId="77777777" w:rsidR="00D00B16" w:rsidRDefault="00D00B16">
            <w:pPr>
              <w:jc w:val="center"/>
              <w:rPr>
                <w:color w:val="000000"/>
                <w:sz w:val="20"/>
                <w:szCs w:val="20"/>
              </w:rPr>
            </w:pPr>
          </w:p>
        </w:tc>
        <w:tc>
          <w:tcPr>
            <w:tcW w:w="910" w:type="dxa"/>
            <w:tcBorders>
              <w:top w:val="nil"/>
              <w:left w:val="nil"/>
              <w:bottom w:val="nil"/>
              <w:right w:val="nil"/>
            </w:tcBorders>
            <w:shd w:val="clear" w:color="auto" w:fill="auto"/>
            <w:vAlign w:val="bottom"/>
          </w:tcPr>
          <w:p w14:paraId="1EB4D647" w14:textId="77777777" w:rsidR="00D00B16" w:rsidRDefault="00D00B16">
            <w:pPr>
              <w:jc w:val="center"/>
              <w:rPr>
                <w:color w:val="000000"/>
                <w:sz w:val="20"/>
                <w:szCs w:val="20"/>
              </w:rPr>
            </w:pPr>
          </w:p>
        </w:tc>
        <w:tc>
          <w:tcPr>
            <w:tcW w:w="1129" w:type="dxa"/>
            <w:tcBorders>
              <w:top w:val="nil"/>
              <w:left w:val="nil"/>
              <w:bottom w:val="nil"/>
              <w:right w:val="nil"/>
            </w:tcBorders>
            <w:shd w:val="clear" w:color="auto" w:fill="auto"/>
            <w:vAlign w:val="bottom"/>
          </w:tcPr>
          <w:p w14:paraId="1A8D26F4" w14:textId="77777777" w:rsidR="00D00B16" w:rsidRDefault="00D00B16">
            <w:pPr>
              <w:jc w:val="center"/>
              <w:rPr>
                <w:color w:val="000000"/>
                <w:sz w:val="20"/>
                <w:szCs w:val="20"/>
              </w:rPr>
            </w:pPr>
          </w:p>
        </w:tc>
        <w:tc>
          <w:tcPr>
            <w:tcW w:w="1052" w:type="dxa"/>
            <w:tcBorders>
              <w:top w:val="nil"/>
              <w:left w:val="nil"/>
              <w:bottom w:val="nil"/>
              <w:right w:val="nil"/>
            </w:tcBorders>
            <w:shd w:val="clear" w:color="auto" w:fill="auto"/>
            <w:vAlign w:val="bottom"/>
          </w:tcPr>
          <w:p w14:paraId="341C2B38" w14:textId="77777777" w:rsidR="00D00B16" w:rsidRDefault="00D00B16">
            <w:pPr>
              <w:jc w:val="center"/>
              <w:rPr>
                <w:color w:val="000000"/>
                <w:sz w:val="20"/>
                <w:szCs w:val="20"/>
              </w:rPr>
            </w:pPr>
          </w:p>
        </w:tc>
        <w:tc>
          <w:tcPr>
            <w:tcW w:w="868" w:type="dxa"/>
            <w:tcBorders>
              <w:top w:val="nil"/>
              <w:left w:val="nil"/>
              <w:bottom w:val="nil"/>
              <w:right w:val="nil"/>
            </w:tcBorders>
            <w:shd w:val="clear" w:color="auto" w:fill="auto"/>
            <w:vAlign w:val="bottom"/>
          </w:tcPr>
          <w:p w14:paraId="37B2CF3F" w14:textId="77777777" w:rsidR="00D00B16" w:rsidRDefault="00D00B16">
            <w:pPr>
              <w:jc w:val="center"/>
              <w:rPr>
                <w:color w:val="000000"/>
                <w:sz w:val="20"/>
                <w:szCs w:val="20"/>
              </w:rPr>
            </w:pPr>
          </w:p>
        </w:tc>
        <w:tc>
          <w:tcPr>
            <w:tcW w:w="903" w:type="dxa"/>
            <w:tcBorders>
              <w:top w:val="nil"/>
              <w:left w:val="nil"/>
              <w:bottom w:val="nil"/>
              <w:right w:val="nil"/>
            </w:tcBorders>
            <w:shd w:val="clear" w:color="auto" w:fill="auto"/>
            <w:vAlign w:val="bottom"/>
          </w:tcPr>
          <w:p w14:paraId="61C57DCD" w14:textId="77777777" w:rsidR="00D00B16" w:rsidRDefault="00D00B16">
            <w:pPr>
              <w:jc w:val="center"/>
              <w:rPr>
                <w:color w:val="000000"/>
                <w:sz w:val="20"/>
                <w:szCs w:val="20"/>
              </w:rPr>
            </w:pPr>
          </w:p>
        </w:tc>
      </w:tr>
    </w:tbl>
    <w:p w14:paraId="45C2FFCE" w14:textId="77777777" w:rsidR="00D00B16" w:rsidRDefault="00D00B16">
      <w:pPr>
        <w:rPr>
          <w:sz w:val="22"/>
          <w:szCs w:val="22"/>
        </w:rPr>
      </w:pPr>
    </w:p>
    <w:p w14:paraId="64DC5095" w14:textId="77777777" w:rsidR="00D00B16" w:rsidRDefault="00D00B16">
      <w:pPr>
        <w:rPr>
          <w:sz w:val="22"/>
          <w:szCs w:val="22"/>
        </w:rPr>
      </w:pPr>
    </w:p>
    <w:p w14:paraId="730C60A8" w14:textId="77777777" w:rsidR="00D00B16" w:rsidRDefault="00D00B16">
      <w:pPr>
        <w:rPr>
          <w:sz w:val="22"/>
          <w:szCs w:val="22"/>
        </w:rPr>
      </w:pPr>
    </w:p>
    <w:p w14:paraId="3CE508E3" w14:textId="77777777" w:rsidR="00D00B16" w:rsidRDefault="00D00B16">
      <w:pPr>
        <w:rPr>
          <w:sz w:val="22"/>
          <w:szCs w:val="22"/>
        </w:rPr>
      </w:pPr>
    </w:p>
    <w:sectPr w:rsidR="00D00B16" w:rsidSect="00BB4BE1">
      <w:pgSz w:w="15840" w:h="12240" w:orient="landscape"/>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99A12" w14:textId="77777777" w:rsidR="003D217A" w:rsidRDefault="003D217A">
      <w:r>
        <w:separator/>
      </w:r>
    </w:p>
  </w:endnote>
  <w:endnote w:type="continuationSeparator" w:id="0">
    <w:p w14:paraId="08E96B85" w14:textId="77777777" w:rsidR="003D217A" w:rsidRDefault="003D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E8830" w14:textId="77777777" w:rsidR="00723347" w:rsidRDefault="007233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7A1B6C74" w14:textId="77777777" w:rsidR="00723347" w:rsidRDefault="0072334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D6A5" w14:textId="77777777" w:rsidR="00723347" w:rsidRDefault="00723347">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562D5168" w14:textId="77777777" w:rsidR="00723347" w:rsidRDefault="00723347">
    <w:pPr>
      <w:pBdr>
        <w:top w:val="nil"/>
        <w:left w:val="nil"/>
        <w:bottom w:val="nil"/>
        <w:right w:val="nil"/>
        <w:between w:val="nil"/>
      </w:pBdr>
      <w:tabs>
        <w:tab w:val="center" w:pos="4680"/>
        <w:tab w:val="right" w:pos="936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0289E" w14:textId="77777777" w:rsidR="003D217A" w:rsidRDefault="003D217A">
      <w:r>
        <w:separator/>
      </w:r>
    </w:p>
  </w:footnote>
  <w:footnote w:type="continuationSeparator" w:id="0">
    <w:p w14:paraId="2EC4AB59" w14:textId="77777777" w:rsidR="003D217A" w:rsidRDefault="003D217A">
      <w:r>
        <w:continuationSeparator/>
      </w:r>
    </w:p>
  </w:footnote>
  <w:footnote w:id="1">
    <w:p w14:paraId="244E837F" w14:textId="77777777" w:rsidR="00723347" w:rsidRDefault="00723347">
      <w:pPr>
        <w:rPr>
          <w:sz w:val="20"/>
          <w:szCs w:val="20"/>
        </w:rPr>
      </w:pPr>
      <w:r>
        <w:rPr>
          <w:vertAlign w:val="superscript"/>
        </w:rPr>
        <w:footnoteRef/>
      </w:r>
      <w:r>
        <w:rPr>
          <w:sz w:val="20"/>
          <w:szCs w:val="20"/>
        </w:rPr>
        <w:t xml:space="preserve"> Since some sentences (such as titles) did not have a period at the end, we decided to use new line (“\n”), horizontal tab (“\t”), and carriage return (“\r”) markers as delimiters, in addition to periods.</w:t>
      </w:r>
    </w:p>
  </w:footnote>
  <w:footnote w:id="2">
    <w:p w14:paraId="73175622" w14:textId="77777777" w:rsidR="00723347" w:rsidRDefault="00723347">
      <w:pPr>
        <w:rPr>
          <w:sz w:val="20"/>
          <w:szCs w:val="20"/>
        </w:rPr>
      </w:pPr>
      <w:r>
        <w:rPr>
          <w:vertAlign w:val="superscript"/>
        </w:rPr>
        <w:footnoteRef/>
      </w:r>
      <w:r>
        <w:rPr>
          <w:sz w:val="20"/>
          <w:szCs w:val="20"/>
        </w:rPr>
        <w:t xml:space="preserve"> The random baseline (the probability of correctly classifying a sentence at random) was 45%. Higher precision than recall meant that our classifier was conservative.</w:t>
      </w:r>
    </w:p>
  </w:footnote>
  <w:footnote w:id="3">
    <w:p w14:paraId="61503CA1" w14:textId="77777777" w:rsidR="00723347" w:rsidRDefault="00723347">
      <w:pPr>
        <w:rPr>
          <w:sz w:val="20"/>
          <w:szCs w:val="20"/>
        </w:rPr>
      </w:pPr>
      <w:r>
        <w:rPr>
          <w:vertAlign w:val="superscript"/>
        </w:rPr>
        <w:footnoteRef/>
      </w:r>
      <w:r>
        <w:rPr>
          <w:sz w:val="20"/>
          <w:szCs w:val="20"/>
        </w:rPr>
        <w:t xml:space="preserve"> We have data on whether or not community foundations commissioned independent audits, another common indicator of rationalization. We did not include the indicator because it was not statistically significant in any of our models and was less informative than the index we created about consulting.</w:t>
      </w:r>
    </w:p>
  </w:footnote>
  <w:footnote w:id="4">
    <w:p w14:paraId="5E32C414" w14:textId="77777777" w:rsidR="00723347" w:rsidRPr="009D370D" w:rsidRDefault="00723347">
      <w:pPr>
        <w:rPr>
          <w:sz w:val="20"/>
          <w:szCs w:val="20"/>
        </w:rPr>
      </w:pPr>
      <w:r>
        <w:rPr>
          <w:vertAlign w:val="superscript"/>
        </w:rPr>
        <w:footnoteRef/>
      </w:r>
      <w:r w:rsidRPr="009D370D">
        <w:rPr>
          <w:sz w:val="20"/>
          <w:szCs w:val="20"/>
        </w:rPr>
        <w:t xml:space="preserve"> All models are Ordinary Least Squares (OLS) regressions. In order for these models to produce unbiased estimates, 6 main assumptions need to be met: 1) the outcome should be the function of additive parameters, 2) the observations used for estimation should be representative of the population of interest, 3) the predictive errors should have mean zero, 4) none of the predictive variables should be perfectly collinear, 5) the variance of the predictive errors should be constant (homoscedastic errors), 6) the predictive errors should be normally distributed. We believe that in our case these assumptions are met: a) we theoretically envision the covariates of interest to have an additive effect on the outcome, b) we collected data for a large and representative number of community foundations, c) the predictive errors have mean zero, d) none of the variables are collinear (we never include variables representing the same dimension in the same model --e.g. </w:t>
      </w:r>
      <w:r w:rsidRPr="009D370D">
        <w:rPr>
          <w:i/>
          <w:sz w:val="20"/>
          <w:szCs w:val="20"/>
        </w:rPr>
        <w:t>Donative Revenue</w:t>
      </w:r>
      <w:r w:rsidRPr="009D370D">
        <w:rPr>
          <w:sz w:val="20"/>
          <w:szCs w:val="20"/>
        </w:rPr>
        <w:t xml:space="preserve"> and </w:t>
      </w:r>
      <w:r w:rsidRPr="009D370D">
        <w:rPr>
          <w:i/>
          <w:sz w:val="20"/>
          <w:szCs w:val="20"/>
        </w:rPr>
        <w:t>Donative Dominance</w:t>
      </w:r>
      <w:r w:rsidRPr="009D370D">
        <w:rPr>
          <w:sz w:val="20"/>
          <w:szCs w:val="20"/>
        </w:rPr>
        <w:t xml:space="preserve">--), e) the models generate homoscedastic errors, and f) the distribution of the predictive errors follow a quasi-normal distribution (for some of the models the distribution is slightly right skewed). </w:t>
      </w:r>
    </w:p>
  </w:footnote>
  <w:footnote w:id="5">
    <w:p w14:paraId="5C991A11" w14:textId="77777777" w:rsidR="00723347" w:rsidRDefault="00723347">
      <w:pPr>
        <w:rPr>
          <w:sz w:val="20"/>
          <w:szCs w:val="20"/>
        </w:rPr>
      </w:pPr>
      <w:r>
        <w:rPr>
          <w:vertAlign w:val="superscript"/>
        </w:rPr>
        <w:footnoteRef/>
      </w:r>
      <w:r>
        <w:rPr>
          <w:sz w:val="20"/>
          <w:szCs w:val="20"/>
        </w:rPr>
        <w:t xml:space="preserve"> In addition to the controls presented in the table, in preliminary models we tested a variety of alternative and additional controls. Since none of them changed the main results or added meaningful explanatory power, we decided to present parsimonious models.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E208B"/>
    <w:multiLevelType w:val="multilevel"/>
    <w:tmpl w:val="4B06A5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29E554C"/>
    <w:multiLevelType w:val="multilevel"/>
    <w:tmpl w:val="2C087D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0B16"/>
    <w:rsid w:val="00022A8D"/>
    <w:rsid w:val="00365F6D"/>
    <w:rsid w:val="003D217A"/>
    <w:rsid w:val="003E4D0B"/>
    <w:rsid w:val="00416783"/>
    <w:rsid w:val="004373EF"/>
    <w:rsid w:val="00451A5F"/>
    <w:rsid w:val="00477F42"/>
    <w:rsid w:val="004A5D12"/>
    <w:rsid w:val="00536B99"/>
    <w:rsid w:val="005C0894"/>
    <w:rsid w:val="005E17B9"/>
    <w:rsid w:val="00600406"/>
    <w:rsid w:val="00666E6A"/>
    <w:rsid w:val="00700AF0"/>
    <w:rsid w:val="00723347"/>
    <w:rsid w:val="00727FA9"/>
    <w:rsid w:val="007A78D5"/>
    <w:rsid w:val="007B075A"/>
    <w:rsid w:val="008847E1"/>
    <w:rsid w:val="009B1A31"/>
    <w:rsid w:val="009C2C04"/>
    <w:rsid w:val="009D370D"/>
    <w:rsid w:val="00A65134"/>
    <w:rsid w:val="00A961A4"/>
    <w:rsid w:val="00AC3B95"/>
    <w:rsid w:val="00B313F4"/>
    <w:rsid w:val="00BB4BE1"/>
    <w:rsid w:val="00BD63F8"/>
    <w:rsid w:val="00BD7BFE"/>
    <w:rsid w:val="00C8534C"/>
    <w:rsid w:val="00C94E52"/>
    <w:rsid w:val="00CA43B3"/>
    <w:rsid w:val="00CF2691"/>
    <w:rsid w:val="00D00B16"/>
    <w:rsid w:val="00D02E6B"/>
    <w:rsid w:val="00D107B5"/>
    <w:rsid w:val="00D616A1"/>
    <w:rsid w:val="00DB39DD"/>
    <w:rsid w:val="00E9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D98C"/>
  <w15:docId w15:val="{1804BD0E-293A-8940-BD9A-08348BF6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5F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5F6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616A1"/>
    <w:rPr>
      <w:b/>
      <w:bCs/>
    </w:rPr>
  </w:style>
  <w:style w:type="character" w:customStyle="1" w:styleId="CommentSubjectChar">
    <w:name w:val="Comment Subject Char"/>
    <w:basedOn w:val="CommentTextChar"/>
    <w:link w:val="CommentSubject"/>
    <w:uiPriority w:val="99"/>
    <w:semiHidden/>
    <w:rsid w:val="00D616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ommunityfoundationatlas.org/explore/" TargetMode="External"/><Relationship Id="rId13" Type="http://schemas.openxmlformats.org/officeDocument/2006/relationships/hyperlink" Target="https://doi.org/10.5465/amj.2016.022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rs.gov/statistics/soi-tax-stats-annual-extract-of-tax-exempt-organization-financial-dat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conline.foundationcenter.org/"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data.foundationcenter.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cof.org/community-foundation-locator" TargetMode="External"/><Relationship Id="rId14" Type="http://schemas.openxmlformats.org/officeDocument/2006/relationships/hyperlink" Target="https://www.seattle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A9802-5FC4-4C4E-A771-F54883931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25</Pages>
  <Words>11713</Words>
  <Characters>66770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F Suarez</cp:lastModifiedBy>
  <cp:revision>9</cp:revision>
  <dcterms:created xsi:type="dcterms:W3CDTF">2018-07-16T19:27:00Z</dcterms:created>
  <dcterms:modified xsi:type="dcterms:W3CDTF">2018-07-23T16:28:00Z</dcterms:modified>
</cp:coreProperties>
</file>