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56.png" ContentType="image/png"/>
  <Override PartName="/word/media/rId70.png" ContentType="image/png"/>
  <Override PartName="/word/media/rId74.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Measurement Reliabily, Validity, and Reporting in Replicaitons and Original Research</w:t>
      </w:r>
    </w:p>
    <w:p>
      <w:pPr>
        <w:pStyle w:val="Author"/>
      </w:pPr>
      <w:r>
        <w:t xml:space="preserve">Cas Goos</w:t>
      </w:r>
      <w:r>
        <w:rPr>
          <w:vertAlign w:val="superscript"/>
        </w:rPr>
        <w:t xml:space="preserve">1</w:t>
      </w:r>
      <w:r>
        <w:t xml:space="preserve">, Marjan Bakker</w:t>
      </w:r>
      <w:r>
        <w:rPr>
          <w:vertAlign w:val="superscript"/>
        </w:rPr>
        <w:t xml:space="preserve">1</w:t>
      </w:r>
      <w:r>
        <w:t xml:space="preserve">, Jelte M. Wicherts</w:t>
      </w:r>
      <w:r>
        <w:rPr>
          <w:vertAlign w:val="superscript"/>
        </w:rPr>
        <w:t xml:space="preserve">1</w:t>
      </w:r>
      <w:r>
        <w:t xml:space="preserve">, &amp; Michèle B. Nuijten</w:t>
      </w:r>
      <w:r>
        <w:rPr>
          <w:vertAlign w:val="superscript"/>
        </w:rPr>
        <w:t xml:space="preserve">1</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The authors made the following contributions. CG: Conceptualization, Data curation, Formal Analysis, Investigation, Methodology, Project Administration, Software, Visualization, Writing - Original Draft Preparation, Writing - Review &amp; Editing; MB: Conceptualization, Supervision, Writing - Review &amp; Editing; JW: Conceptualization, Supervision, Writing - Review &amp; Editing; MN: Conceptualization, Project Administration, Supervision, Validation, Writing - Review &amp; Editing.</w:t>
      </w:r>
    </w:p>
    <w:p>
      <w:pPr>
        <w:pStyle w:val="authornote"/>
      </w:pPr>
      <w:r>
        <w:t xml:space="preserve">Correspondence concerning this article should be addressed to Cas Goos, Professor Cobbenhagenlaan 125, 5037 DB, Tilburg, The Netherlands. E-mail:</w:t>
      </w:r>
      <w:r>
        <w:t xml:space="preserve"> </w:t>
      </w:r>
      <w:hyperlink r:id="rId20">
        <w:r>
          <w:rPr>
            <w:rStyle w:val="Hyperlink"/>
          </w:rPr>
          <w:t xml:space="preserve">c.goos@tilburguniversity.edu</w:t>
        </w:r>
      </w:hyperlink>
    </w:p>
    <w:p>
      <w:pPr>
        <w:pStyle w:val="h1-pagebreak"/>
      </w:pPr>
      <w:r>
        <w:t xml:space="preserve">Abstract</w:t>
      </w:r>
    </w:p>
    <w:p>
      <w:pPr>
        <w:pStyle w:val="Textkrper"/>
      </w:pPr>
      <w:r>
        <w:t xml:space="preserve">For a replication to be informative, measurement should be reliable and valid in both original and replication studies.</w:t>
      </w:r>
    </w:p>
    <w:p>
      <w:pPr>
        <w:pStyle w:val="Textkrper"/>
      </w:pPr>
      <w:r>
        <w:rPr>
          <w:i/>
          <w:iCs/>
        </w:rPr>
        <w:t xml:space="preserve">Keywords:</w:t>
      </w:r>
      <w:r>
        <w:t xml:space="preserve"> </w:t>
      </w:r>
      <w:r>
        <w:t xml:space="preserve">reliability, construct validity, measurement, reporting, questionable measurement practices, replications, informative replications, psychology</w:t>
      </w:r>
    </w:p>
    <w:p>
      <w:pPr>
        <w:pStyle w:val="Textkrper"/>
      </w:pPr>
      <w:r>
        <w:rPr>
          <w:i/>
          <w:iCs/>
        </w:rPr>
        <w:t xml:space="preserve">Word count:</w:t>
      </w:r>
      <w:r>
        <w:t xml:space="preserve"> </w:t>
      </w:r>
      <w:r>
        <w:t xml:space="preserve">1</w:t>
      </w:r>
    </w:p>
    <w:p>
      <w:pPr>
        <w:pStyle w:val="h1-pagebreak"/>
      </w:pPr>
      <w:r>
        <w:t xml:space="preserve">Measurement Reliabily, Validity, and Reporting in Replicaitons and Original Research</w:t>
      </w:r>
    </w:p>
    <w:p>
      <w:pPr>
        <w:pStyle w:val="Textkrper"/>
      </w:pPr>
      <w:r>
        <w:t xml:space="preserve"> </w:t>
      </w:r>
    </w:p>
    <w:p>
      <w:pPr>
        <w:pStyle w:val="Textkrper"/>
      </w:pPr>
      <w:r>
        <w:t xml:space="preserve"> </w:t>
      </w:r>
    </w:p>
    <w:p>
      <w:pPr>
        <w:pStyle w:val="Textkrper"/>
      </w:pPr>
      <w:r>
        <w:t xml:space="preserve"> </w:t>
      </w:r>
    </w:p>
    <w:p>
      <w:pPr>
        <w:pStyle w:val="Textkrper"/>
      </w:pPr>
      <w:r>
        <w:t xml:space="preserve">The challenge with measurement in quantitative psychological research is that unlike height or weight, psychological constructs cannot be directly measured. Instead, we use scores from a measurement as a proxy indicator for that psychological construct. However, we cannot simply assume that any measure we create will form a good indicator of our constructs of interest. The measure has to be validated. There should be evidence that shows that the measure can accurately capture the construct of interest within the context of the study, and this information should be available for readers to evaluate.</w:t>
      </w:r>
    </w:p>
    <w:p>
      <w:pPr>
        <w:pStyle w:val="Textkrper"/>
      </w:pPr>
      <w:r>
        <w:t xml:space="preserve">???Measure (as the instrument) vs. measurement (as the application within a context)???</w:t>
      </w:r>
    </w:p>
    <w:bookmarkStart w:id="21" w:name="measurement-validation"/>
    <w:p>
      <w:pPr>
        <w:pStyle w:val="berschrift3"/>
      </w:pPr>
      <w:r>
        <w:t xml:space="preserve">Measurement Validation.</w:t>
      </w:r>
    </w:p>
    <w:p>
      <w:pPr>
        <w:pStyle w:val="FirstParagraph"/>
      </w:pPr>
      <w:r>
        <w:t xml:space="preserve">To validate a measure of a psychological construct, two aspects of the measure are of key importance to establish: construct validity and reliability. Construct validity refers to whether the variance in the measured item scores between participants can be attributed to the variance in the unobserved construct(s) of interest between participants</w:t>
      </w:r>
      <w:r>
        <w:t xml:space="preserve"> </w:t>
      </w:r>
      <w:r>
        <w:t xml:space="preserve">(Cronbach &amp; Meehl, 1955; Vazire et al., 2022)</w:t>
      </w:r>
      <w:r>
        <w:t xml:space="preserve">. Here constructs refer to psychological variables that cannot be directly observed but are conjectured to exist in the natural world.</w:t>
      </w:r>
      <w:r>
        <w:t xml:space="preserve"> </w:t>
      </w:r>
      <w:r>
        <w:t xml:space="preserve">“Reliability refers to the consistency of scale scores when a construct is assessed multiple times or in multiple ways”</w:t>
      </w:r>
      <w:r>
        <w:t xml:space="preserve"> </w:t>
      </w:r>
      <w:r>
        <w:t xml:space="preserve">[</w:t>
      </w:r>
      <w:r>
        <w:t xml:space="preserve">Crutzen and and Peters (2017)</w:t>
      </w:r>
      <w:r>
        <w:t xml:space="preserve">; pp. 244]. Reliability thus reflects how much of the scores obtained from a measure capture signal from the constructs of interest, and how much is noise. Thus, we need a measure to be construct valid for it to measure what we want it to measure, while reliability is necessary to ensure that our measured scores are accurate. Psychometrics offers various ways in which to assess construct validity and reliability</w:t>
      </w:r>
      <w:r>
        <w:t xml:space="preserve"> </w:t>
      </w:r>
      <w:r>
        <w:t xml:space="preserve">(Mellenbergh, 2011; Nunnally, 1978)</w:t>
      </w:r>
      <w:r>
        <w:t xml:space="preserve">. It is often the results from these psychometric analyses that form the basis for assessing whether or not the measure is valid or not.</w:t>
      </w:r>
    </w:p>
    <w:p>
      <w:pPr>
        <w:pStyle w:val="Textkrper"/>
      </w:pPr>
      <w:r>
        <w:t xml:space="preserve">???Reliability is a pre-requisite to construct validity, because a measure for which a participant’s response is not consistent, cannot capture a stable construct [Kaplan and Saccuzzo (2013, pp. 154–155)].)???</w:t>
      </w:r>
    </w:p>
    <w:p>
      <w:pPr>
        <w:pStyle w:val="Textkrper"/>
      </w:pPr>
      <w:r>
        <w:t xml:space="preserve">???Throughout this article we will focus on factor analysis/internal structure for construct validity and internal consistency for reliability.???</w:t>
      </w:r>
    </w:p>
    <w:bookmarkEnd w:id="21"/>
    <w:bookmarkStart w:id="22" w:name="measurement-reporting"/>
    <w:p>
      <w:pPr>
        <w:pStyle w:val="berschrift3"/>
      </w:pPr>
      <w:r>
        <w:t xml:space="preserve">Measurement Reporting.</w:t>
      </w:r>
    </w:p>
    <w:p>
      <w:pPr>
        <w:pStyle w:val="FirstParagraph"/>
      </w:pPr>
      <w:r>
        <w:t xml:space="preserve">Despite the importance of establishing the reliability and construct validity of a study’s measurement, reliability and construct validity is rarely reported for measurement</w:t>
      </w:r>
      <w:r>
        <w:t xml:space="preserve"> </w:t>
      </w:r>
      <w:r>
        <w:t xml:space="preserve">(Flake et al., 2017; Flake et al., 2022; Hogan &amp; Agnello, 2004)</w:t>
      </w:r>
      <w:r>
        <w:t xml:space="preserve">. This is one example of a Questionable Measurement Practice (QMP) as coined by</w:t>
      </w:r>
      <w:r>
        <w:t xml:space="preserve"> </w:t>
      </w:r>
      <w:r>
        <w:t xml:space="preserve">Flake and Fried (2020)</w:t>
      </w:r>
      <w:r>
        <w:t xml:space="preserve">. QMPs are practices that raise doubts about a measurement’s validity, being a term analogous to Questionable Research Practices [QRPs;</w:t>
      </w:r>
      <w:r>
        <w:t xml:space="preserve"> </w:t>
      </w:r>
      <w:r>
        <w:t xml:space="preserve">Simmons et al. (2011)</w:t>
      </w:r>
      <w:r>
        <w:t xml:space="preserve">;</w:t>
      </w:r>
      <w:r>
        <w:t xml:space="preserve"> </w:t>
      </w:r>
      <w:r>
        <w:t xml:space="preserve">John et al. (2012)</w:t>
      </w:r>
      <w:r>
        <w:t xml:space="preserve">;</w:t>
      </w:r>
      <w:r>
        <w:t xml:space="preserve"> </w:t>
      </w:r>
      <w:r>
        <w:t xml:space="preserve">Wicherts et al. (2016)</w:t>
      </w:r>
      <w:r>
        <w:t xml:space="preserve">]. QMPs encompass practices ranging from lack of transparency in the reporting on measurement to lacking justification for choice, modification, or creation of measurement</w:t>
      </w:r>
      <w:r>
        <w:t xml:space="preserve"> </w:t>
      </w:r>
      <w:r>
        <w:t xml:space="preserve">(Flake &amp; Fried, 2020)</w:t>
      </w:r>
      <w:r>
        <w:t xml:space="preserve">. QMPs not only inhibit a reader’s ability to judge the validity of the measurement and as a result the results of the study, they also make it more difficult for future research to reuse and follow up on earlier measurement.</w:t>
      </w:r>
    </w:p>
    <w:bookmarkEnd w:id="22"/>
    <w:bookmarkStart w:id="23" w:name="research-aim"/>
    <w:p>
      <w:pPr>
        <w:pStyle w:val="berschrift2"/>
      </w:pPr>
      <w:r>
        <w:t xml:space="preserve">Research Aim</w:t>
      </w:r>
    </w:p>
    <w:p>
      <w:pPr>
        <w:pStyle w:val="FirstParagraph"/>
      </w:pPr>
      <w:r>
        <w:t xml:space="preserve">In this study, we provide a descriptive account of the reliability, construct validity, and reporting practices of measurement in replication and original research. Our aim is to evaluate to what extent the reporting and use of item-based measurement scales in our sample of replication and original studies from the Many Labs replication projects aligns with general measurement standards, and to what extent these reflect QMPs. For this, we document if the measurement reporting practices observed in the original and replication study are questionable or not. We also calculated the reliability and performed a simple construct validity check of the measures in our sample using the openly available replication data, to provide indication on the reliability and construct validity across measures within their use case. Our descriptive account is not intended to give a final verdict on the validity of individual measurements in our sample. This would require data, and a familiarity with the underlying theory for each measurement in our sample, which is outside the scope of this article. Instead, this study focuses on what we observe across the measures as a whole. If we observe that some measures do not meet our criteria for reliability, construct validity, and measurement reporting, we can assume that this could be because our assessment was not context sensitive enough for those measures. However, if we observe consistent issues with reliability, construct validity, and measurement reporting in our sample, it becomes increasingly likely that this reflects a lack of good measurement standards within our sample.</w:t>
      </w:r>
    </w:p>
    <w:p>
      <w:pPr>
        <w:pStyle w:val="Textkrper"/>
      </w:pPr>
      <w:r>
        <w:t xml:space="preserve">We chose the Many Labs replications and associated original studies as our sample. The Many Labs replications are large-scale collaborations in which multiple labs across the world directly replicated classic and contemporary psychological studies</w:t>
      </w:r>
      <w:r>
        <w:t xml:space="preserve"> </w:t>
      </w:r>
      <w:r>
        <w:t xml:space="preserve">(Ebersole et al., 2016, 2020; Klein et al., 2014; Klein et al., 2018; Klein et al., 2022)</w:t>
      </w:r>
      <w:r>
        <w:t xml:space="preserve">. Candidate studies were generally picked due to the feasibility of doing them in both in lab and online as well as having an easy and short design. Besides ease, studies were also picked to display a diverse range of effects that were also of key interest to the field. After original study effects were chosen, researchers and data collection sites were obtained through various means and evaluated on ethical and study design compliance standards. For Many Labs 1, 2, &amp; 3</w:t>
      </w:r>
      <w:r>
        <w:t xml:space="preserve"> </w:t>
      </w:r>
      <w:r>
        <w:t xml:space="preserve">(Ebersole et al., 2016; Klein et al., 2014; Klein et al., 2018)</w:t>
      </w:r>
      <w:r>
        <w:t xml:space="preserve">, multiple studies were executed in one sitting by participants. For Many Labs 4</w:t>
      </w:r>
      <w:r>
        <w:t xml:space="preserve"> </w:t>
      </w:r>
      <w:r>
        <w:t xml:space="preserve">(Klein et al., 2022)</w:t>
      </w:r>
      <w:r>
        <w:t xml:space="preserve"> </w:t>
      </w:r>
      <w:r>
        <w:t xml:space="preserve">only one study was replicated, and for Many Labs 5</w:t>
      </w:r>
      <w:r>
        <w:t xml:space="preserve"> </w:t>
      </w:r>
      <w:r>
        <w:t xml:space="preserve">(Ebersole et al., 2020)</w:t>
      </w:r>
      <w:r>
        <w:t xml:space="preserve"> </w:t>
      </w:r>
      <w:r>
        <w:t xml:space="preserve">the effects to replicate were chosen by the data collection sites. Each data collection site than ran the study, and for Many Labs 1, 2, 3, &amp; 4 the studies were also conducted online. The results from each dataset were then analysed together and reported in a Many Labs reports article. These replication projects are an ideal sample for our use case, because the replicated effects represent a broad range of relevant findings. Additionally, the Many Labs made all the data collected openly available, organized by each lab. This allows us to not only analyse the reliability and construct validity of the measurements that were used, but analyse the variation in reliability and construct validity across the various labs in which the measurement was used. Finally, because the Many Labs projects used preregistered and documented structured protocols, we expect the measurement used in these projects to represent a high standard within the field. Any issues in measurement here might suggest that other replications could face similar or greater challenges.</w:t>
      </w:r>
    </w:p>
    <w:bookmarkEnd w:id="23"/>
    <w:bookmarkStart w:id="25" w:name="existing-research"/>
    <w:p>
      <w:pPr>
        <w:pStyle w:val="berschrift2"/>
      </w:pPr>
      <w:r>
        <w:t xml:space="preserve">Existing Research</w:t>
      </w:r>
    </w:p>
    <w:p>
      <w:pPr>
        <w:pStyle w:val="FirstParagraph"/>
      </w:pPr>
      <w:r>
        <w:t xml:space="preserve">Flake et al. (2022)</w:t>
      </w:r>
      <w:r>
        <w:t xml:space="preserve"> </w:t>
      </w:r>
      <w:r>
        <w:t xml:space="preserve">documented the occurrence of QMPs among 100 replications and their respective original articles from the Reproducibility Project Psychology</w:t>
      </w:r>
      <w:r>
        <w:t xml:space="preserve"> </w:t>
      </w:r>
      <w:r>
        <w:t xml:space="preserve">(OPEN SCIENCE COLLABORATION, 2015)</w:t>
      </w:r>
      <w:r>
        <w:t xml:space="preserve">. They coded the number of measures, the content of the measures, and information describing and justifying the measurement. They observed limited reporting of evidence demonstrating the reliability and validity of the measurement. Additionally, only eight of the 40 translated scales contained validity evidence for the translated version. A similar lack of reliability and validity reporting has been observed in other studies as well</w:t>
      </w:r>
      <w:r>
        <w:t xml:space="preserve"> </w:t>
      </w:r>
      <w:r>
        <w:t xml:space="preserve">(Flake et al., 2017; Flake et al., 2022; Hogan &amp; Agnello, 2004)</w:t>
      </w:r>
      <w:r>
        <w:t xml:space="preserve">. In many cases there are no results from psychometric analyses demonstrating the construct validity or reliability of the measure. In those instances where psychometric indicators are reported, it is often limited to Cronbach’s Alpha, a commonly used indicator for reliability which comes with strong assumptions that are themselves rarely tested</w:t>
      </w:r>
      <w:r>
        <w:t xml:space="preserve"> </w:t>
      </w:r>
      <w:r>
        <w:t xml:space="preserve">(Crutzen &amp; and Peters, 2017)</w:t>
      </w:r>
      <w:r>
        <w:t xml:space="preserve">. Furthermore, research by</w:t>
      </w:r>
      <w:r>
        <w:t xml:space="preserve"> </w:t>
      </w:r>
      <w:r>
        <w:t xml:space="preserve">Hussey et al. (2023)</w:t>
      </w:r>
      <w:r>
        <w:t xml:space="preserve"> </w:t>
      </w:r>
      <w:r>
        <w:t xml:space="preserve">has shown evidence that the reporting of reliability may not only be little, but also biased. They observed a disproportional amount of Cronbach’s Alpha values at the common acceptably reliable threshold value of .70, and relatively low reporting below .70. Thus, the lack of reported measurement evidence may on occasion be hiding psychometric skeletons in the closet.</w:t>
      </w:r>
    </w:p>
    <w:p>
      <w:pPr>
        <w:pStyle w:val="Textkrper"/>
      </w:pPr>
      <w:r>
        <w:t xml:space="preserve">Further findings by</w:t>
      </w:r>
      <w:r>
        <w:t xml:space="preserve"> </w:t>
      </w:r>
      <w:r>
        <w:t xml:space="preserve">Flake et al. (2022)</w:t>
      </w:r>
      <w:r>
        <w:t xml:space="preserve"> </w:t>
      </w:r>
      <w:r>
        <w:t xml:space="preserve">and others</w:t>
      </w:r>
      <w:r>
        <w:t xml:space="preserve"> </w:t>
      </w:r>
      <w:r>
        <w:t xml:space="preserve">(Flake et al., 2017; Mairead Shaw et al., 2020)</w:t>
      </w:r>
      <w:r>
        <w:t xml:space="preserve"> </w:t>
      </w:r>
      <w:r>
        <w:t xml:space="preserve">also show that QMPs not only limit the reported validity of that measurement. The lack of information also creates challenges for future researchers that want to reuse to measurement. They found that basic content descriptions such as the number of items, the response format, and the scoring of the scale were irregular. If it is not clear what items were used, how they were scored, and how they were administered, then it is challenging to reconstruct the measurement in future research. Future research will not be able to reuse the measure to assess a similar construct, even if the measure is valid. Additionally, if replication studies attempt to reconstruct the measurement from these incomplete descriptions, they may end up with a measurement that assesses the constructs in a substantially different way from the original study, or even assess different constructs altogether. If different constructs are assessed, the replication cannot be seen as a test of the same phenomenon as the original. If the same constructs are assessed, but in a substantially different way, the estimated effects in the replication cannot easily be put side-by-side with the effects in the original study. In either case, substantial comparisons between original and replication are hindered.</w:t>
      </w:r>
    </w:p>
    <w:p>
      <w:pPr>
        <w:pStyle w:val="Textkrper"/>
      </w:pPr>
      <w:r>
        <w:t xml:space="preserve">The inability to reuse a measure does not only affect replications, it limits our ability to validate the measure thoroughly. Even for measure’s that are construct valid in one context, the factor relations may not be stable for this measure in other contexts and implementations, a concept known as measurement invariance</w:t>
      </w:r>
      <w:r>
        <w:t xml:space="preserve"> </w:t>
      </w:r>
      <w:r>
        <w:t xml:space="preserve">(Cheung &amp; Lau, 2012; Horn &amp; Mcardle, 1992)</w:t>
      </w:r>
      <w:r>
        <w:t xml:space="preserve">. Similarly, Cronbach’s alpha is an indicator of reliability within a particular sample and not of the reliability of the measure in general, because it is proportional to the total variance in the target variable in the sample. Despite this many researchers report and interpret Cronbach’s Alpha as a universal quality of the measure</w:t>
      </w:r>
      <w:r>
        <w:t xml:space="preserve"> </w:t>
      </w:r>
      <w:r>
        <w:t xml:space="preserve">(Cortina, 1993; Schmitt, 1996)</w:t>
      </w:r>
      <w:r>
        <w:t xml:space="preserve">. Therefore, if we want to get an understanding of how the construct validity and reliability of a measure fare in different contexts and implementations, the measure has to be used and evaluated in each context and implementation in relevant substantive research. This relies on the measure being reusable in future research, which is only possible if is adequately documented. Additionally, even simple factor analyses - unless the amount of variance explained by the factors is large and the factor structure is clear - require sample sizes of at least 100</w:t>
      </w:r>
      <w:r>
        <w:t xml:space="preserve"> </w:t>
      </w:r>
      <w:r>
        <w:t xml:space="preserve">(Gorsuch, 2013; MacCallum et al., 1999)</w:t>
      </w:r>
      <w:r>
        <w:t xml:space="preserve">, while detecting meaningful effects when checking for measurement invariance across groups requires even larger sample sizes</w:t>
      </w:r>
      <w:r>
        <w:t xml:space="preserve"> </w:t>
      </w:r>
      <w:r>
        <w:t xml:space="preserve">(French et al., 2016; Koziol &amp; Bovaird, 2018; Meade &amp; Bauer, 2007)</w:t>
      </w:r>
      <w:r>
        <w:t xml:space="preserve">. Not every original study is able to obtain such sample sizes to validate their measure, which would make them dependent on future studies with sufficient sample size to validate the measure.</w:t>
      </w:r>
    </w:p>
    <w:p>
      <w:pPr>
        <w:pStyle w:val="Textkrper"/>
      </w:pPr>
      <w:r>
        <w:t xml:space="preserve">Instead of measures being reused and cumulatively validated, research has shown that measures are instead frequently made on the fly and reused maybe once or never</w:t>
      </w:r>
      <w:r>
        <w:t xml:space="preserve"> </w:t>
      </w:r>
      <w:r>
        <w:t xml:space="preserve">(Anvari, Alsalti, Oehler, Hussey, et al., 2025; Anvari, Alsalti, Oehler, Marion, et al., 2025; Elson et al., 2023; Weidman et al., 2017)</w:t>
      </w:r>
      <w:r>
        <w:t xml:space="preserve">. When large scale projects such as the Many Labs replication projects made it possible to evaluate measures across multiple labs, the consequences of such practices came to light, most measures were not consistently valid across all contexts they were used in.</w:t>
      </w:r>
      <w:r>
        <w:t xml:space="preserve"> </w:t>
      </w:r>
      <w:r>
        <w:t xml:space="preserve">Mairead Shaw et al. (2020)</w:t>
      </w:r>
      <w:r>
        <w:t xml:space="preserve"> </w:t>
      </w:r>
      <w:r>
        <w:t xml:space="preserve">checked the factor structure and reliability of measures used in the Many Labs 2 replication project</w:t>
      </w:r>
      <w:r>
        <w:t xml:space="preserve"> </w:t>
      </w:r>
      <w:r>
        <w:t xml:space="preserve">(Klein et al., 2018)</w:t>
      </w:r>
      <w:r>
        <w:t xml:space="preserve"> </w:t>
      </w:r>
      <w:r>
        <w:t xml:space="preserve">on the available data. For the scales they assessed, they observed no factor model fit congruent with the use of the scales that met all of their evaluation criteria. Furthermore, the overall sample Cronbach’s alpha level across scales was below .5, a degree of reliability far below what many would consider acceptable for most research purposes.</w:t>
      </w:r>
    </w:p>
    <w:bookmarkStart w:id="24" w:name="contribution"/>
    <w:p>
      <w:pPr>
        <w:pStyle w:val="berschrift3"/>
      </w:pPr>
      <w:r>
        <w:t xml:space="preserve">Contribution.</w:t>
      </w:r>
    </w:p>
    <w:p>
      <w:pPr>
        <w:pStyle w:val="FirstParagraph"/>
      </w:pPr>
      <w:r>
        <w:t xml:space="preserve">Our study is a conceptual replication and extension of</w:t>
      </w:r>
      <w:r>
        <w:t xml:space="preserve"> </w:t>
      </w:r>
      <w:r>
        <w:t xml:space="preserve">Flake et al. (2022)</w:t>
      </w:r>
      <w:r>
        <w:t xml:space="preserve">. Like</w:t>
      </w:r>
      <w:r>
        <w:t xml:space="preserve"> </w:t>
      </w:r>
      <w:r>
        <w:t xml:space="preserve">Flake et al. (2022)</w:t>
      </w:r>
      <w:r>
        <w:t xml:space="preserve">, we coded the measurement reporting practices for a series of replication and original studies. However, our study uses the Many Labs replication projects as the sample instead of the Reproducibility Project Psychology. More substantially, we used a different set of items to evaluate the proportion of QMPs in our sample, that included new questions about the justification for measurement selection or creation, item transformations such as reverse coding being described, the administration format being described, a change in the number of items from the source, whether changes in items response options, or number of items, or administration were validated or justified. We further categorized the QMP items according to the QMP table in</w:t>
      </w:r>
      <w:r>
        <w:t xml:space="preserve"> </w:t>
      </w:r>
      <w:r>
        <w:t xml:space="preserve">Flake and Fried (2020)</w:t>
      </w:r>
      <w:r>
        <w:t xml:space="preserve">. We also extend</w:t>
      </w:r>
      <w:r>
        <w:t xml:space="preserve"> </w:t>
      </w:r>
      <w:r>
        <w:t xml:space="preserve">Flake et al. (2022)</w:t>
      </w:r>
      <w:r>
        <w:t xml:space="preserve"> </w:t>
      </w:r>
      <w:r>
        <w:t xml:space="preserve">by testing the reliability and construct validity using the openly available data from the Many Labs. Similar analyses were conducted by</w:t>
      </w:r>
      <w:r>
        <w:t xml:space="preserve"> </w:t>
      </w:r>
      <w:r>
        <w:t xml:space="preserve">Mairead Shaw et al. (2020)</w:t>
      </w:r>
      <w:r>
        <w:t xml:space="preserve"> </w:t>
      </w:r>
      <w:r>
        <w:t xml:space="preserve">on the data from Many Labs 2. We extend their research design across additional Many Labs projects, and by including meta-analytic assessments of the variation in reliability and construct validity across labs. Finally, by displaying both the measurement reporting and indices of measurement validity for the same studies, we can reflect on whether unclarities in reporting are made more precarious by the fact that the validity of the measures as observed observed from the data is questionable.</w:t>
      </w:r>
    </w:p>
    <w:bookmarkEnd w:id="24"/>
    <w:bookmarkEnd w:id="25"/>
    <w:bookmarkStart w:id="34" w:name="disclosures"/>
    <w:p>
      <w:pPr>
        <w:pStyle w:val="berschrift1"/>
      </w:pPr>
      <w:r>
        <w:t xml:space="preserve">Disclosures</w:t>
      </w:r>
    </w:p>
    <w:bookmarkStart w:id="28" w:name="preregistration"/>
    <w:p>
      <w:pPr>
        <w:pStyle w:val="berschrift2"/>
      </w:pPr>
      <w:r>
        <w:t xml:space="preserve">Preregistration</w:t>
      </w:r>
    </w:p>
    <w:p>
      <w:pPr>
        <w:pStyle w:val="FirstParagraph"/>
      </w:pPr>
      <w:r>
        <w:t xml:space="preserve">We preregistered data collection, coding protocol, and planned analyses:</w:t>
      </w:r>
      <w:r>
        <w:t xml:space="preserve"> </w:t>
      </w:r>
      <w:hyperlink r:id="rId26">
        <w:r>
          <w:rPr>
            <w:rStyle w:val="Hyperlink"/>
          </w:rPr>
          <w:t xml:space="preserve">https://osf.io/jgxyu</w:t>
        </w:r>
      </w:hyperlink>
      <w:r>
        <w:t xml:space="preserve">. We deviated from our coding protocol as is explained further in the text. Our pre-registered analyses have been move to the</w:t>
      </w:r>
      <w:r>
        <w:t xml:space="preserve"> </w:t>
      </w:r>
      <w:hyperlink r:id="rId27">
        <w:r>
          <w:rPr>
            <w:rStyle w:val="Hyperlink"/>
          </w:rPr>
          <w:t xml:space="preserve">Supplementary Analyses A</w:t>
        </w:r>
      </w:hyperlink>
      <w:r>
        <w:t xml:space="preserve"> </w:t>
      </w:r>
      <w:r>
        <w:t xml:space="preserve">in favor of focusing on the descriptive results here.</w:t>
      </w:r>
    </w:p>
    <w:bookmarkEnd w:id="28"/>
    <w:bookmarkStart w:id="31" w:name="data-materials-and-online-resources"/>
    <w:p>
      <w:pPr>
        <w:pStyle w:val="berschrift2"/>
      </w:pPr>
      <w:r>
        <w:t xml:space="preserve">Data, Materials, and Online Resources</w:t>
      </w:r>
    </w:p>
    <w:p>
      <w:pPr>
        <w:pStyle w:val="FirstParagraph"/>
      </w:pPr>
      <w:r>
        <w:t xml:space="preserve">This manuscript was created in RStudio [</w:t>
      </w:r>
      <w:r>
        <w:rPr>
          <w:i/>
          <w:iCs/>
        </w:rPr>
        <w:t xml:space="preserve">v2025.5.0.496</w:t>
      </w:r>
      <w:r>
        <w:t xml:space="preserve">;</w:t>
      </w:r>
      <w:r>
        <w:t xml:space="preserve"> </w:t>
      </w:r>
      <w:r>
        <w:t xml:space="preserve">Posit team (2025)</w:t>
      </w:r>
      <w:r>
        <w:t xml:space="preserve">] with R Version 4.4.2</w:t>
      </w:r>
      <w:r>
        <w:t xml:space="preserve"> </w:t>
      </w:r>
      <w:r>
        <w:t xml:space="preserve">(R Core Team, 2023)</w:t>
      </w:r>
      <w:r>
        <w:t xml:space="preserve">, and generated using the Workflow for Open Reproducible Code in Science [</w:t>
      </w:r>
      <w:r>
        <w:rPr>
          <w:i/>
          <w:iCs/>
        </w:rPr>
        <w:t xml:space="preserve">v0.1.17</w:t>
      </w:r>
      <w:r>
        <w:t xml:space="preserve">;</w:t>
      </w:r>
      <w:r>
        <w:t xml:space="preserve"> </w:t>
      </w:r>
      <w:r>
        <w:t xml:space="preserve">Van Lissa et al. (2023)</w:t>
      </w:r>
      <w:r>
        <w:t xml:space="preserve">] to ensure reproducibility and transparency. All code and data used to generate this manuscript and its results are available at:</w:t>
      </w:r>
      <w:r>
        <w:t xml:space="preserve"> </w:t>
      </w:r>
      <w:hyperlink r:id="rId29">
        <w:r>
          <w:rPr>
            <w:rStyle w:val="Hyperlink"/>
          </w:rPr>
          <w:t xml:space="preserve">https://github.com/CasGoos/measurement_and_replication</w:t>
        </w:r>
      </w:hyperlink>
      <w:r>
        <w:t xml:space="preserve"> </w:t>
      </w:r>
      <w:r>
        <w:t xml:space="preserve">and</w:t>
      </w:r>
      <w:r>
        <w:t xml:space="preserve"> </w:t>
      </w:r>
      <w:hyperlink r:id="rId30">
        <w:r>
          <w:rPr>
            <w:rStyle w:val="Hyperlink"/>
          </w:rPr>
          <w:t xml:space="preserve">https://osf.io/9r8yt/</w:t>
        </w:r>
      </w:hyperlink>
      <w:r>
        <w:t xml:space="preserve"> </w:t>
      </w:r>
      <w:r>
        <w:t xml:space="preserve">(DOI: 10.17605/OSF.IO/9R8YT).</w:t>
      </w:r>
    </w:p>
    <w:bookmarkEnd w:id="31"/>
    <w:bookmarkStart w:id="32" w:name="reporting"/>
    <w:p>
      <w:pPr>
        <w:pStyle w:val="berschrift2"/>
      </w:pPr>
      <w:r>
        <w:t xml:space="preserve">Reporting</w:t>
      </w:r>
    </w:p>
    <w:p>
      <w:pPr>
        <w:pStyle w:val="FirstParagraph"/>
      </w:pPr>
      <w:r>
        <w:t xml:space="preserve">We report how we determined all data exclusions, all manipulations, and all measures in the study. Our sample size was predetermined by the number of studies in the Many Labs projects.</w:t>
      </w:r>
    </w:p>
    <w:bookmarkEnd w:id="32"/>
    <w:bookmarkStart w:id="33" w:name="ethical-approval"/>
    <w:p>
      <w:pPr>
        <w:pStyle w:val="berschrift2"/>
      </w:pPr>
      <w:r>
        <w:t xml:space="preserve">Ethical Approval</w:t>
      </w:r>
    </w:p>
    <w:p>
      <w:pPr>
        <w:pStyle w:val="FirstParagraph"/>
      </w:pPr>
      <w:r>
        <w:t xml:space="preserve">This research was approved by the Tilburg University School of Social and Behavioral Sciences Ethical Review Board (nr. TSB_TP_REMA06).</w:t>
      </w:r>
    </w:p>
    <w:bookmarkEnd w:id="33"/>
    <w:bookmarkEnd w:id="34"/>
    <w:bookmarkStart w:id="55" w:name="method"/>
    <w:p>
      <w:pPr>
        <w:pStyle w:val="berschrift1"/>
      </w:pPr>
      <w:r>
        <w:t xml:space="preserve">Method</w:t>
      </w:r>
    </w:p>
    <w:bookmarkStart w:id="35" w:name="data-source"/>
    <w:p>
      <w:pPr>
        <w:pStyle w:val="berschrift2"/>
      </w:pPr>
      <w:r>
        <w:t xml:space="preserve">Data Source</w:t>
      </w:r>
    </w:p>
    <w:p>
      <w:pPr>
        <w:pStyle w:val="FirstParagraph"/>
      </w:pPr>
      <w:r>
        <w:t xml:space="preserve">The data consists of three main sources: replication datasets, replication protocols, and original study articles. We retrieved the data of Many Labs 1, 2, 3, &amp; 5</w:t>
      </w:r>
      <w:r>
        <w:t xml:space="preserve"> </w:t>
      </w:r>
      <w:r>
        <w:t xml:space="preserve">(Ebersole et al., 2016, 2020; Klein et al., 2014; Klein et al., 2018)</w:t>
      </w:r>
      <w:r>
        <w:t xml:space="preserve"> </w:t>
      </w:r>
      <w:r>
        <w:t xml:space="preserve">from their respective OSF pages. Many Labs 4</w:t>
      </w:r>
      <w:r>
        <w:t xml:space="preserve"> </w:t>
      </w:r>
      <w:r>
        <w:t xml:space="preserve">(Klein et al., 2022)</w:t>
      </w:r>
      <w:r>
        <w:t xml:space="preserve"> </w:t>
      </w:r>
      <w:r>
        <w:t xml:space="preserve">was excluded, as there was no publicly available replication protocol. Additionally, the replication of</w:t>
      </w:r>
      <w:r>
        <w:t xml:space="preserve"> </w:t>
      </w:r>
      <w:r>
        <w:t xml:space="preserve">(Crosby et al., 2008)</w:t>
      </w:r>
      <w:r>
        <w:t xml:space="preserve"> </w:t>
      </w:r>
      <w:r>
        <w:t xml:space="preserve">in Many Labs 5 made use of videos and eye-tracking measures, which did not match this study’s focus on item-based measures.</w:t>
      </w:r>
    </w:p>
    <w:bookmarkEnd w:id="35"/>
    <w:bookmarkStart w:id="36" w:name="unit-of-analysis"/>
    <w:p>
      <w:pPr>
        <w:pStyle w:val="berschrift2"/>
      </w:pPr>
      <w:r>
        <w:t xml:space="preserve">Unit of Analysis</w:t>
      </w:r>
    </w:p>
    <w:p>
      <w:pPr>
        <w:pStyle w:val="FirstParagraph"/>
      </w:pPr>
      <w:r>
        <w:t xml:space="preserve">Our unit of analysis is a measure of a single variable within a replication protocol or original article that was used in the main analysis that was replicated. For example, if conscientiousness and agreeableness were both measured using a big-five personality questionnaire, each of which was a variable in a replicated effect, then both the conscientiousness and agreeableness part of that questionnaire would be coded as their own unit of analysis. We also allowed for multiple variables to be measured per study. We used the replication protocols to identify the measure of each variable. We did not include acquiescence bias checks, manipulation checks, pilot test measures, and measures added for exploratory analyses. Our final sample size was 77 measures of unique variables for both original and replication studies^[Initially the original articles contained 3 more measures of unique variables than the replication protocols. This difference was due to the way that the moral foundations questionnaire was framed in the original article compared to in the replication protocol. In the original article it was framed as measuring five different moral foundations, while in the replication protocol the measure assessed the two overarching categories that were used to test the main effect in both the original and replication research. The measurement information reported was comparable across all five categories, and thus it was deemed that the measurement could be reduced to reflect two overarching categories facilitate easier comparison between measurement in original and replication.]</w:t>
      </w:r>
    </w:p>
    <w:bookmarkEnd w:id="36"/>
    <w:bookmarkStart w:id="47" w:name="data-collection"/>
    <w:p>
      <w:pPr>
        <w:pStyle w:val="berschrift2"/>
      </w:pPr>
      <w:r>
        <w:t xml:space="preserve">Data Collection</w:t>
      </w:r>
    </w:p>
    <w:p>
      <w:pPr>
        <w:pStyle w:val="FirstParagraph"/>
      </w:pPr>
      <w:r>
        <w:t xml:space="preserve">The data on the preregistered replication protocols, and replication datasets from Many Labs 1, 2, 3, &amp; 5 were all retrieved from their respective OSF pages:</w:t>
      </w:r>
      <w:r>
        <w:t xml:space="preserve"> </w:t>
      </w:r>
      <w:hyperlink r:id="rId37">
        <w:r>
          <w:rPr>
            <w:rStyle w:val="Hyperlink"/>
          </w:rPr>
          <w:t xml:space="preserve">https://osf.io/wx7ck/</w:t>
        </w:r>
      </w:hyperlink>
      <w:r>
        <w:t xml:space="preserve">,</w:t>
      </w:r>
      <w:r>
        <w:t xml:space="preserve"> </w:t>
      </w:r>
      <w:hyperlink r:id="rId38">
        <w:r>
          <w:rPr>
            <w:rStyle w:val="Hyperlink"/>
          </w:rPr>
          <w:t xml:space="preserve">https://osf.io/8cd4r/</w:t>
        </w:r>
      </w:hyperlink>
      <w:r>
        <w:t xml:space="preserve">,</w:t>
      </w:r>
      <w:r>
        <w:t xml:space="preserve"> </w:t>
      </w:r>
      <w:hyperlink r:id="rId39">
        <w:r>
          <w:rPr>
            <w:rStyle w:val="Hyperlink"/>
          </w:rPr>
          <w:t xml:space="preserve">https://osf.io/ct89g/</w:t>
        </w:r>
      </w:hyperlink>
      <w:r>
        <w:t xml:space="preserve">, &amp;</w:t>
      </w:r>
      <w:r>
        <w:t xml:space="preserve"> </w:t>
      </w:r>
      <w:hyperlink r:id="rId40">
        <w:r>
          <w:rPr>
            <w:rStyle w:val="Hyperlink"/>
          </w:rPr>
          <w:t xml:space="preserve">https://osf.io/7a6rd/</w:t>
        </w:r>
      </w:hyperlink>
      <w:r>
        <w:t xml:space="preserve">. Both the replication protocols and replication datasets were scanned through to ensure that they were the correct files to code measurement reporting information from. However, no coding or analysis of either of them had taken place before the analyses were preregistered. Further details on the search strategy can be found in the</w:t>
      </w:r>
      <w:r>
        <w:t xml:space="preserve"> </w:t>
      </w:r>
      <w:hyperlink r:id="rId41">
        <w:r>
          <w:rPr>
            <w:rStyle w:val="Hyperlink"/>
          </w:rPr>
          <w:t xml:space="preserve">coding protocol information file</w:t>
        </w:r>
      </w:hyperlink>
      <w:r>
        <w:t xml:space="preserve"> </w:t>
      </w:r>
      <w:r>
        <w:t xml:space="preserve">in the supplementary materials.</w:t>
      </w:r>
    </w:p>
    <w:bookmarkStart w:id="42" w:name="replication-datasets"/>
    <w:p>
      <w:pPr>
        <w:pStyle w:val="berschrift3"/>
      </w:pPr>
      <w:r>
        <w:t xml:space="preserve">Replication Datasets.</w:t>
      </w:r>
    </w:p>
    <w:p>
      <w:pPr>
        <w:pStyle w:val="FirstParagraph"/>
      </w:pPr>
      <w:r>
        <w:t xml:space="preserve">The replication datasets refer to the publicly available datasets containing the data obtained from all labs of each Many Labs replication. For the analyses, we extracted the scores on the items of each previously identified measure that also met our inclusion criteria specified in the paragraph below. When scores could not be clearly identified, any available codebooks, analysis scripts, or study materials were used to identify the relevant scores.</w:t>
      </w:r>
    </w:p>
    <w:p>
      <w:pPr>
        <w:pStyle w:val="Textkrper"/>
      </w:pPr>
      <w:r>
        <w:t xml:space="preserve">To be included in our reliability recalculations and factor analyses, the measure had to be a scale of multiple items. If cleaned data were available, we chose these over raw data, to ensure that variables were coded as intended (e.g., no reverse-coded items). We omitted pilot data from the analyses. These criteria combined with difficulties in retrieving suitable data from some datasets resulted in a set of item score data from 19 replication sets spread across on average approximately 35 lab locations for our analyses.</w:t>
      </w:r>
    </w:p>
    <w:bookmarkEnd w:id="42"/>
    <w:bookmarkStart w:id="45" w:name="replication-protocols"/>
    <w:p>
      <w:pPr>
        <w:pStyle w:val="berschrift3"/>
      </w:pPr>
      <w:r>
        <w:t xml:space="preserve">Replication Protocols.</w:t>
      </w:r>
    </w:p>
    <w:p>
      <w:pPr>
        <w:pStyle w:val="FirstParagraph"/>
      </w:pPr>
      <w:r>
        <w:t xml:space="preserve">The replication protocols refer to the publicly available protocols describing the background, methodology, and analysis of the replication of an original study. These were retrieved from the OSF pages of the Many Labs projects (the search strategy and OSF file locations can be found in the</w:t>
      </w:r>
      <w:r>
        <w:t xml:space="preserve"> </w:t>
      </w:r>
      <w:hyperlink r:id="rId43">
        <w:r>
          <w:rPr>
            <w:rStyle w:val="Hyperlink"/>
          </w:rPr>
          <w:t xml:space="preserve">data retrieval information</w:t>
        </w:r>
      </w:hyperlink>
      <w:r>
        <w:t xml:space="preserve"> </w:t>
      </w:r>
      <w:r>
        <w:t xml:space="preserve">supplementary document; URL</w:t>
      </w:r>
      <w:r>
        <w:t xml:space="preserve"> </w:t>
      </w:r>
      <w:hyperlink r:id="rId44">
        <w:r>
          <w:rPr>
            <w:rStyle w:val="Hyperlink"/>
          </w:rPr>
          <w:t xml:space="preserve">https://github.com/CasGoos/measurement_and_replication/blob/master/SupplementaryMaterials/data_retrieval_information.Rmd</w:t>
        </w:r>
      </w:hyperlink>
      <w:r>
        <w:t xml:space="preserve">).</w:t>
      </w:r>
    </w:p>
    <w:bookmarkEnd w:id="45"/>
    <w:bookmarkStart w:id="46" w:name="original-articles"/>
    <w:p>
      <w:pPr>
        <w:pStyle w:val="berschrift3"/>
      </w:pPr>
      <w:r>
        <w:t xml:space="preserve">Original Articles.</w:t>
      </w:r>
    </w:p>
    <w:p>
      <w:pPr>
        <w:pStyle w:val="FirstParagraph"/>
      </w:pPr>
      <w:r>
        <w:t xml:space="preserve">We identified and retrieved all original study articles using the citations for these articles in each replication protocol.</w:t>
      </w:r>
    </w:p>
    <w:bookmarkEnd w:id="46"/>
    <w:bookmarkEnd w:id="47"/>
    <w:bookmarkStart w:id="54" w:name="measures"/>
    <w:p>
      <w:pPr>
        <w:pStyle w:val="berschrift2"/>
      </w:pPr>
      <w:r>
        <w:t xml:space="preserve">Measures</w:t>
      </w:r>
    </w:p>
    <w:bookmarkStart w:id="50" w:name="coding-protocol"/>
    <w:p>
      <w:pPr>
        <w:pStyle w:val="berschrift3"/>
      </w:pPr>
      <w:r>
        <w:t xml:space="preserve">Coding Protocol.</w:t>
      </w:r>
    </w:p>
    <w:p>
      <w:pPr>
        <w:pStyle w:val="FirstParagraph"/>
      </w:pPr>
      <w:r>
        <w:t xml:space="preserve">We extracted reported measurement information from the original articles and replication protocols using our preregistered coding protocol. We extracted the reported reliability coefficient and type of index (Cronbach’s Alpha, retest, interrater, etc.) when present. Similarly, we coded if any psychometric construct validity evidence, such as a factor analysis, was presented for the measure. We additionally included twenty items that were based on the QMP table presented in</w:t>
      </w:r>
      <w:r>
        <w:t xml:space="preserve"> </w:t>
      </w:r>
      <w:r>
        <w:t xml:space="preserve">Flake and Fried (2020)</w:t>
      </w:r>
      <w:r>
        <w:t xml:space="preserve">. For each of these items we checked if a piece information we would want to see reported with regards to the measurement was described. If the information was clearly reported we coded the item as true; false if not or not clear enough; or not applicable if not relevant for that measure (e.g., reporting results from a factor analysis for single-item measures). Example items can be seen in Table</w:t>
      </w:r>
      <w:r>
        <w:t xml:space="preserve"> </w:t>
      </w:r>
      <w:r>
        <w:t xml:space="preserve">1</w:t>
      </w:r>
      <w:r>
        <w:t xml:space="preserve">.</w:t>
      </w:r>
    </w:p>
    <w:p>
      <w:pPr>
        <w:pStyle w:val="TableCaption"/>
      </w:pPr>
      <w:bookmarkStart w:id="48" w:name="tab:QMPCodingInfoTable"/>
      <w:bookmarkEnd w:id="48"/>
      <w:r>
        <w:t xml:space="preserve">Table 1</w:t>
      </w:r>
      <w:r>
        <w:br/>
      </w:r>
      <w:r>
        <w:rPr>
          <w:i/>
          <w:iCs/>
        </w:rPr>
        <w:t xml:space="preserve">Information</w:t>
      </w:r>
      <w:r>
        <w:rPr>
          <w:i/>
          <w:iCs/>
        </w:rPr>
        <w:t xml:space="preserve"> </w:t>
      </w:r>
      <w:r>
        <w:rPr>
          <w:i/>
          <w:iCs/>
        </w:rPr>
        <w:t xml:space="preserve">of</w:t>
      </w:r>
      <w:r>
        <w:rPr>
          <w:i/>
          <w:iCs/>
        </w:rPr>
        <w:t xml:space="preserve"> </w:t>
      </w:r>
      <w:r>
        <w:rPr>
          <w:i/>
          <w:iCs/>
        </w:rPr>
        <w:t xml:space="preserve">QMP</w:t>
      </w:r>
      <w:r>
        <w:rPr>
          <w:i/>
          <w:iCs/>
        </w:rPr>
        <w:t xml:space="preserve"> </w:t>
      </w:r>
      <w:r>
        <w:rPr>
          <w:i/>
          <w:iCs/>
        </w:rPr>
        <w:t xml:space="preserve">coding</w:t>
      </w:r>
      <w:r>
        <w:rPr>
          <w:i/>
          <w:iCs/>
        </w:rPr>
        <w:t xml:space="preserve"> </w:t>
      </w:r>
      <w:r>
        <w:rPr>
          <w:i/>
          <w:iCs/>
        </w:rPr>
        <w:t xml:space="preserve">variables</w:t>
      </w:r>
      <w:r>
        <w:rPr>
          <w:i/>
          <w:iCs/>
        </w:rPr>
        <w:t xml:space="preserve"> </w:t>
      </w:r>
      <w:r>
        <w:rPr>
          <w:i/>
          <w:iCs/>
        </w:rPr>
        <w:t xml:space="preserve">per</w:t>
      </w:r>
      <w:r>
        <w:rPr>
          <w:i/>
          <w:iCs/>
        </w:rPr>
        <w:t xml:space="preserve"> </w:t>
      </w:r>
      <w:r>
        <w:rPr>
          <w:i/>
          <w:iCs/>
        </w:rPr>
        <w:t xml:space="preserve">category.</w:t>
      </w:r>
    </w:p>
    <w:tbl>
      <w:tblPr>
        <w:tblStyle w:val="Table"/>
        <w:tblW w:type="auto" w:w="0"/>
        <w:tblLook w:firstRow="1" w:lastRow="0" w:firstColumn="0" w:lastColumn="0" w:noHBand="0" w:noVBand="0" w:val="0020"/>
        <w:tblCaption w:val="Table 1 Information of QMP coding variables per category."/>
      </w:tblPr>
      <w:tblGrid>
        <w:gridCol w:w="2640"/>
        <w:gridCol w:w="2640"/>
        <w:gridCol w:w="2640"/>
      </w:tblGrid>
      <w:tr>
        <w:trPr>
          <w:tblHeader w:val="on"/>
        </w:trPr>
        <w:tc>
          <w:tcPr/>
          <w:p>
            <w:pPr>
              <w:pStyle w:val="Compact"/>
              <w:jc w:val="left"/>
            </w:pPr>
            <w:r>
              <w:t xml:space="preserve">Category</w:t>
            </w:r>
          </w:p>
        </w:tc>
        <w:tc>
          <w:tcPr/>
          <w:p>
            <w:pPr>
              <w:pStyle w:val="Compact"/>
              <w:jc w:val="right"/>
            </w:pPr>
            <w:r>
              <w:t xml:space="preserve">N Questions</w:t>
            </w:r>
          </w:p>
        </w:tc>
        <w:tc>
          <w:tcPr/>
          <w:p>
            <w:pPr>
              <w:pStyle w:val="Compact"/>
              <w:jc w:val="left"/>
            </w:pPr>
            <w:r>
              <w:t xml:space="preserve">Example Question</w:t>
            </w:r>
          </w:p>
        </w:tc>
      </w:tr>
      <w:tr>
        <w:tc>
          <w:tcPr/>
          <w:p>
            <w:pPr>
              <w:pStyle w:val="Compact"/>
              <w:jc w:val="left"/>
            </w:pPr>
            <w:r>
              <w:t xml:space="preserve">Definition</w:t>
            </w:r>
          </w:p>
        </w:tc>
        <w:tc>
          <w:tcPr/>
          <w:p>
            <w:pPr>
              <w:pStyle w:val="Compact"/>
              <w:jc w:val="right"/>
            </w:pPr>
            <w:r>
              <w:t xml:space="preserve">1</w:t>
            </w:r>
          </w:p>
        </w:tc>
        <w:tc>
          <w:tcPr/>
          <w:p>
            <w:pPr>
              <w:pStyle w:val="Compact"/>
              <w:jc w:val="left"/>
            </w:pPr>
            <w:r>
              <w:t xml:space="preserve">A psychological/sociological definition</w:t>
            </w:r>
          </w:p>
        </w:tc>
      </w:tr>
      <w:tr>
        <w:tc>
          <w:tcPr/>
          <w:p>
            <w:pPr>
              <w:pStyle w:val="Compact"/>
            </w:pPr>
          </w:p>
        </w:tc>
        <w:tc>
          <w:tcPr/>
          <w:p>
            <w:pPr>
              <w:pStyle w:val="Compact"/>
            </w:pPr>
          </w:p>
        </w:tc>
        <w:tc>
          <w:tcPr/>
          <w:p>
            <w:pPr>
              <w:pStyle w:val="Compact"/>
              <w:jc w:val="left"/>
            </w:pPr>
            <w:r>
              <w:t xml:space="preserve">is given to the name of the measured</w:t>
            </w:r>
          </w:p>
        </w:tc>
      </w:tr>
      <w:tr>
        <w:tc>
          <w:tcPr/>
          <w:p>
            <w:pPr>
              <w:pStyle w:val="Compact"/>
            </w:pPr>
          </w:p>
        </w:tc>
        <w:tc>
          <w:tcPr/>
          <w:p>
            <w:pPr>
              <w:pStyle w:val="Compact"/>
            </w:pPr>
          </w:p>
        </w:tc>
        <w:tc>
          <w:tcPr/>
          <w:p>
            <w:pPr>
              <w:pStyle w:val="Compact"/>
              <w:jc w:val="left"/>
            </w:pPr>
            <w:r>
              <w:t xml:space="preserve">variable within the paper.</w:t>
            </w:r>
          </w:p>
        </w:tc>
      </w:tr>
      <w:tr>
        <w:tc>
          <w:tcPr/>
          <w:p>
            <w:pPr>
              <w:pStyle w:val="Compact"/>
              <w:jc w:val="left"/>
            </w:pPr>
            <w:r>
              <w:t xml:space="preserve">Operationalisation</w:t>
            </w:r>
          </w:p>
        </w:tc>
        <w:tc>
          <w:tcPr/>
          <w:p>
            <w:pPr>
              <w:pStyle w:val="Compact"/>
              <w:jc w:val="right"/>
            </w:pPr>
            <w:r>
              <w:t xml:space="preserve">5</w:t>
            </w:r>
          </w:p>
        </w:tc>
        <w:tc>
          <w:tcPr/>
          <w:p>
            <w:pPr>
              <w:pStyle w:val="Compact"/>
              <w:jc w:val="left"/>
            </w:pPr>
            <w:r>
              <w:t xml:space="preserve">The administration format (pen-and-</w:t>
            </w:r>
          </w:p>
        </w:tc>
      </w:tr>
      <w:tr>
        <w:tc>
          <w:tcPr/>
          <w:p>
            <w:pPr>
              <w:pStyle w:val="Compact"/>
            </w:pPr>
          </w:p>
        </w:tc>
        <w:tc>
          <w:tcPr/>
          <w:p>
            <w:pPr>
              <w:pStyle w:val="Compact"/>
            </w:pPr>
          </w:p>
        </w:tc>
        <w:tc>
          <w:tcPr/>
          <w:p>
            <w:pPr>
              <w:pStyle w:val="Compact"/>
              <w:jc w:val="left"/>
            </w:pPr>
            <w:r>
              <w:t xml:space="preserve">paper/computer) and environment (in</w:t>
            </w:r>
          </w:p>
        </w:tc>
      </w:tr>
      <w:tr>
        <w:tc>
          <w:tcPr/>
          <w:p>
            <w:pPr>
              <w:pStyle w:val="Compact"/>
            </w:pPr>
          </w:p>
        </w:tc>
        <w:tc>
          <w:tcPr/>
          <w:p>
            <w:pPr>
              <w:pStyle w:val="Compact"/>
            </w:pPr>
          </w:p>
        </w:tc>
        <w:tc>
          <w:tcPr/>
          <w:p>
            <w:pPr>
              <w:pStyle w:val="Compact"/>
              <w:jc w:val="left"/>
            </w:pPr>
            <w:r>
              <w:t xml:space="preserve">public/in a lab) are described (Note:</w:t>
            </w:r>
          </w:p>
        </w:tc>
      </w:tr>
      <w:tr>
        <w:tc>
          <w:tcPr/>
          <w:p>
            <w:pPr>
              <w:pStyle w:val="Compact"/>
            </w:pPr>
          </w:p>
        </w:tc>
        <w:tc>
          <w:tcPr/>
          <w:p>
            <w:pPr>
              <w:pStyle w:val="Compact"/>
            </w:pPr>
          </w:p>
        </w:tc>
        <w:tc>
          <w:tcPr/>
          <w:p>
            <w:pPr>
              <w:pStyle w:val="Compact"/>
              <w:jc w:val="left"/>
            </w:pPr>
            <w:r>
              <w:t xml:space="preserve">both should be present for a true rating).</w:t>
            </w:r>
          </w:p>
        </w:tc>
      </w:tr>
      <w:tr>
        <w:tc>
          <w:tcPr/>
          <w:p>
            <w:pPr>
              <w:pStyle w:val="Compact"/>
              <w:jc w:val="left"/>
            </w:pPr>
            <w:r>
              <w:t xml:space="preserve">Selection/Creation</w:t>
            </w:r>
          </w:p>
        </w:tc>
        <w:tc>
          <w:tcPr/>
          <w:p>
            <w:pPr>
              <w:pStyle w:val="Compact"/>
              <w:jc w:val="right"/>
            </w:pPr>
            <w:r>
              <w:t xml:space="preserve">4</w:t>
            </w:r>
          </w:p>
        </w:tc>
        <w:tc>
          <w:tcPr/>
          <w:p>
            <w:pPr>
              <w:pStyle w:val="Compact"/>
              <w:jc w:val="left"/>
            </w:pPr>
            <w:r>
              <w:t xml:space="preserve">The source of the scale is provided</w:t>
            </w:r>
          </w:p>
        </w:tc>
      </w:tr>
      <w:tr>
        <w:tc>
          <w:tcPr/>
          <w:p>
            <w:pPr>
              <w:pStyle w:val="Compact"/>
            </w:pPr>
          </w:p>
        </w:tc>
        <w:tc>
          <w:tcPr/>
          <w:p>
            <w:pPr>
              <w:pStyle w:val="Compact"/>
            </w:pPr>
          </w:p>
        </w:tc>
        <w:tc>
          <w:tcPr/>
          <w:p>
            <w:pPr>
              <w:pStyle w:val="Compact"/>
              <w:jc w:val="left"/>
            </w:pPr>
            <w:r>
              <w:t xml:space="preserve">(in case the scale was newly developed</w:t>
            </w:r>
          </w:p>
        </w:tc>
      </w:tr>
      <w:tr>
        <w:tc>
          <w:tcPr/>
          <w:p>
            <w:pPr>
              <w:pStyle w:val="Compact"/>
            </w:pPr>
          </w:p>
        </w:tc>
        <w:tc>
          <w:tcPr/>
          <w:p>
            <w:pPr>
              <w:pStyle w:val="Compact"/>
            </w:pPr>
          </w:p>
        </w:tc>
        <w:tc>
          <w:tcPr/>
          <w:p>
            <w:pPr>
              <w:pStyle w:val="Compact"/>
              <w:jc w:val="left"/>
            </w:pPr>
            <w:r>
              <w:t xml:space="preserve">this should be clearly stated).</w:t>
            </w:r>
          </w:p>
        </w:tc>
      </w:tr>
      <w:tr>
        <w:tc>
          <w:tcPr/>
          <w:p>
            <w:pPr>
              <w:pStyle w:val="Compact"/>
              <w:jc w:val="left"/>
            </w:pPr>
            <w:r>
              <w:t xml:space="preserve">Quantification</w:t>
            </w:r>
          </w:p>
        </w:tc>
        <w:tc>
          <w:tcPr/>
          <w:p>
            <w:pPr>
              <w:pStyle w:val="Compact"/>
              <w:jc w:val="right"/>
            </w:pPr>
            <w:r>
              <w:t xml:space="preserve">4</w:t>
            </w:r>
          </w:p>
        </w:tc>
        <w:tc>
          <w:tcPr/>
          <w:p>
            <w:pPr>
              <w:pStyle w:val="Compact"/>
              <w:jc w:val="left"/>
            </w:pPr>
            <w:r>
              <w:t xml:space="preserve">The number of items are described.</w:t>
            </w:r>
          </w:p>
        </w:tc>
      </w:tr>
      <w:tr>
        <w:tc>
          <w:tcPr/>
          <w:p>
            <w:pPr>
              <w:pStyle w:val="Compact"/>
              <w:jc w:val="left"/>
            </w:pPr>
            <w:r>
              <w:t xml:space="preserve">Modification</w:t>
            </w:r>
          </w:p>
        </w:tc>
        <w:tc>
          <w:tcPr/>
          <w:p>
            <w:pPr>
              <w:pStyle w:val="Compact"/>
              <w:jc w:val="right"/>
            </w:pPr>
            <w:r>
              <w:t xml:space="preserve">6</w:t>
            </w:r>
          </w:p>
        </w:tc>
        <w:tc>
          <w:tcPr/>
          <w:p>
            <w:pPr>
              <w:pStyle w:val="Compact"/>
              <w:jc w:val="left"/>
            </w:pPr>
            <w:r>
              <w:t xml:space="preserve">Any format changes are mentioned</w:t>
            </w:r>
          </w:p>
        </w:tc>
      </w:tr>
      <w:tr>
        <w:tc>
          <w:tcPr/>
          <w:p>
            <w:pPr>
              <w:pStyle w:val="Compact"/>
            </w:pPr>
          </w:p>
        </w:tc>
        <w:tc>
          <w:tcPr/>
          <w:p>
            <w:pPr>
              <w:pStyle w:val="Compact"/>
            </w:pPr>
          </w:p>
        </w:tc>
        <w:tc>
          <w:tcPr/>
          <w:p>
            <w:pPr>
              <w:pStyle w:val="Compact"/>
              <w:jc w:val="left"/>
            </w:pPr>
            <w:r>
              <w:t xml:space="preserve">(paper-and-pencil &lt;–&gt; computer), if no</w:t>
            </w:r>
          </w:p>
        </w:tc>
      </w:tr>
      <w:tr>
        <w:tc>
          <w:tcPr/>
          <w:p>
            <w:pPr>
              <w:pStyle w:val="Compact"/>
            </w:pPr>
          </w:p>
        </w:tc>
        <w:tc>
          <w:tcPr/>
          <w:p>
            <w:pPr>
              <w:pStyle w:val="Compact"/>
            </w:pPr>
          </w:p>
        </w:tc>
        <w:tc>
          <w:tcPr/>
          <w:p>
            <w:pPr>
              <w:pStyle w:val="Compact"/>
              <w:jc w:val="left"/>
            </w:pPr>
            <w:r>
              <w:t xml:space="preserve">changes were made to the format, and</w:t>
            </w:r>
          </w:p>
        </w:tc>
      </w:tr>
      <w:tr>
        <w:tc>
          <w:tcPr/>
          <w:p>
            <w:pPr>
              <w:pStyle w:val="Compact"/>
            </w:pPr>
          </w:p>
        </w:tc>
        <w:tc>
          <w:tcPr/>
          <w:p>
            <w:pPr>
              <w:pStyle w:val="Compact"/>
            </w:pPr>
          </w:p>
        </w:tc>
        <w:tc>
          <w:tcPr/>
          <w:p>
            <w:pPr>
              <w:pStyle w:val="Compact"/>
              <w:jc w:val="left"/>
            </w:pPr>
            <w:r>
              <w:t xml:space="preserve">this was mentioned then code as No</w:t>
            </w:r>
          </w:p>
        </w:tc>
      </w:tr>
      <w:tr>
        <w:tc>
          <w:tcPr/>
          <w:p>
            <w:pPr>
              <w:pStyle w:val="Compact"/>
            </w:pPr>
          </w:p>
        </w:tc>
        <w:tc>
          <w:tcPr/>
          <w:p>
            <w:pPr>
              <w:pStyle w:val="Compact"/>
            </w:pPr>
          </w:p>
        </w:tc>
        <w:tc>
          <w:tcPr/>
          <w:p>
            <w:pPr>
              <w:pStyle w:val="Compact"/>
              <w:jc w:val="left"/>
            </w:pPr>
            <w:r>
              <w:t xml:space="preserve">modification. If it is not clear, then code</w:t>
            </w:r>
          </w:p>
        </w:tc>
      </w:tr>
      <w:tr>
        <w:tc>
          <w:tcPr/>
          <w:p>
            <w:pPr>
              <w:pStyle w:val="Compact"/>
            </w:pPr>
          </w:p>
        </w:tc>
        <w:tc>
          <w:tcPr/>
          <w:p>
            <w:pPr>
              <w:pStyle w:val="Compact"/>
            </w:pPr>
          </w:p>
        </w:tc>
        <w:tc>
          <w:tcPr/>
          <w:p>
            <w:pPr>
              <w:pStyle w:val="Compact"/>
              <w:jc w:val="left"/>
            </w:pPr>
            <w:r>
              <w:t xml:space="preserve">as False.</w:t>
            </w:r>
          </w:p>
        </w:tc>
      </w:tr>
    </w:tbl>
    <w:p>
      <w:pPr>
        <w:pStyle w:val="table-note"/>
      </w:pPr>
      <w:r>
        <w:rPr>
          <w:i/>
          <w:iCs/>
        </w:rPr>
        <w:t xml:space="preserve">Note.</w:t>
      </w:r>
      <w:r>
        <w:t xml:space="preserve"> </w:t>
      </w:r>
      <w:r>
        <w:t xml:space="preserve">N Questions refers only to the questions used for calculating QMP ratios. Selection and creation share a category as the justifications and requirements in selecting a measure are similar to those for creating a new measure.</w:t>
      </w:r>
    </w:p>
    <w:p>
      <w:pPr>
        <w:pStyle w:val="Textkrper"/>
      </w:pPr>
      <w:r>
        <w:t xml:space="preserve"> </w:t>
      </w:r>
    </w:p>
    <w:p>
      <w:pPr>
        <w:pStyle w:val="Textkrper"/>
      </w:pPr>
      <w:r>
        <w:t xml:space="preserve">After the initial coding, we made minor revisions to fourteen of the twenty QMP items from the preregistered coding protocol. These items were changed after familiarizing ourselves with the way measurement was reported, and it became clear that our criteria were too stringent in the exact way and degree of detail in which to present things. For example, in the initial protocol, an example item had to be present within the article or protocol itself, or else this was counted as a QMP. In the revised protocol, references to online appendices with example items were also considered sufficient for this item. The analyses, tables, and figures presented in this article are all based on the revised coding protocol. The equivalent QMP descriptives obtained with the initial protocol can be found in</w:t>
      </w:r>
      <w:r>
        <w:t xml:space="preserve"> </w:t>
      </w:r>
      <w:hyperlink r:id="rId49">
        <w:r>
          <w:rPr>
            <w:rStyle w:val="Hyperlink"/>
          </w:rPr>
          <w:t xml:space="preserve">Supplementary Analyses B</w:t>
        </w:r>
      </w:hyperlink>
      <w:r>
        <w:t xml:space="preserve">.</w:t>
      </w:r>
    </w:p>
    <w:p>
      <w:pPr>
        <w:pStyle w:val="Textkrper"/>
      </w:pPr>
      <w:r>
        <w:t xml:space="preserve">We initially intended to construct a QMP index from the QMP items and perform regression analyses between this index and replication outcomes. However, this index could not be validated properly and its results would be misleading to present here in the main article. A more detailed explanation of what was omitted and why, as well as the results from these preregistered analyses can be found in</w:t>
      </w:r>
      <w:r>
        <w:t xml:space="preserve"> </w:t>
      </w:r>
      <w:hyperlink r:id="rId27">
        <w:r>
          <w:rPr>
            <w:rStyle w:val="Hyperlink"/>
          </w:rPr>
          <w:t xml:space="preserve">Supplementary Analyses A</w:t>
        </w:r>
      </w:hyperlink>
      <w:r>
        <w:t xml:space="preserve">.</w:t>
      </w:r>
    </w:p>
    <w:bookmarkEnd w:id="50"/>
    <w:bookmarkStart w:id="52" w:name="calculating-reliaiblity"/>
    <w:p>
      <w:pPr>
        <w:pStyle w:val="berschrift3"/>
      </w:pPr>
      <w:r>
        <w:t xml:space="preserve">Calculating Reliaiblity.</w:t>
      </w:r>
    </w:p>
    <w:p>
      <w:pPr>
        <w:pStyle w:val="FirstParagraph"/>
      </w:pPr>
      <w:r>
        <w:t xml:space="preserve">We calculated reliability for each measure from the replication datasets with suitable data for each lab the measure was used in. We calculated both Cronbach’s alpha, as well as its standard error using formulas 2 &amp; 3 from</w:t>
      </w:r>
      <w:r>
        <w:t xml:space="preserve"> </w:t>
      </w:r>
      <w:r>
        <w:t xml:space="preserve">Duhachek and Lacobucci (2004)</w:t>
      </w:r>
      <w:r>
        <w:t xml:space="preserve">. We used these values to conduct a meta-analysis of the measure’s reliability, also commonly referred to as a Reliability Generalization (RG) Meta-Analysis</w:t>
      </w:r>
      <w:r>
        <w:t xml:space="preserve"> </w:t>
      </w:r>
      <w:r>
        <w:t xml:space="preserve">(Botella &amp; Suero, 2012; López-Ibáñez et al., 2024; Vacha-Haase, 1998)</w:t>
      </w:r>
      <w:r>
        <w:t xml:space="preserve">. We performed the RG Meta-Analysis using the rma function from the metafor R package [</w:t>
      </w:r>
      <w:r>
        <w:rPr>
          <w:i/>
          <w:iCs/>
        </w:rPr>
        <w:t xml:space="preserve">v4.8-0</w:t>
      </w:r>
      <w:r>
        <w:t xml:space="preserve">;</w:t>
      </w:r>
      <w:r>
        <w:t xml:space="preserve"> </w:t>
      </w:r>
      <w:r>
        <w:t xml:space="preserve">Viechtbauer (2010)</w:t>
      </w:r>
      <w:r>
        <w:t xml:space="preserve">] and default settings. We then used the results from the meta-analysis to evaluate the heterogeneity via the tau statistic and the Cochran’s Q-test</w:t>
      </w:r>
      <w:r>
        <w:t xml:space="preserve"> </w:t>
      </w:r>
      <w:r>
        <w:t xml:space="preserve">(Cochran, 1954)</w:t>
      </w:r>
      <w:r>
        <w:t xml:space="preserve">. These indicators have received criticism as indicators of heterogeneity, especially when within study sample sizes are small and power to detect heterogeneity is low</w:t>
      </w:r>
      <w:r>
        <w:t xml:space="preserve"> </w:t>
      </w:r>
      <w:r>
        <w:t xml:space="preserve">(Hoaglin, 2016; Pereira et al., 2010)</w:t>
      </w:r>
      <w:r>
        <w:t xml:space="preserve">. Therefore, we also present the prediction interval and implore that the heterogeneity results should be viewed critically</w:t>
      </w:r>
      <w:r>
        <w:t xml:space="preserve"> </w:t>
      </w:r>
      <w:r>
        <w:t xml:space="preserve">(Borenstein, 2024)</w:t>
      </w:r>
      <w:r>
        <w:t xml:space="preserve">. We implemented no correction for bias, because the Many Labs replications were not at risk of publication bias.</w:t>
      </w:r>
    </w:p>
    <w:p>
      <w:pPr>
        <w:pStyle w:val="Textkrper"/>
      </w:pPr>
      <w:r>
        <w:t xml:space="preserve">Our analyses will focus on Cronbach’s Alpha, because it is common in research, which also allows us to make comparisons between calculated and reported reliabilities. Furthermore, we were able to calculate the standard error of alpha to be used in the RG meta-analysis. However, Cronbach’s Alpha comes with strong assumptions on the underlying factor structure, including that the measure is unidimensional, which means that there should a single factor underlying the measurement scores. Therefore, we also estimated McDonald’s Omega for each lab from the same set of replications as for Cronbach’s Alpha, since it has been argued to be a more informative measure of reliability than Cronbach’s Alpha with less strict assumptions</w:t>
      </w:r>
      <w:r>
        <w:t xml:space="preserve"> </w:t>
      </w:r>
      <w:r>
        <w:t xml:space="preserve">(Crutzen &amp; and Peters, 2017; Deng &amp; Chan, 2017)</w:t>
      </w:r>
      <w:r>
        <w:t xml:space="preserve">. The results based on Omega can be found in</w:t>
      </w:r>
      <w:r>
        <w:t xml:space="preserve"> </w:t>
      </w:r>
      <w:hyperlink r:id="rId51">
        <w:r>
          <w:rPr>
            <w:rStyle w:val="Hyperlink"/>
          </w:rPr>
          <w:t xml:space="preserve">Supplementary Analyses D</w:t>
        </w:r>
      </w:hyperlink>
      <w:r>
        <w:t xml:space="preserve">.</w:t>
      </w:r>
    </w:p>
    <w:bookmarkEnd w:id="52"/>
    <w:bookmarkStart w:id="53" w:name="unidimensionality"/>
    <w:p>
      <w:pPr>
        <w:pStyle w:val="berschrift3"/>
      </w:pPr>
      <w:r>
        <w:t xml:space="preserve">Unidimensionality.</w:t>
      </w:r>
    </w:p>
    <w:p>
      <w:pPr>
        <w:pStyle w:val="FirstParagraph"/>
      </w:pPr>
      <w:r>
        <w:t xml:space="preserve">Finally, we also tested these measures for unidimensionality for two reasons. First, unidimensionality is one of the assumptions of Cronbach’s Alpha. If this assumption does not hold for a measure, our estimates of Cronbach’s Alpha, as well as those reported in our sample, give a biased estimate of the reliability. Second, all measurement items for which we checked unidimensionality, were used to form a singular index of one latent variable. Therefore, unidimensionality presents a valuable indication of the construct validity of a measure in our dataset. We assessed unidimensionality by fitting a factor analysis on the publicly available measurement data. In factor analysis, a model is fitted to explain as much of the variance of multiple items through a smaller number of factors, or weighted averages of the item scores. In our case, we fit a single-factor model on the item response data of each individual lab with the relevant measurement data. This means we get statistical estimates on the unidimensionality of each measure across each lab that measure was used in. This was done to simulate the inference a lab would make reegarding the validity of the measurement if they would have checked for unidimensionality. We also evaluate the results across the labs to assess the variability in unidimensionality across contexts. Our goal is not to test whether these measures are valid or not. After all, not all singular indexes require the underlying latent factor model to be unidimensional (e.g., general intelligence can be used as a variable on its own or sub-divided in multiple components such as numerical and verbal intelligence). Still, we believe it is not unreasonable to assume that we should observe most of these measures - that are meant to measure a single construct - to consistently show at least adequate fit on some of our five unidimensional model fit indices.</w:t>
      </w:r>
    </w:p>
    <w:p>
      <w:pPr>
        <w:pStyle w:val="Textkrper"/>
      </w:pPr>
      <w:r>
        <w:t xml:space="preserve">For the first four of our five fit indices we fit a Confirmatory Factor Analysis (CFA) model with one factor to the data, and we then evaluate the RMSEA value, CFI value, SRMR value, and the result from the exact fit test. For the RMSEA and SRMR value we checked if it was below .08. For the CFI value we checked if the value was above .90. Finally, for the exact fit test we evaluated if the fit test was statistically significant at an alpha of .05. These values are based on common thresholds used to determine adequate fit. We consider the use of these thresholds sufficient for our descriptive aim, even though we understand apprehension against rules of thumb when used to evaluate measurement in individual studies.</w:t>
      </w:r>
    </w:p>
    <w:p>
      <w:pPr>
        <w:pStyle w:val="Textkrper"/>
      </w:pPr>
      <w:r>
        <w:t xml:space="preserve">For the final index we ran a parallel analysis. A parallel analysis runs multiple Exploratory Factor Analyses where the number of factors in the model is increased by 1 until the number of factors is one less than the number of items. It then compares the eigenvalues (an indication of how much variance is explained by that factor) of each factor to the eigenvalues for that factor if the data matrix was effectively random. If only the first factor has an eigenvalue that is significantly higher than the eigenvalue when the data matrix is random, the test is passed. We chose a combination of these indices, as the RMSEA is known to be biased for models with small degrees of freedom</w:t>
      </w:r>
      <w:r>
        <w:t xml:space="preserve"> </w:t>
      </w:r>
      <w:r>
        <w:t xml:space="preserve">(Kenny et al., 2015)</w:t>
      </w:r>
      <w:r>
        <w:t xml:space="preserve"> </w:t>
      </w:r>
      <w:r>
        <w:t xml:space="preserve">???INFO ON THE CFI, SRMR, and EXACT FIT TEST’s LIMITATIONS???, while the parallel analysis may be less suited if a two or more factor solution would also fit the sample item data.</w:t>
      </w:r>
    </w:p>
    <w:bookmarkEnd w:id="53"/>
    <w:bookmarkEnd w:id="54"/>
    <w:bookmarkEnd w:id="55"/>
    <w:bookmarkStart w:id="80" w:name="results"/>
    <w:p>
      <w:pPr>
        <w:pStyle w:val="berschrift1"/>
      </w:pPr>
      <w:r>
        <w:t xml:space="preserve">Results</w:t>
      </w:r>
    </w:p>
    <w:bookmarkStart w:id="64" w:name="measurement-reporting-1"/>
    <w:p>
      <w:pPr>
        <w:pStyle w:val="berschrift2"/>
      </w:pPr>
      <w:r>
        <w:t xml:space="preserve">Measurement Reporting</w:t>
      </w:r>
    </w:p>
    <w:bookmarkStart w:id="60" w:name="reliability"/>
    <w:p>
      <w:pPr>
        <w:pStyle w:val="berschrift3"/>
      </w:pPr>
      <w:r>
        <w:t xml:space="preserve">Reliability.</w:t>
      </w:r>
    </w:p>
    <w:p>
      <w:pPr>
        <w:pStyle w:val="FirstParagraph"/>
      </w:pPr>
      <w:r>
        <w:t xml:space="preserve">Figure</w:t>
      </w:r>
      <w:r>
        <w:t xml:space="preserve"> </w:t>
      </w:r>
      <w:r>
        <w:t xml:space="preserve">1</w:t>
      </w:r>
      <w:r>
        <w:t xml:space="preserve"> </w:t>
      </w:r>
      <w:r>
        <w:t xml:space="preserve">depicts the flow of measures in relation to reliability reporting. First, it shows that almost half of the measures in both replication (N = 37) and original research (N = 35) were single-item measures. Second, only thirteen measures out of 38 (34.20 %) multi-item scales in original and four out of 35 (11.40 %) multi-item scales in replications were reported alongside a reliability indicator.</w:t>
      </w:r>
      <w:r>
        <w:t xml:space="preserve"> </w:t>
      </w:r>
      <w:r>
        <w:t xml:space="preserve">Flake et al. (2022)</w:t>
      </w:r>
      <w:r>
        <w:t xml:space="preserve"> </w:t>
      </w:r>
      <w:r>
        <w:t xml:space="preserve">observed a much larger degree of reliability coefficient reporting in both original (60.8%) and replications (37.1%). However, similarly to</w:t>
      </w:r>
      <w:r>
        <w:t xml:space="preserve"> </w:t>
      </w:r>
      <w:r>
        <w:t xml:space="preserve">Flake et al. (2022)</w:t>
      </w:r>
      <w:r>
        <w:t xml:space="preserve">, we observed that reliability reporting was more common in original studies as compared to replication studies, and that Cronbach’s Alpha was the most commonly reported reliability indicator in our sample as well.</w:t>
      </w:r>
    </w:p>
    <w:p>
      <w:pPr>
        <w:pStyle w:val="CaptionedFigure"/>
      </w:pPr>
      <w:r>
        <w:drawing>
          <wp:inline>
            <wp:extent cx="5969000" cy="7487018"/>
            <wp:effectExtent b="0" l="0" r="0" t="0"/>
            <wp:docPr descr="Figure 1: Reliability reporting flow diagram. Figure shows the number of measures as reported in both the replication protocols and original article, which meet the criterion in the box within the diagram and those criteria before it." title="" id="57" name="Picture"/>
            <a:graphic>
              <a:graphicData uri="http://schemas.openxmlformats.org/drawingml/2006/picture">
                <pic:pic>
                  <pic:nvPicPr>
                    <pic:cNvPr descr="../../SupplementaryMaterials/reliability_reporting_flow_diagram.png" id="58" name="Picture"/>
                    <pic:cNvPicPr>
                      <a:picLocks noChangeArrowheads="1" noChangeAspect="1"/>
                    </pic:cNvPicPr>
                  </pic:nvPicPr>
                  <pic:blipFill>
                    <a:blip r:embed="rId56"/>
                    <a:stretch>
                      <a:fillRect/>
                    </a:stretch>
                  </pic:blipFill>
                  <pic:spPr bwMode="auto">
                    <a:xfrm>
                      <a:off x="0" y="0"/>
                      <a:ext cx="5969000" cy="7487018"/>
                    </a:xfrm>
                    <a:prstGeom prst="rect">
                      <a:avLst/>
                    </a:prstGeom>
                    <a:noFill/>
                    <a:ln w="9525">
                      <a:noFill/>
                      <a:headEnd/>
                      <a:tailEnd/>
                    </a:ln>
                  </pic:spPr>
                </pic:pic>
              </a:graphicData>
            </a:graphic>
          </wp:inline>
        </w:drawing>
      </w:r>
    </w:p>
    <w:p>
      <w:pPr>
        <w:pStyle w:val="ImageCaption"/>
      </w:pPr>
      <w:bookmarkStart w:id="59" w:name="fig:ReliabilityReportingFlowDiagram"/>
      <w:bookmarkEnd w:id="59"/>
      <w:r>
        <w:rPr>
          <w:i/>
          <w:iCs/>
        </w:rPr>
        <w:t xml:space="preserve">Figure</w:t>
      </w:r>
      <w:r>
        <w:t xml:space="preserve"> </w:t>
      </w:r>
      <w:r>
        <w:t xml:space="preserve">1. Reliability reporting flow diagram. Figure shows the number of measures as reported in both the replication protocols and original article, which meet the criterion in the box within the diagram and those criteria before it.</w:t>
      </w:r>
    </w:p>
    <w:bookmarkEnd w:id="60"/>
    <w:bookmarkStart w:id="61" w:name="validity"/>
    <w:p>
      <w:pPr>
        <w:pStyle w:val="berschrift3"/>
      </w:pPr>
      <w:r>
        <w:t xml:space="preserve">Validity.</w:t>
      </w:r>
    </w:p>
    <w:p>
      <w:pPr>
        <w:pStyle w:val="FirstParagraph"/>
      </w:pPr>
      <w:r>
        <w:t xml:space="preserve">For validity evidence the pattern was similar. Only, eight (10.40 %) original studies and five (6.50) replications reported psychometric validity evidence on their measurement. These proportions align with the results from</w:t>
      </w:r>
      <w:r>
        <w:t xml:space="preserve"> </w:t>
      </w:r>
      <w:r>
        <w:t xml:space="preserve">Flake et al. (2022)</w:t>
      </w:r>
      <w:r>
        <w:t xml:space="preserve"> </w:t>
      </w:r>
      <w:r>
        <w:t xml:space="preserve">for both original (9.3%) and replication studies (6.2%), and again, similar to</w:t>
      </w:r>
      <w:r>
        <w:t xml:space="preserve"> </w:t>
      </w:r>
      <w:r>
        <w:t xml:space="preserve">Flake et al. (2022)</w:t>
      </w:r>
      <w:r>
        <w:t xml:space="preserve"> </w:t>
      </w:r>
      <w:r>
        <w:t xml:space="preserve">we observe that validity evidence is also more commonly reported in original compared to replication studies. Exploratory factor analyses (original: two, replications: 0) and convergent validity evidence (original: one, replications: two) were the most commonly reported validity indicators. Psychometric validity evidence from previous studies was reported in nine original studies and three replications. For single-item measures, two were reported with validity evidence – specifically, all were convergent validity – in the replication protocols. In the original studies, no single-item measures came with reported validity evidence.</w:t>
      </w:r>
    </w:p>
    <w:bookmarkEnd w:id="61"/>
    <w:bookmarkStart w:id="63" w:name="questionable-measurement-practices"/>
    <w:p>
      <w:pPr>
        <w:pStyle w:val="berschrift3"/>
      </w:pPr>
      <w:r>
        <w:t xml:space="preserve">Questionable Measurement Practices.</w:t>
      </w:r>
    </w:p>
    <w:p>
      <w:pPr>
        <w:pStyle w:val="FirstParagraph"/>
      </w:pPr>
      <w:r>
        <w:t xml:space="preserve">We also coded the reporting of measurement information besides reliability and validity reporting. Table</w:t>
      </w:r>
      <w:r>
        <w:t xml:space="preserve"> </w:t>
      </w:r>
      <w:r>
        <w:t xml:space="preserve">2</w:t>
      </w:r>
      <w:r>
        <w:t xml:space="preserve"> </w:t>
      </w:r>
      <w:r>
        <w:t xml:space="preserve">below shows the ratio of measurements that aligned with that row’s practice of reporting a specific piece of measurement information and for how many of the 77 measures the reporting of that measurement information was applicable for both original and replications. The ratio is based on the number of measures that reported that piece of measurement information for the measures for which that item was applicable. A higher ratio thus indicates better measurement reporting.</w:t>
      </w:r>
    </w:p>
    <w:p>
      <w:pPr>
        <w:pStyle w:val="TableCaption"/>
      </w:pPr>
      <w:bookmarkStart w:id="62" w:name="tab:QMPTable"/>
      <w:bookmarkEnd w:id="62"/>
      <w:r>
        <w:t xml:space="preserve">Table 2</w:t>
      </w:r>
      <w:r>
        <w:br/>
      </w:r>
      <w:r>
        <w:rPr>
          <w:i/>
          <w:iCs/>
        </w:rPr>
        <w:t xml:space="preserve">Ratio</w:t>
      </w:r>
      <w:r>
        <w:rPr>
          <w:i/>
          <w:iCs/>
        </w:rPr>
        <w:t xml:space="preserve"> </w:t>
      </w:r>
      <w:r>
        <w:rPr>
          <w:i/>
          <w:iCs/>
        </w:rPr>
        <w:t xml:space="preserve">of</w:t>
      </w:r>
      <w:r>
        <w:rPr>
          <w:i/>
          <w:iCs/>
        </w:rPr>
        <w:t xml:space="preserve"> </w:t>
      </w:r>
      <w:r>
        <w:rPr>
          <w:i/>
          <w:iCs/>
        </w:rPr>
        <w:t xml:space="preserve">QMPs</w:t>
      </w:r>
      <w:r>
        <w:rPr>
          <w:i/>
          <w:iCs/>
        </w:rPr>
        <w:t xml:space="preserve"> </w:t>
      </w:r>
      <w:r>
        <w:rPr>
          <w:i/>
          <w:iCs/>
        </w:rPr>
        <w:t xml:space="preserve">and</w:t>
      </w:r>
      <w:r>
        <w:rPr>
          <w:i/>
          <w:iCs/>
        </w:rPr>
        <w:t xml:space="preserve"> </w:t>
      </w:r>
      <w:r>
        <w:rPr>
          <w:i/>
          <w:iCs/>
        </w:rPr>
        <w:t xml:space="preserve">number</w:t>
      </w:r>
      <w:r>
        <w:rPr>
          <w:i/>
          <w:iCs/>
        </w:rPr>
        <w:t xml:space="preserve"> </w:t>
      </w:r>
      <w:r>
        <w:rPr>
          <w:i/>
          <w:iCs/>
        </w:rPr>
        <w:t xml:space="preserve">of</w:t>
      </w:r>
      <w:r>
        <w:rPr>
          <w:i/>
          <w:iCs/>
        </w:rPr>
        <w:t xml:space="preserve"> </w:t>
      </w:r>
      <w:r>
        <w:rPr>
          <w:i/>
          <w:iCs/>
        </w:rPr>
        <w:t xml:space="preserve">applicable</w:t>
      </w:r>
      <w:r>
        <w:rPr>
          <w:i/>
          <w:iCs/>
        </w:rPr>
        <w:t xml:space="preserve"> </w:t>
      </w:r>
      <w:r>
        <w:rPr>
          <w:i/>
          <w:iCs/>
        </w:rPr>
        <w:t xml:space="preserve">measures,</w:t>
      </w:r>
      <w:r>
        <w:rPr>
          <w:i/>
          <w:iCs/>
        </w:rPr>
        <w:t xml:space="preserve"> </w:t>
      </w:r>
      <w:r>
        <w:rPr>
          <w:i/>
          <w:iCs/>
        </w:rPr>
        <w:t xml:space="preserve">for</w:t>
      </w:r>
      <w:r>
        <w:rPr>
          <w:i/>
          <w:iCs/>
        </w:rPr>
        <w:t xml:space="preserve"> </w:t>
      </w:r>
      <w:r>
        <w:rPr>
          <w:i/>
          <w:iCs/>
        </w:rPr>
        <w:t xml:space="preserve">original</w:t>
      </w:r>
      <w:r>
        <w:rPr>
          <w:i/>
          <w:iCs/>
        </w:rPr>
        <w:t xml:space="preserve"> </w:t>
      </w:r>
      <w:r>
        <w:rPr>
          <w:i/>
          <w:iCs/>
        </w:rPr>
        <w:t xml:space="preserve">and</w:t>
      </w:r>
      <w:r>
        <w:rPr>
          <w:i/>
          <w:iCs/>
        </w:rPr>
        <w:t xml:space="preserve"> </w:t>
      </w:r>
      <w:r>
        <w:rPr>
          <w:i/>
          <w:iCs/>
        </w:rPr>
        <w:t xml:space="preserve">replication</w:t>
      </w:r>
    </w:p>
    <w:tbl>
      <w:tblPr>
        <w:tblStyle w:val="Table"/>
        <w:tblW w:type="auto" w:w="0"/>
        <w:tblLook w:firstRow="1" w:lastRow="0" w:firstColumn="0" w:lastColumn="0" w:noHBand="0" w:noVBand="0" w:val="0020"/>
        <w:tblCaption w:val="Table 2 Ratio of QMPs and number of applicable measures, for original and replication"/>
      </w:tblPr>
      <w:tblGrid>
        <w:gridCol w:w="2640"/>
        <w:gridCol w:w="2640"/>
        <w:gridCol w:w="2640"/>
      </w:tblGrid>
      <w:tr>
        <w:trPr>
          <w:tblHeader w:val="on"/>
        </w:trPr>
        <w:tc>
          <w:tcPr/>
          <w:p>
            <w:pPr>
              <w:pStyle w:val="Compact"/>
              <w:jc w:val="left"/>
            </w:pPr>
            <w:r>
              <w:t xml:space="preserve">Practice</w:t>
            </w:r>
          </w:p>
        </w:tc>
        <w:tc>
          <w:tcPr/>
          <w:p>
            <w:pPr>
              <w:pStyle w:val="Compact"/>
              <w:jc w:val="right"/>
            </w:pPr>
            <w:r>
              <w:t xml:space="preserve">Original</w:t>
            </w:r>
          </w:p>
        </w:tc>
        <w:tc>
          <w:tcPr/>
          <w:p>
            <w:pPr>
              <w:pStyle w:val="Compact"/>
              <w:jc w:val="right"/>
            </w:pPr>
            <w:r>
              <w:t xml:space="preserve">Replication</w:t>
            </w:r>
          </w:p>
        </w:tc>
      </w:tr>
      <w:tr>
        <w:tc>
          <w:tcPr/>
          <w:p>
            <w:pPr>
              <w:pStyle w:val="Compact"/>
              <w:jc w:val="left"/>
            </w:pPr>
            <w:r>
              <w:t xml:space="preserve">Definition</w:t>
            </w:r>
          </w:p>
        </w:tc>
        <w:tc>
          <w:tcPr/>
          <w:p>
            <w:pPr>
              <w:pStyle w:val="Compact"/>
            </w:pPr>
          </w:p>
        </w:tc>
        <w:tc>
          <w:tcPr/>
          <w:p>
            <w:pPr>
              <w:pStyle w:val="Compact"/>
            </w:pPr>
          </w:p>
        </w:tc>
      </w:tr>
      <w:tr>
        <w:tc>
          <w:tcPr/>
          <w:p>
            <w:pPr>
              <w:pStyle w:val="Compact"/>
              <w:jc w:val="left"/>
            </w:pPr>
            <w:r>
              <w:t xml:space="preserve">Measured variable is defined</w:t>
            </w:r>
          </w:p>
        </w:tc>
        <w:tc>
          <w:tcPr/>
          <w:p>
            <w:pPr>
              <w:pStyle w:val="Compact"/>
              <w:jc w:val="right"/>
            </w:pPr>
            <w:r>
              <w:t xml:space="preserve">0.79 (70)</w:t>
            </w:r>
          </w:p>
        </w:tc>
        <w:tc>
          <w:tcPr/>
          <w:p>
            <w:pPr>
              <w:pStyle w:val="Compact"/>
              <w:jc w:val="right"/>
            </w:pPr>
            <w:r>
              <w:t xml:space="preserve">0.53 (70)</w:t>
            </w:r>
          </w:p>
        </w:tc>
      </w:tr>
      <w:tr>
        <w:tc>
          <w:tcPr/>
          <w:p>
            <w:pPr>
              <w:pStyle w:val="Compact"/>
              <w:jc w:val="left"/>
            </w:pPr>
            <w:r>
              <w:t xml:space="preserve">Operationalisation</w:t>
            </w:r>
          </w:p>
        </w:tc>
        <w:tc>
          <w:tcPr/>
          <w:p>
            <w:pPr>
              <w:pStyle w:val="Compact"/>
            </w:pPr>
          </w:p>
        </w:tc>
        <w:tc>
          <w:tcPr/>
          <w:p>
            <w:pPr>
              <w:pStyle w:val="Compact"/>
            </w:pPr>
          </w:p>
        </w:tc>
      </w:tr>
      <w:tr>
        <w:tc>
          <w:tcPr/>
          <w:p>
            <w:pPr>
              <w:pStyle w:val="Compact"/>
              <w:jc w:val="left"/>
            </w:pPr>
            <w:r>
              <w:t xml:space="preserve">Exact version of the measure is specified</w:t>
            </w:r>
          </w:p>
        </w:tc>
        <w:tc>
          <w:tcPr/>
          <w:p>
            <w:pPr>
              <w:pStyle w:val="Compact"/>
              <w:jc w:val="right"/>
            </w:pPr>
            <w:r>
              <w:t xml:space="preserve">0.3 (77)</w:t>
            </w:r>
          </w:p>
        </w:tc>
        <w:tc>
          <w:tcPr/>
          <w:p>
            <w:pPr>
              <w:pStyle w:val="Compact"/>
              <w:jc w:val="right"/>
            </w:pPr>
            <w:r>
              <w:t xml:space="preserve">0.78 (77)</w:t>
            </w:r>
          </w:p>
        </w:tc>
      </w:tr>
      <w:tr>
        <w:tc>
          <w:tcPr/>
          <w:p>
            <w:pPr>
              <w:pStyle w:val="Compact"/>
              <w:jc w:val="left"/>
            </w:pPr>
            <w:r>
              <w:t xml:space="preserve">Administration format and environment are described</w:t>
            </w:r>
          </w:p>
        </w:tc>
        <w:tc>
          <w:tcPr/>
          <w:p>
            <w:pPr>
              <w:pStyle w:val="Compact"/>
              <w:jc w:val="right"/>
            </w:pPr>
            <w:r>
              <w:t xml:space="preserve">0.65 (77)</w:t>
            </w:r>
          </w:p>
        </w:tc>
        <w:tc>
          <w:tcPr/>
          <w:p>
            <w:pPr>
              <w:pStyle w:val="Compact"/>
              <w:jc w:val="right"/>
            </w:pPr>
            <w:r>
              <w:t xml:space="preserve">1 (77)</w:t>
            </w:r>
          </w:p>
        </w:tc>
      </w:tr>
      <w:tr>
        <w:tc>
          <w:tcPr/>
          <w:p>
            <w:pPr>
              <w:pStyle w:val="Compact"/>
              <w:jc w:val="left"/>
            </w:pPr>
            <w:r>
              <w:t xml:space="preserve">Administration procedure is described</w:t>
            </w:r>
          </w:p>
        </w:tc>
        <w:tc>
          <w:tcPr/>
          <w:p>
            <w:pPr>
              <w:pStyle w:val="Compact"/>
              <w:jc w:val="right"/>
            </w:pPr>
            <w:r>
              <w:t xml:space="preserve">0.73 (77)</w:t>
            </w:r>
          </w:p>
        </w:tc>
        <w:tc>
          <w:tcPr/>
          <w:p>
            <w:pPr>
              <w:pStyle w:val="Compact"/>
              <w:jc w:val="right"/>
            </w:pPr>
            <w:r>
              <w:t xml:space="preserve">0.97 (77)</w:t>
            </w:r>
          </w:p>
        </w:tc>
      </w:tr>
      <w:tr>
        <w:tc>
          <w:tcPr/>
          <w:p>
            <w:pPr>
              <w:pStyle w:val="Compact"/>
              <w:jc w:val="left"/>
            </w:pPr>
            <w:r>
              <w:t xml:space="preserve">Implemented operationalisation is justified</w:t>
            </w:r>
          </w:p>
        </w:tc>
        <w:tc>
          <w:tcPr/>
          <w:p>
            <w:pPr>
              <w:pStyle w:val="Compact"/>
              <w:jc w:val="right"/>
            </w:pPr>
            <w:r>
              <w:t xml:space="preserve">0.6 (77)</w:t>
            </w:r>
          </w:p>
        </w:tc>
        <w:tc>
          <w:tcPr/>
          <w:p>
            <w:pPr>
              <w:pStyle w:val="Compact"/>
              <w:jc w:val="right"/>
            </w:pPr>
            <w:r>
              <w:t xml:space="preserve">0.88 (77)</w:t>
            </w:r>
          </w:p>
        </w:tc>
      </w:tr>
      <w:tr>
        <w:tc>
          <w:tcPr/>
          <w:p>
            <w:pPr>
              <w:pStyle w:val="Compact"/>
              <w:jc w:val="left"/>
            </w:pPr>
            <w:r>
              <w:t xml:space="preserve">Text or supplement has example items</w:t>
            </w:r>
          </w:p>
        </w:tc>
        <w:tc>
          <w:tcPr/>
          <w:p>
            <w:pPr>
              <w:pStyle w:val="Compact"/>
              <w:jc w:val="right"/>
            </w:pPr>
            <w:r>
              <w:t xml:space="preserve">0.51 (77)</w:t>
            </w:r>
          </w:p>
        </w:tc>
        <w:tc>
          <w:tcPr/>
          <w:p>
            <w:pPr>
              <w:pStyle w:val="Compact"/>
              <w:jc w:val="right"/>
            </w:pPr>
            <w:r>
              <w:t xml:space="preserve">0.84 (77)</w:t>
            </w:r>
          </w:p>
        </w:tc>
      </w:tr>
      <w:tr>
        <w:tc>
          <w:tcPr/>
          <w:p>
            <w:pPr>
              <w:pStyle w:val="Compact"/>
              <w:jc w:val="left"/>
            </w:pPr>
            <w:r>
              <w:t xml:space="preserve">Selection/Creation</w:t>
            </w:r>
          </w:p>
        </w:tc>
        <w:tc>
          <w:tcPr/>
          <w:p>
            <w:pPr>
              <w:pStyle w:val="Compact"/>
            </w:pPr>
          </w:p>
        </w:tc>
        <w:tc>
          <w:tcPr/>
          <w:p>
            <w:pPr>
              <w:pStyle w:val="Compact"/>
            </w:pPr>
          </w:p>
        </w:tc>
      </w:tr>
      <w:tr>
        <w:tc>
          <w:tcPr/>
          <w:p>
            <w:pPr>
              <w:pStyle w:val="Compact"/>
              <w:jc w:val="left"/>
            </w:pPr>
            <w:r>
              <w:t xml:space="preserve">It is clear if the measure existed or is newly created</w:t>
            </w:r>
          </w:p>
        </w:tc>
        <w:tc>
          <w:tcPr/>
          <w:p>
            <w:pPr>
              <w:pStyle w:val="Compact"/>
              <w:jc w:val="right"/>
            </w:pPr>
            <w:r>
              <w:t xml:space="preserve">0.48 (77)</w:t>
            </w:r>
          </w:p>
        </w:tc>
        <w:tc>
          <w:tcPr/>
          <w:p>
            <w:pPr>
              <w:pStyle w:val="Compact"/>
              <w:jc w:val="right"/>
            </w:pPr>
            <w:r>
              <w:t xml:space="preserve">0.04 (77)</w:t>
            </w:r>
          </w:p>
        </w:tc>
      </w:tr>
      <w:tr>
        <w:tc>
          <w:tcPr/>
          <w:p>
            <w:pPr>
              <w:pStyle w:val="Compact"/>
              <w:jc w:val="left"/>
            </w:pPr>
            <w:r>
              <w:t xml:space="preserve">Choice of measure selection or creation is justified</w:t>
            </w:r>
          </w:p>
        </w:tc>
        <w:tc>
          <w:tcPr/>
          <w:p>
            <w:pPr>
              <w:pStyle w:val="Compact"/>
              <w:jc w:val="right"/>
            </w:pPr>
            <w:r>
              <w:t xml:space="preserve">0.48 (77)</w:t>
            </w:r>
          </w:p>
        </w:tc>
        <w:tc>
          <w:tcPr/>
          <w:p>
            <w:pPr>
              <w:pStyle w:val="Compact"/>
              <w:jc w:val="right"/>
            </w:pPr>
            <w:r>
              <w:t xml:space="preserve">0.9 (77)</w:t>
            </w:r>
          </w:p>
        </w:tc>
      </w:tr>
      <w:tr>
        <w:tc>
          <w:tcPr/>
          <w:p>
            <w:pPr>
              <w:pStyle w:val="Compact"/>
              <w:jc w:val="left"/>
            </w:pPr>
            <w:r>
              <w:t xml:space="preserve">Source of the measure is provided</w:t>
            </w:r>
          </w:p>
        </w:tc>
        <w:tc>
          <w:tcPr/>
          <w:p>
            <w:pPr>
              <w:pStyle w:val="Compact"/>
              <w:jc w:val="right"/>
            </w:pPr>
            <w:r>
              <w:t xml:space="preserve">0.97 (77)</w:t>
            </w:r>
          </w:p>
        </w:tc>
        <w:tc>
          <w:tcPr/>
          <w:p>
            <w:pPr>
              <w:pStyle w:val="Compact"/>
              <w:jc w:val="right"/>
            </w:pPr>
            <w:r>
              <w:t xml:space="preserve">0.96 (77)</w:t>
            </w:r>
          </w:p>
        </w:tc>
      </w:tr>
      <w:tr>
        <w:tc>
          <w:tcPr/>
          <w:p>
            <w:pPr>
              <w:pStyle w:val="Compact"/>
              <w:jc w:val="left"/>
            </w:pPr>
            <w:r>
              <w:t xml:space="preserve">Psychometric evidence from the study is given</w:t>
            </w:r>
          </w:p>
        </w:tc>
        <w:tc>
          <w:tcPr/>
          <w:p>
            <w:pPr>
              <w:pStyle w:val="Compact"/>
              <w:jc w:val="right"/>
            </w:pPr>
            <w:r>
              <w:t xml:space="preserve">0.23 (35)</w:t>
            </w:r>
          </w:p>
        </w:tc>
        <w:tc>
          <w:tcPr/>
          <w:p>
            <w:pPr>
              <w:pStyle w:val="Compact"/>
              <w:jc w:val="right"/>
            </w:pPr>
            <w:r>
              <w:t xml:space="preserve">0.15 (34)</w:t>
            </w:r>
          </w:p>
        </w:tc>
      </w:tr>
      <w:tr>
        <w:tc>
          <w:tcPr/>
          <w:p>
            <w:pPr>
              <w:pStyle w:val="Compact"/>
              <w:jc w:val="left"/>
            </w:pPr>
            <w:r>
              <w:t xml:space="preserve">Psychometric evidence from an earlier study is given</w:t>
            </w:r>
          </w:p>
        </w:tc>
        <w:tc>
          <w:tcPr/>
          <w:p>
            <w:pPr>
              <w:pStyle w:val="Compact"/>
              <w:jc w:val="right"/>
            </w:pPr>
            <w:r>
              <w:t xml:space="preserve">0.24 (38)</w:t>
            </w:r>
          </w:p>
        </w:tc>
        <w:tc>
          <w:tcPr/>
          <w:p>
            <w:pPr>
              <w:pStyle w:val="Compact"/>
              <w:jc w:val="right"/>
            </w:pPr>
            <w:r>
              <w:t xml:space="preserve">0.08 (37)</w:t>
            </w:r>
          </w:p>
        </w:tc>
      </w:tr>
      <w:tr>
        <w:tc>
          <w:tcPr/>
          <w:p>
            <w:pPr>
              <w:pStyle w:val="Compact"/>
              <w:jc w:val="left"/>
            </w:pPr>
            <w:r>
              <w:t xml:space="preserve">Reliability is reported</w:t>
            </w:r>
          </w:p>
        </w:tc>
        <w:tc>
          <w:tcPr/>
          <w:p>
            <w:pPr>
              <w:pStyle w:val="Compact"/>
              <w:jc w:val="right"/>
            </w:pPr>
            <w:r>
              <w:t xml:space="preserve">0.34 (38)</w:t>
            </w:r>
          </w:p>
        </w:tc>
        <w:tc>
          <w:tcPr/>
          <w:p>
            <w:pPr>
              <w:pStyle w:val="Compact"/>
              <w:jc w:val="right"/>
            </w:pPr>
            <w:r>
              <w:t xml:space="preserve">0.11 (35)</w:t>
            </w:r>
          </w:p>
        </w:tc>
      </w:tr>
      <w:tr>
        <w:tc>
          <w:tcPr/>
          <w:p>
            <w:pPr>
              <w:pStyle w:val="Compact"/>
              <w:jc w:val="left"/>
            </w:pPr>
            <w:r>
              <w:t xml:space="preserve">Validity evidence from a factor analysis is presented</w:t>
            </w:r>
          </w:p>
        </w:tc>
        <w:tc>
          <w:tcPr/>
          <w:p>
            <w:pPr>
              <w:pStyle w:val="Compact"/>
              <w:jc w:val="right"/>
            </w:pPr>
            <w:r>
              <w:t xml:space="preserve">0.05 (41)</w:t>
            </w:r>
          </w:p>
        </w:tc>
        <w:tc>
          <w:tcPr/>
          <w:p>
            <w:pPr>
              <w:pStyle w:val="Compact"/>
              <w:jc w:val="right"/>
            </w:pPr>
            <w:r>
              <w:t xml:space="preserve">0 (37)</w:t>
            </w:r>
          </w:p>
        </w:tc>
      </w:tr>
      <w:tr>
        <w:tc>
          <w:tcPr/>
          <w:p>
            <w:pPr>
              <w:pStyle w:val="Compact"/>
              <w:jc w:val="left"/>
            </w:pPr>
            <w:r>
              <w:t xml:space="preserve">Quantification</w:t>
            </w:r>
          </w:p>
        </w:tc>
        <w:tc>
          <w:tcPr/>
          <w:p>
            <w:pPr>
              <w:pStyle w:val="Compact"/>
            </w:pPr>
          </w:p>
        </w:tc>
        <w:tc>
          <w:tcPr/>
          <w:p>
            <w:pPr>
              <w:pStyle w:val="Compact"/>
            </w:pPr>
          </w:p>
        </w:tc>
      </w:tr>
      <w:tr>
        <w:tc>
          <w:tcPr/>
          <w:p>
            <w:pPr>
              <w:pStyle w:val="Compact"/>
              <w:jc w:val="left"/>
            </w:pPr>
            <w:r>
              <w:t xml:space="preserve">N items are described</w:t>
            </w:r>
          </w:p>
        </w:tc>
        <w:tc>
          <w:tcPr/>
          <w:p>
            <w:pPr>
              <w:pStyle w:val="Compact"/>
              <w:jc w:val="right"/>
            </w:pPr>
            <w:r>
              <w:t xml:space="preserve">0.88 (75)</w:t>
            </w:r>
          </w:p>
        </w:tc>
        <w:tc>
          <w:tcPr/>
          <w:p>
            <w:pPr>
              <w:pStyle w:val="Compact"/>
              <w:jc w:val="right"/>
            </w:pPr>
            <w:r>
              <w:t xml:space="preserve">0.92 (77)</w:t>
            </w:r>
          </w:p>
        </w:tc>
      </w:tr>
      <w:tr>
        <w:tc>
          <w:tcPr/>
          <w:p>
            <w:pPr>
              <w:pStyle w:val="Compact"/>
              <w:jc w:val="left"/>
            </w:pPr>
            <w:r>
              <w:t xml:space="preserve">N response options are described</w:t>
            </w:r>
          </w:p>
        </w:tc>
        <w:tc>
          <w:tcPr/>
          <w:p>
            <w:pPr>
              <w:pStyle w:val="Compact"/>
              <w:jc w:val="right"/>
            </w:pPr>
            <w:r>
              <w:t xml:space="preserve">0.86 (69)</w:t>
            </w:r>
          </w:p>
        </w:tc>
        <w:tc>
          <w:tcPr/>
          <w:p>
            <w:pPr>
              <w:pStyle w:val="Compact"/>
              <w:jc w:val="right"/>
            </w:pPr>
            <w:r>
              <w:t xml:space="preserve">0.9 (73)</w:t>
            </w:r>
          </w:p>
        </w:tc>
      </w:tr>
      <w:tr>
        <w:tc>
          <w:tcPr/>
          <w:p>
            <w:pPr>
              <w:pStyle w:val="Compact"/>
              <w:jc w:val="left"/>
            </w:pPr>
            <w:r>
              <w:t xml:space="preserve">Recoding of responses is described</w:t>
            </w:r>
          </w:p>
        </w:tc>
        <w:tc>
          <w:tcPr/>
          <w:p>
            <w:pPr>
              <w:pStyle w:val="Compact"/>
              <w:jc w:val="right"/>
            </w:pPr>
            <w:r>
              <w:t xml:space="preserve">0.52 (23)</w:t>
            </w:r>
          </w:p>
        </w:tc>
        <w:tc>
          <w:tcPr/>
          <w:p>
            <w:pPr>
              <w:pStyle w:val="Compact"/>
              <w:jc w:val="right"/>
            </w:pPr>
            <w:r>
              <w:t xml:space="preserve">0.5 (18)</w:t>
            </w:r>
          </w:p>
        </w:tc>
      </w:tr>
      <w:tr>
        <w:tc>
          <w:tcPr/>
          <w:p>
            <w:pPr>
              <w:pStyle w:val="Compact"/>
              <w:jc w:val="left"/>
            </w:pPr>
            <w:r>
              <w:t xml:space="preserve">Creation of the index is described</w:t>
            </w:r>
          </w:p>
        </w:tc>
        <w:tc>
          <w:tcPr/>
          <w:p>
            <w:pPr>
              <w:pStyle w:val="Compact"/>
              <w:jc w:val="right"/>
            </w:pPr>
            <w:r>
              <w:t xml:space="preserve">0.52 (48)</w:t>
            </w:r>
          </w:p>
        </w:tc>
        <w:tc>
          <w:tcPr/>
          <w:p>
            <w:pPr>
              <w:pStyle w:val="Compact"/>
              <w:jc w:val="right"/>
            </w:pPr>
            <w:r>
              <w:t xml:space="preserve">0.57 (44)</w:t>
            </w:r>
          </w:p>
        </w:tc>
      </w:tr>
      <w:tr>
        <w:tc>
          <w:tcPr/>
          <w:p>
            <w:pPr>
              <w:pStyle w:val="Compact"/>
              <w:jc w:val="left"/>
            </w:pPr>
            <w:r>
              <w:t xml:space="preserve">Modification</w:t>
            </w:r>
          </w:p>
        </w:tc>
        <w:tc>
          <w:tcPr/>
          <w:p>
            <w:pPr>
              <w:pStyle w:val="Compact"/>
            </w:pPr>
          </w:p>
        </w:tc>
        <w:tc>
          <w:tcPr/>
          <w:p>
            <w:pPr>
              <w:pStyle w:val="Compact"/>
            </w:pPr>
          </w:p>
        </w:tc>
      </w:tr>
      <w:tr>
        <w:tc>
          <w:tcPr/>
          <w:p>
            <w:pPr>
              <w:pStyle w:val="Compact"/>
              <w:jc w:val="left"/>
            </w:pPr>
            <w:r>
              <w:t xml:space="preserve">Administration format changes are mentioned</w:t>
            </w:r>
          </w:p>
        </w:tc>
        <w:tc>
          <w:tcPr/>
          <w:p>
            <w:pPr>
              <w:pStyle w:val="Compact"/>
              <w:jc w:val="right"/>
            </w:pPr>
            <w:r>
              <w:t xml:space="preserve">1 (0)</w:t>
            </w:r>
          </w:p>
        </w:tc>
        <w:tc>
          <w:tcPr/>
          <w:p>
            <w:pPr>
              <w:pStyle w:val="Compact"/>
              <w:jc w:val="right"/>
            </w:pPr>
            <w:r>
              <w:t xml:space="preserve">1 (19)</w:t>
            </w:r>
          </w:p>
        </w:tc>
      </w:tr>
      <w:tr>
        <w:tc>
          <w:tcPr/>
          <w:p>
            <w:pPr>
              <w:pStyle w:val="Compact"/>
              <w:jc w:val="left"/>
            </w:pPr>
            <w:r>
              <w:t xml:space="preserve">Administration format changes are justified/validated</w:t>
            </w:r>
          </w:p>
        </w:tc>
        <w:tc>
          <w:tcPr/>
          <w:p>
            <w:pPr>
              <w:pStyle w:val="Compact"/>
              <w:jc w:val="right"/>
            </w:pPr>
            <w:r>
              <w:t xml:space="preserve">1 (0)</w:t>
            </w:r>
          </w:p>
        </w:tc>
        <w:tc>
          <w:tcPr/>
          <w:p>
            <w:pPr>
              <w:pStyle w:val="Compact"/>
              <w:jc w:val="right"/>
            </w:pPr>
            <w:r>
              <w:t xml:space="preserve">0.86 (7)</w:t>
            </w:r>
          </w:p>
        </w:tc>
      </w:tr>
      <w:tr>
        <w:tc>
          <w:tcPr/>
          <w:p>
            <w:pPr>
              <w:pStyle w:val="Compact"/>
              <w:jc w:val="left"/>
            </w:pPr>
            <w:r>
              <w:t xml:space="preserve">Translations are mentioned</w:t>
            </w:r>
          </w:p>
        </w:tc>
        <w:tc>
          <w:tcPr/>
          <w:p>
            <w:pPr>
              <w:pStyle w:val="Compact"/>
              <w:jc w:val="right"/>
            </w:pPr>
            <w:r>
              <w:t xml:space="preserve">1 (3)</w:t>
            </w:r>
          </w:p>
        </w:tc>
        <w:tc>
          <w:tcPr/>
          <w:p>
            <w:pPr>
              <w:pStyle w:val="Compact"/>
              <w:jc w:val="right"/>
            </w:pPr>
            <w:r>
              <w:t xml:space="preserve">0.96 (27)</w:t>
            </w:r>
          </w:p>
        </w:tc>
      </w:tr>
      <w:tr>
        <w:tc>
          <w:tcPr/>
          <w:p>
            <w:pPr>
              <w:pStyle w:val="Compact"/>
              <w:jc w:val="left"/>
            </w:pPr>
            <w:r>
              <w:t xml:space="preserve">Translated measures are justified/validated</w:t>
            </w:r>
          </w:p>
        </w:tc>
        <w:tc>
          <w:tcPr/>
          <w:p>
            <w:pPr>
              <w:pStyle w:val="Compact"/>
              <w:jc w:val="right"/>
            </w:pPr>
            <w:r>
              <w:t xml:space="preserve">1 (2)</w:t>
            </w:r>
          </w:p>
        </w:tc>
        <w:tc>
          <w:tcPr/>
          <w:p>
            <w:pPr>
              <w:pStyle w:val="Compact"/>
              <w:jc w:val="right"/>
            </w:pPr>
            <w:r>
              <w:t xml:space="preserve">0.85 (13)</w:t>
            </w:r>
          </w:p>
        </w:tc>
      </w:tr>
      <w:tr>
        <w:tc>
          <w:tcPr/>
          <w:p>
            <w:pPr>
              <w:pStyle w:val="Compact"/>
              <w:jc w:val="left"/>
            </w:pPr>
            <w:r>
              <w:t xml:space="preserve">Changes in N items or response options are mentioned</w:t>
            </w:r>
          </w:p>
        </w:tc>
        <w:tc>
          <w:tcPr/>
          <w:p>
            <w:pPr>
              <w:pStyle w:val="Compact"/>
              <w:jc w:val="right"/>
            </w:pPr>
            <w:r>
              <w:t xml:space="preserve">0.83 (6)</w:t>
            </w:r>
          </w:p>
        </w:tc>
        <w:tc>
          <w:tcPr/>
          <w:p>
            <w:pPr>
              <w:pStyle w:val="Compact"/>
              <w:jc w:val="right"/>
            </w:pPr>
            <w:r>
              <w:t xml:space="preserve">0.86 (14)</w:t>
            </w:r>
          </w:p>
        </w:tc>
      </w:tr>
      <w:tr>
        <w:tc>
          <w:tcPr/>
          <w:p>
            <w:pPr>
              <w:pStyle w:val="Compact"/>
              <w:jc w:val="left"/>
            </w:pPr>
            <w:r>
              <w:t xml:space="preserve">Changes in N items or response options are justified/validated</w:t>
            </w:r>
          </w:p>
        </w:tc>
        <w:tc>
          <w:tcPr/>
          <w:p>
            <w:pPr>
              <w:pStyle w:val="Compact"/>
              <w:jc w:val="right"/>
            </w:pPr>
            <w:r>
              <w:t xml:space="preserve">1 (3)</w:t>
            </w:r>
          </w:p>
        </w:tc>
        <w:tc>
          <w:tcPr/>
          <w:p>
            <w:pPr>
              <w:pStyle w:val="Compact"/>
              <w:jc w:val="right"/>
            </w:pPr>
            <w:r>
              <w:t xml:space="preserve">0.58 (12)</w:t>
            </w:r>
          </w:p>
        </w:tc>
      </w:tr>
    </w:tbl>
    <w:p>
      <w:pPr>
        <w:pStyle w:val="table-note"/>
      </w:pPr>
      <w:r>
        <w:rPr>
          <w:i/>
          <w:iCs/>
        </w:rPr>
        <w:t xml:space="preserve">Note.</w:t>
      </w:r>
      <w:r>
        <w:t xml:space="preserve"> </w:t>
      </w:r>
      <w:r>
        <w:t xml:space="preserve">The first number in both Original and Replication is the ratio of measures for which that reporting practice contained sufficient information. The number between brackets indicates the number of measures for which the practice was applicable.</w:t>
      </w:r>
    </w:p>
    <w:p>
      <w:pPr>
        <w:pStyle w:val="Textkrper"/>
      </w:pPr>
      <w:r>
        <w:t xml:space="preserve"> </w:t>
      </w:r>
    </w:p>
    <w:p>
      <w:pPr>
        <w:pStyle w:val="Textkrper"/>
      </w:pPr>
      <w:r>
        <w:t xml:space="preserve">For our purposes, we can focus on the reporting of information most relevant for reconstructing the measure in future research, as well as the modification reporting practices to learn about the relation between original and replication studies. It was clear that existing measures were used for 36.40% original and 94.80% replication measures. It was not always clear which measures were used (48.10% original; 3.90% replication), meaning they could not clearly be identified to be the same between original and replication . The number of items (88% original (n = 75); 92% replications (n = 77)) and response options (86% original (n = 69); 90% replications (n = 73)) were usually clear, and modifications to these being unclearly reported was atypical, but did occur (83% original (n = 6); 86% replications (n = 14)). The percentage of numbers of items reported was similar to</w:t>
      </w:r>
      <w:r>
        <w:t xml:space="preserve"> </w:t>
      </w:r>
      <w:r>
        <w:t xml:space="preserve">Flake et al. (2022)</w:t>
      </w:r>
      <w:r>
        <w:t xml:space="preserve"> </w:t>
      </w:r>
      <w:r>
        <w:t xml:space="preserve">(original: 92%; replication 85.6%). The proportion to which the number of items were changed from original to replication was also similar (18.20) to</w:t>
      </w:r>
      <w:r>
        <w:t xml:space="preserve"> </w:t>
      </w:r>
      <w:r>
        <w:t xml:space="preserve">Flake et al. (2022)</w:t>
      </w:r>
      <w:r>
        <w:t xml:space="preserve"> </w:t>
      </w:r>
      <w:r>
        <w:t xml:space="preserve">(16%). In general, modifications could only rarely be identified for original studies. In replication studies we observe that not all modifications were validated or justified (language: 85% (n = 13); administration format: 86% (n = 7)), especially for changes in items and response options (</w:t>
      </w:r>
      <w:r>
        <w:rPr>
          <w:rStyle w:val="VerbatimChar"/>
        </w:rPr>
        <w:t xml:space="preserve">round((1 - qmp_ratio_data$QMP_percentage_replication[23]) * 100, 1)</w:t>
      </w:r>
      <w:r>
        <w:t xml:space="preserve">(n = 12)). In general, we observed that measurement was modified in some way from original to replication for 67.50% of measures, and it was unclear whether modification occurred for 18.20%.</w:t>
      </w:r>
    </w:p>
    <w:p>
      <w:pPr>
        <w:pStyle w:val="Textkrper"/>
      </w:pPr>
      <w:r>
        <w:t xml:space="preserve">???LEFTOVER RESULTS from</w:t>
      </w:r>
      <w:r>
        <w:t xml:space="preserve"> </w:t>
      </w:r>
      <w:r>
        <w:t xml:space="preserve">Flake et al. (2022)</w:t>
      </w:r>
      <w:r>
        <w:t xml:space="preserve">. - had a citation flake:original ::: 29% - response format reported flake:original :: 94% - scale scoring flake:original :: 49% - citing existing validity evidence flake:original :: 29% - citing existing validity evidence flake:replication :: 38% - translation validated flake:replication :: 20% ???</w:t>
      </w:r>
    </w:p>
    <w:bookmarkEnd w:id="63"/>
    <w:bookmarkEnd w:id="64"/>
    <w:bookmarkStart w:id="79" w:name="measurement-response-data-analysis"/>
    <w:p>
      <w:pPr>
        <w:pStyle w:val="berschrift2"/>
      </w:pPr>
      <w:r>
        <w:t xml:space="preserve">Measurement Response Data Analysis</w:t>
      </w:r>
    </w:p>
    <w:bookmarkStart w:id="69" w:name="calculated-reliability-coefficients"/>
    <w:p>
      <w:pPr>
        <w:pStyle w:val="berschrift3"/>
      </w:pPr>
      <w:r>
        <w:t xml:space="preserve">Calculated Reliability Coefficients.</w:t>
      </w:r>
    </w:p>
    <w:p>
      <w:pPr>
        <w:pStyle w:val="FirstParagraph"/>
      </w:pPr>
      <w:r>
        <w:t xml:space="preserve">The average calculated Cronbach’s alpha coefficient across individual replications was 0.75 with a standard deviation of 0.28. Figure</w:t>
      </w:r>
      <w:r>
        <w:t xml:space="preserve"> </w:t>
      </w:r>
      <w:r>
        <w:t xml:space="preserve">2</w:t>
      </w:r>
      <w:r>
        <w:t xml:space="preserve"> </w:t>
      </w:r>
      <w:r>
        <w:t xml:space="preserve">displays the distributions of the calculated Cronbach’s Alpha scores from each lab for each measure, separated by successful and unsuccessful replication, based on the meta-analytic p-value (alpha &lt; .05) retrieved from the Many Labs reports.</w:t>
      </w:r>
    </w:p>
    <w:p>
      <w:pPr>
        <w:pStyle w:val="CaptionedFigure"/>
      </w:pPr>
      <w:r>
        <w:drawing>
          <wp:inline>
            <wp:extent cx="4587290" cy="3669832"/>
            <wp:effectExtent b="0" l="0" r="0" t="0"/>
            <wp:docPr descr="Figure 2: Distributions of calculated Cronbach’s alpha coefficients calculated for the responses on a measure at each lab location, across the nineteen measures for which raw data was available from which Cronbach’s alpha coefficients could be calculated. Cronbach’s alpha values that fell below 0 were excluded. The green lines indicate the meta-analytic prediction interval lower and upper bound. The blue triangles indicate the reported alpha coefficient for that measure from the original article, when reported. The Tau column besides the figure shows the tau heterogeneity estimate based on a meta-analysis of the calculated reliabilities for each measure. Meta-analyses for which the Q-test for heterogeneity was significant at alpha &lt; .05 are in black, while non-significant results are in grey. The Diff column shows the difference between reported reliability and the average reliability calculated from the Many Labs data for the applicable measures. The reported reliabilities that fell outside the 95% quantile of calculated reliability scores are shown in black, otherwise in grey." title="" id="66" name="Picture"/>
            <a:graphic>
              <a:graphicData uri="http://schemas.openxmlformats.org/drawingml/2006/picture">
                <pic:pic>
                  <pic:nvPicPr>
                    <pic:cNvPr descr="manuscript_files/figure-docx/PlotAlphaDistributions-1.png" id="67" name="Picture"/>
                    <pic:cNvPicPr>
                      <a:picLocks noChangeArrowheads="1" noChangeAspect="1"/>
                    </pic:cNvPicPr>
                  </pic:nvPicPr>
                  <pic:blipFill>
                    <a:blip r:embed="rId65"/>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68" w:name="fig:PlotAlphaDistributions"/>
      <w:bookmarkEnd w:id="68"/>
      <w:r>
        <w:rPr>
          <w:i/>
          <w:iCs/>
        </w:rPr>
        <w:t xml:space="preserve">Figure</w:t>
      </w:r>
      <w:r>
        <w:t xml:space="preserve"> </w:t>
      </w:r>
      <w:r>
        <w:t xml:space="preserve">2. Distributions of calculated Cronbach’s alpha coefficients calculated for the responses on a measure at each lab location, across the nineteen measures for which raw data was available from which Cronbach’s alpha coefficients could be calculated. Cronbach’s alpha values that fell below 0 were excluded. The green lines indicate the meta-analytic prediction interval lower and upper bound. The blue triangles indicate the reported alpha coefficient for that measure from the original article, when reported. The Tau column besides the figure shows the tau heterogeneity estimate based on a meta-analysis of the calculated reliabilities for each measure. Meta-analyses for which the Q-test for heterogeneity was significant at alpha &lt; .05 are in black, while non-significant results are in grey. The Diff column shows the difference between reported reliability and the average reliability calculated from the Many Labs data for the applicable measures. The reported reliabilities that fell outside the 95% quantile of calculated reliability scores are shown in black, otherwise in grey.</w:t>
      </w:r>
    </w:p>
    <w:p>
      <w:pPr>
        <w:pStyle w:val="Textkrper"/>
      </w:pPr>
      <w:r>
        <w:t xml:space="preserve">We found statistically significant indication of heterogeneity in Cronbach’s alpha for fourteen of the nineteen measures. However, as noted earlier a more accurate indication of the heterogeneity can be observed in the prediction intervals. The prediction intervals generally show larger indications of heterogeneity for some of the lower reliability measures and less for higher reliability measures when compared to the Tau test results. An increase in the number of labs also appears to be a factor for narrowing the prediction intervals. Additionally, we observe that for most measures the reported reliabilities were generally lower than the reliabilities calculated for the replication labs. Another interesting observation is that reported reliabilities in the original study were more common for those measures that had higher average calculated reliabilities (&gt;.80) in the replications compared to on average less reliable measures.</w:t>
      </w:r>
    </w:p>
    <w:bookmarkEnd w:id="69"/>
    <w:bookmarkStart w:id="78" w:name="unidimensionality-assessment"/>
    <w:p>
      <w:pPr>
        <w:pStyle w:val="berschrift3"/>
      </w:pPr>
      <w:r>
        <w:t xml:space="preserve">Unidimensionality assessment.</w:t>
      </w:r>
    </w:p>
    <w:p>
      <w:pPr>
        <w:pStyle w:val="FirstParagraph"/>
      </w:pPr>
      <w:r>
        <w:t xml:space="preserve">Figure</w:t>
      </w:r>
      <w:r>
        <w:t xml:space="preserve"> </w:t>
      </w:r>
      <w:r>
        <w:t xml:space="preserve">3</w:t>
      </w:r>
      <w:r>
        <w:t xml:space="preserve"> </w:t>
      </w:r>
      <w:r>
        <w:t xml:space="preserve">below show the result of our unidimensionality test. 21.04 % of labs were below our RMSEA .08 threshold, while for four measures of the total nineteen the mean across labs was below this threshold. Furthermore, the RMSEA shows considerable variation within measures, with the standard deviation ranging from 0.01 to 0.09 (mean sd = 0.05).</w:t>
      </w:r>
    </w:p>
    <w:p>
      <w:pPr>
        <w:pStyle w:val="Textkrper"/>
      </w:pPr>
      <w:r>
        <w:t xml:space="preserve">The parallel analysis results similarly showed inconsistency both across and within measures. While 53.43% of labs returned a single factor solution, 28.06% returned a two-factor, and 28.06% returned three or more factors. The remainder did not converge. The lack of convergence was also an issue for the CFA used for the RMSEA check. The CFA failed to converge for 5.37% of labs. Convergence in most cases was the result of either the severe misfit of our factor models or a lack of sample size to stably estimate these models. A consistent pattern was also lacking for the results from the exact fit tests. For 4 out of 18 measures with converged factor analyses, three quarters or more labs showed statistical significant fit, for 9 a quarter or less did, and for the remaining 5 the proportion lay somewhere in between.</w:t>
      </w:r>
    </w:p>
    <w:p>
      <w:pPr>
        <w:pStyle w:val="CaptionedFigure"/>
      </w:pPr>
      <w:r>
        <w:drawing>
          <wp:inline>
            <wp:extent cx="4587290" cy="3669832"/>
            <wp:effectExtent b="0" l="0" r="0" t="0"/>
            <wp:docPr descr="Figure 3: Distributions of calculated RMSEA of a single-factor model fit calculated for the responses on a measure at each lab location, across the nineteen measures for which raw data was available on which a factor model could be fitted. The red horizontal line separate the replicated from the non-repicated measures. The red vertical line indicates our .08 RMSEA cutoff value. The first number in the Conv. column besides the graph shows the number of labs per measure for which the single-factor CFA converged, with second number showing the total number of labs. The color of each dot shows the number of factors that were selected for that measure for that lab location based on the parallel analyses. Psychometric validity evidence was reported in the original Husnu &amp; Crips (2010) and Shnabel &amp; Nadler (2008) studies. * The Conscientiousness measure used in De Fruyt et al. (2000) consisted of two items, which are too few items to fit a factor model on. Therefore, none of these models converged." title="" id="71" name="Picture"/>
            <a:graphic>
              <a:graphicData uri="http://schemas.openxmlformats.org/drawingml/2006/picture">
                <pic:pic>
                  <pic:nvPicPr>
                    <pic:cNvPr descr="manuscript_files/figure-docx/Plot1FactorRMSEA-1.png" id="72" name="Picture"/>
                    <pic:cNvPicPr>
                      <a:picLocks noChangeArrowheads="1" noChangeAspect="1"/>
                    </pic:cNvPicPr>
                  </pic:nvPicPr>
                  <pic:blipFill>
                    <a:blip r:embed="rId70"/>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73" w:name="fig:Plot1FactorRMSEA"/>
      <w:bookmarkEnd w:id="73"/>
      <w:r>
        <w:rPr>
          <w:i/>
          <w:iCs/>
        </w:rPr>
        <w:t xml:space="preserve">Figure</w:t>
      </w:r>
      <w:r>
        <w:t xml:space="preserve"> </w:t>
      </w:r>
      <w:r>
        <w:t xml:space="preserve">3. Distributions of calculated RMSEA of a single-factor model fit calculated for the responses on a measure at each lab location, across the nineteen measures for which raw data was available on which a factor model could be fitted. The red horizontal line separate the replicated from the non-repicated measures. The red vertical line indicates our .08 RMSEA cutoff value. The first number in the Conv. column besides the graph shows the number of labs per measure for which the single-factor CFA converged, with second number showing the total number of labs. The color of each dot shows the number of factors that were selected for that measure for that lab location based on the parallel analyses. Psychometric validity evidence was reported in the original Husnu &amp; Crips (2010) and Shnabel &amp; Nadler (2008) studies. * The Conscientiousness measure used in De Fruyt et al. (2000) consisted of two items, which are too few items to fit a factor model on. Therefore, none of these models converged.</w:t>
      </w:r>
    </w:p>
    <w:p>
      <w:pPr>
        <w:pStyle w:val="Textkrper"/>
      </w:pPr>
      <w:r>
        <w:t xml:space="preserve">Figure</w:t>
      </w:r>
      <w:r>
        <w:t xml:space="preserve"> </w:t>
      </w:r>
      <w:r>
        <w:t xml:space="preserve">4</w:t>
      </w:r>
      <w:r>
        <w:t xml:space="preserve"> </w:t>
      </w:r>
      <w:r>
        <w:t xml:space="preserve">below shows the SRMR, and CFI fit indices for the same single factor model as was used to estimate the RMSEA and exact fit test. 64.33% of labs were below our SRMR .08 threshold and 45.67% were above our CFI .90 threshold. For the nineteen measures, the mean SRMR was below .08 for thirteen measures, while the mean CFI was above .90 for for nine measures.The mean standard deviation of the SRMR fit index is 0.02. For CFI this was 0.07. Overall, compared to the RMSEA, the SRMR and CFI fit indices show a more stable unidimensional fit. Especially the SRMR index shows considerably better fit compared to the RMSEA. When combining the results from all five unidimensionality checks together we observe that at least one of the five unidimensionality checks was passed for 99.37% of the 634 labs with converged factor models, at least two for 75.71%, at least three for 55.68%, at least three for 38.01%, and all five for 1.42%. The mean number of unidimensionality check passed was NA.</w:t>
      </w:r>
    </w:p>
    <w:p>
      <w:pPr>
        <w:pStyle w:val="CaptionedFigure"/>
      </w:pPr>
      <w:r>
        <w:drawing>
          <wp:inline>
            <wp:extent cx="4587290" cy="3669832"/>
            <wp:effectExtent b="0" l="0" r="0" t="0"/>
            <wp:docPr descr="Figure 4: Distributions of calculated SRMR and calculated CFI of a single-factor model fit calculated for the responses on a measure at each lab location, across the nineteen measures for which raw data was available on which a factor model could be fitted. The left figure shows the SRMR result, where the red vertical line indicates our .08 RMSR cutoff value. The right figure shows the CFI results, where the red vertical line indicates our .90 CFI cutoff value. In both figures the red horizontal line separate the replicated from the non-repicated measures." title="" id="75" name="Picture"/>
            <a:graphic>
              <a:graphicData uri="http://schemas.openxmlformats.org/drawingml/2006/picture">
                <pic:pic>
                  <pic:nvPicPr>
                    <pic:cNvPr descr="manuscript_files/figure-docx/Plot1FactorSRMRCFI-1.png" id="76" name="Picture"/>
                    <pic:cNvPicPr>
                      <a:picLocks noChangeArrowheads="1" noChangeAspect="1"/>
                    </pic:cNvPicPr>
                  </pic:nvPicPr>
                  <pic:blipFill>
                    <a:blip r:embed="rId74"/>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77" w:name="fig:Plot1FactorSRMRCFI"/>
      <w:bookmarkEnd w:id="77"/>
      <w:r>
        <w:rPr>
          <w:i/>
          <w:iCs/>
        </w:rPr>
        <w:t xml:space="preserve">Figure</w:t>
      </w:r>
      <w:r>
        <w:t xml:space="preserve"> </w:t>
      </w:r>
      <w:r>
        <w:t xml:space="preserve">4. Distributions of calculated SRMR and calculated CFI of a single-factor model fit calculated for the responses on a measure at each lab location, across the nineteen measures for which raw data was available on which a factor model could be fitted. The left figure shows the SRMR result, where the red vertical line indicates our .08 RMSR cutoff value. The right figure shows the CFI results, where the red vertical line indicates our .90 CFI cutoff value. In both figures the red horizontal line separate the replicated from the non-repicated measures.</w:t>
      </w:r>
    </w:p>
    <w:p>
      <w:pPr>
        <w:pStyle w:val="Textkrper"/>
      </w:pPr>
      <w:r>
        <w:t xml:space="preserve">???Compared to Shaw ,!!! - mean CFI of scales is: 0.92 0.919 - mean SRMR of scales is: 0.07 0.066 - mean of RMSEA of scales is: 0.06 0.056. However these are means of scales and not per lab???</w:t>
      </w:r>
    </w:p>
    <w:bookmarkEnd w:id="78"/>
    <w:bookmarkEnd w:id="79"/>
    <w:bookmarkEnd w:id="80"/>
    <w:bookmarkStart w:id="83" w:name="discussion"/>
    <w:p>
      <w:pPr>
        <w:pStyle w:val="berschrift1"/>
      </w:pPr>
      <w:r>
        <w:t xml:space="preserve">Discussion</w:t>
      </w:r>
    </w:p>
    <w:p>
      <w:pPr>
        <w:pStyle w:val="FirstParagraph"/>
      </w:pPr>
      <w:r>
        <w:t xml:space="preserve">To assess psychological phenomena we need measurement that is valid and reliable for our constructs. However, we noted that little reliability and validity evidence was reported, and that all the information needed to understand and recreate the measurement was rarely all available. Furthermore our reanalysis of the reliability and validity of the measures showed inconsistent reliability and validity support.</w:t>
      </w:r>
    </w:p>
    <w:p>
      <w:pPr>
        <w:pStyle w:val="Textkrper"/>
      </w:pPr>
      <w:r>
        <w:t xml:space="preserve">In line with existing research we found that for the majority of the measures in original and replication studies no reliability coefficient was reported, and psychometric validity evidence was even less common</w:t>
      </w:r>
      <w:r>
        <w:t xml:space="preserve"> </w:t>
      </w:r>
      <w:r>
        <w:t xml:space="preserve">(Barry et al., 2014; Beckman et al., 2004; Flake et al., 2017; Flake et al., 2022; Mairead Shaw et al., 2020)</w:t>
      </w:r>
      <w:r>
        <w:t xml:space="preserve">. Some part of this is due to around half of the measures in original and replication studies being single item measures. While it is possible to check the reliability and validity of single item measures, these methods often require multiple measures or studies to be able to cross-validate the measure with</w:t>
      </w:r>
      <w:r>
        <w:t xml:space="preserve"> </w:t>
      </w:r>
      <w:r>
        <w:t xml:space="preserve">(Leppink &amp; Pérez-Fuster, 2017; Sarstedt et al., 2016)</w:t>
      </w:r>
      <w:r>
        <w:t xml:space="preserve">. Another reason can be found in our observation that replications generally reported less reliability and psychometric validity evidence. This could be because replications implicitly defer the responsibility of reporting validity and reliability evidence to the original study. However, as we noted before, and as our analyses of the reliability and unidimensionality reiterate, the reliability and validity of a measure varies across contexts. It is therefore still important for the reliability and validity to be described for the replications studies too.</w:t>
      </w:r>
    </w:p>
    <w:p>
      <w:pPr>
        <w:pStyle w:val="Textkrper"/>
      </w:pPr>
      <w:r>
        <w:t xml:space="preserve">We also noted that about two-thirds of the measurements were modified between replication and original study. While minor differences between replication and original study are inevitable, substantial changes between original and replication study raises questions about labeling those replications as direct. For example, the conscientiousness measure used for the replication of</w:t>
      </w:r>
      <w:r>
        <w:t xml:space="preserve"> </w:t>
      </w:r>
      <w:r>
        <w:t xml:space="preserve">De Fruyt et al. (2000)</w:t>
      </w:r>
      <w:r>
        <w:t xml:space="preserve"> </w:t>
      </w:r>
      <w:r>
        <w:t xml:space="preserve">was reduced from the original NEO-PI-R 30-item measure to a two-item measure in the replication. It is highly unlikely that a measure with such a significant change would have a comparable validity and reliability to the original, and we did unsurprisingly observe convergence issues with validity as well as low reliability for this measure. The regularity at which measures were modified also provides a response to the argument that replications do not need to report as many measurement details, since the reporting of these . If measurement is modified, then the new use and validity of the measurement has to be documented by the replication. Additionally, if changing the measurement between original and replication study is fair game, then the choice of measure has to also be substantially motivated beyond:</w:t>
      </w:r>
      <w:r>
        <w:t xml:space="preserve"> </w:t>
      </w:r>
      <w:r>
        <w:t xml:space="preserve">“the original study did it that way”</w:t>
      </w:r>
      <w:r>
        <w:t xml:space="preserve">. Finally, none of this explains away the lack of reliability and validity reporting in the original studies. It may unfortunately be more likely that many of these measures are simply not validated before (or even after) use.</w:t>
      </w:r>
    </w:p>
    <w:p>
      <w:pPr>
        <w:pStyle w:val="Textkrper"/>
      </w:pPr>
      <w:r>
        <w:t xml:space="preserve">The information needed to reconstruct a measure for reuse was also not consistently clearly reported. In particular, like</w:t>
      </w:r>
      <w:r>
        <w:t xml:space="preserve"> </w:t>
      </w:r>
      <w:r>
        <w:t xml:space="preserve">Flake et al. (2022)</w:t>
      </w:r>
      <w:r>
        <w:t xml:space="preserve">, we observed that original research underreported information needed to reconstruct the measurement In future research. The administration format and procedure for each was not properly described for around a third of the applicable measures. The number of items and response options were unclear for both in around an eight of the applicable measures, while how the index was calculated, how the items were recoded and example items were presented for each a little under half of the applicable measures.</w:t>
      </w:r>
    </w:p>
    <w:p>
      <w:pPr>
        <w:pStyle w:val="Textkrper"/>
      </w:pPr>
      <w:r>
        <w:t xml:space="preserve">One notable difference compared to</w:t>
      </w:r>
      <w:r>
        <w:t xml:space="preserve"> </w:t>
      </w:r>
      <w:r>
        <w:t xml:space="preserve">Flake et al. (2022)</w:t>
      </w:r>
      <w:r>
        <w:t xml:space="preserve"> </w:t>
      </w:r>
      <w:r>
        <w:t xml:space="preserve">is that in our results replications did on average have less QMPs than original research. We believe that this is in part due to the structured way in which the Many Labs protocols were written up. Several Many Labs protocols even contained specific sections to declare any deviations from the original methodology. The other reason may be due to the more lenient coding of the QMPs in the revised protocol. We mostly checked that something relevant to a specific QMP item was reported, not whether that reporting thoroughly shared all the needed information. In particular, for our items checking whether a particular practice was justified or validated, we accepted any reason that was given, we did not check whether that reason was sufficient. For example, even if we did not code QMPs in validating modifications to measurement, this does not mean that Measurement Invariance was empirically established, even if it might have been important to do so.</w:t>
      </w:r>
    </w:p>
    <w:p>
      <w:pPr>
        <w:pStyle w:val="Textkrper"/>
      </w:pPr>
      <w:r>
        <w:t xml:space="preserve">Inconsistency was not only observed in the reporting of measurement. When we recalculated the reliability coefficients and factor structure of the measures used in the replication projects, the observed reliability and validity varied considerably across labs. We also noted that some measures had convergence issues, where for some labs we could not get the factor model to fit. This may have been because of sample size issues, or the small number of items we often observed in the replication measures. However, gross misfit is also possible. Although, the psychometric indicators we used were applied rather broadly across a spectrum of different measures, and should not be used to make individual inferences for the measures. As a general overview, our results do carry the warning that we cannot merely assume that the measures used in our sample were valid and can be used for substantive interpretations.</w:t>
      </w:r>
    </w:p>
    <w:p>
      <w:pPr>
        <w:pStyle w:val="Textkrper"/>
      </w:pPr>
      <w:r>
        <w:t xml:space="preserve">We also observed that when a Cronbach’s Alpha was reported for a measure in an original study, then their average Cronbach’s Alpha observed among the replications were consistently relatively high. Meanwhile when no Cronbach’s Alpha was reported in the original study, the reliability was often relatively low. This aligns with existing research indicating bias in reported Cronbach’s Alpha values, with an excess of reported values at the common acceptably reliable threshold value of .70, and low reporting just below .70</w:t>
      </w:r>
      <w:r>
        <w:t xml:space="preserve"> </w:t>
      </w:r>
      <w:r>
        <w:t xml:space="preserve">(Hussey et al., 2023)</w:t>
      </w:r>
      <w:r>
        <w:t xml:space="preserve">. Authors may be less inclined to report reliabilities when they fall below an acceptable threshold, but not otherwise. In combination with our inconsistent reliability and validity evidence, this bias in reporting could create a false sense of security when looking only at what is reported.</w:t>
      </w:r>
    </w:p>
    <w:p>
      <w:pPr>
        <w:pStyle w:val="Textkrper"/>
      </w:pPr>
      <w:r>
        <w:t xml:space="preserve">Overall, our intent is not to specifically scold the Many Labs replications nor the original studies. We commend the tremendous effort involved in the creation of the Many Labs projects, and we understand that for feasibility some corners had to be cut. Similarly, we understand that complete validation of psychological measures is not a responsibility that should or can be placed on any one study. However, we would argue that full transparent measurement reporting is a responsibility both replications and original studies do have. Based on our results and the results of existing research, we believe that with current measurement reporting, you cannot reliably expect to observe the information you need to evaluate and understand the measurement that was used in a study. Even though a substantial proportion of measurement information was frequently reported - when looking at our intentionally non-strict coding protocol - information was almost never consistently clearly reported across our sample. Furthermore, critical information on reliability and validity in particular was rare. Finally, even though validating measures is difficult, its necessity cannot be ignored. If validity evidence for a measure is never obtained, it becomes questionable to draw substantive interpretations on the basis of responses to that measure.</w:t>
      </w:r>
    </w:p>
    <w:bookmarkStart w:id="81" w:name="limitations-future-research"/>
    <w:p>
      <w:pPr>
        <w:pStyle w:val="berschrift2"/>
      </w:pPr>
      <w:r>
        <w:t xml:space="preserve">Limitations &amp; Future Research</w:t>
      </w:r>
    </w:p>
    <w:p>
      <w:pPr>
        <w:pStyle w:val="FirstParagraph"/>
      </w:pPr>
      <w:r>
        <w:t xml:space="preserve">Our main indicator of construct validity obtained from the response data was our unidimensionality test from a factor analysis. However, our factor analyses were not informed by theory, and were not specific to each measure. Instead the structure of the model and the test was the same for all measures. It is quite possible that a measure fails at our checks and is still a valid and reliable measure in its specific use case. We use these checks to get an assessment of one element of construct validitty within our sample, not to make inferences for particular measures, nor to test construct validity completely. Future research may want to deep dive into this specific topic and focus on doing theory informed construct validity tests using openly available measurement reponse data.</w:t>
      </w:r>
    </w:p>
    <w:p>
      <w:pPr>
        <w:pStyle w:val="Textkrper"/>
      </w:pPr>
      <w:r>
        <w:t xml:space="preserve">One of the most impactful limitations to our study design was that we were unable to conduct informative inferential tests on our data. This was in large part because there were simply to few measures with the relevant information for our test. We initially planned to test the significance of the difference in reported reliability between original and replication studies, and the relation between reliability and replication outcome. But due to the small number of reported reliabilities and measures for which reliability could be calculated we were unable to perform these tests. However, this limitation is also one of our most important findings. While we were unable to perform our pre-registered tests, the fact that we couldn’t, is telling with respect to the lack of consistent measurement information reporting in our sample.</w:t>
      </w:r>
    </w:p>
    <w:p>
      <w:pPr>
        <w:pStyle w:val="Textkrper"/>
      </w:pPr>
      <w:r>
        <w:t xml:space="preserve">As another limitation, it is important to reflect on whether or not replication protocols and research articles can be fairly compared in terms of Measurement Practices. A study’s description within a replication protocol is generally shorter than an article. The protocol may therefore lack the space needed to report on the measurement in full detail. There are three reasons why we believe protocols and articles remain mostly comparable. Firstly, articles are often also restricted in the amount of space they have available to devote to measurement</w:t>
      </w:r>
      <w:r>
        <w:t xml:space="preserve"> </w:t>
      </w:r>
      <w:r>
        <w:t xml:space="preserve">(Gardiner, 2019; Zogmaister et al., 2024)</w:t>
      </w:r>
      <w:r>
        <w:t xml:space="preserve">. Second, in the revised protocol some QMP items, such as whether example items were reported or not, also allowed for reporting this information in supplementary materials to count as good practice. Third, there are little to no other files outside the protocol and supplements where the measurement details for the replication could be found, as such the protocol and supplements represent the total available information on the measurement just like the original article does. A difference that was not resolved between articles and protocols was that the protocols were written before the measurement was conducted. Therefore we can not fairly compare protocol and replication on measurement information that is derived from the data – such as reliability coefficients and psychometric validity information. Still, future research should look if possible at replications that report on measurement information derived from the replication data.</w:t>
      </w:r>
    </w:p>
    <w:p>
      <w:pPr>
        <w:pStyle w:val="Textkrper"/>
      </w:pPr>
      <w:r>
        <w:t xml:space="preserve">???move to the paragraph above, the section in the discussion that describes the argument that replications dont have to report what is presumed to be in the original together with the counter-argument that modificaitons are regular, and as such measurement choice is fair game and should be motivated + an extra sentence that often information is not available in the original so it can hardly be relied upon???</w:t>
      </w:r>
    </w:p>
    <w:p>
      <w:pPr>
        <w:pStyle w:val="Textkrper"/>
      </w:pPr>
      <w:r>
        <w:t xml:space="preserve">There were additional sources of information we could have included. Data from original studies could have been used to recalculate reliability and validity indicators from to compare with the replication results. However, it is unlikely that a substantial number would have shared their data (many were conducted before the OSF and other Open Science initiatives were launched). This is likely different for more recent research</w:t>
      </w:r>
      <w:r>
        <w:t xml:space="preserve"> </w:t>
      </w:r>
      <w:r>
        <w:t xml:space="preserve">(Hamilton et al., 2023; Hardwicke et al., 2022)</w:t>
      </w:r>
      <w:r>
        <w:t xml:space="preserve">. Including replications of recent original research could enable more comparisons based on open data from the original studies. Future research may wish to look at replications of more recent research to compare recalculated measurement information between original and replication.</w:t>
      </w:r>
    </w:p>
    <w:bookmarkEnd w:id="81"/>
    <w:bookmarkStart w:id="82" w:name="recommendations"/>
    <w:p>
      <w:pPr>
        <w:pStyle w:val="berschrift2"/>
      </w:pPr>
      <w:r>
        <w:t xml:space="preserve">Recommendations</w:t>
      </w:r>
    </w:p>
    <w:p>
      <w:pPr>
        <w:pStyle w:val="FirstParagraph"/>
      </w:pPr>
      <w:r>
        <w:t xml:space="preserve">There are two main issues we believe that should be addressed in the literature to improve measurement practices: the common use of non-validated measurement, and the lack of transparency surrounding measurement reporting. Unfortunately, there is no easy fix to these issues. The widespread use of validated measurement requires measures for a large range of topics to be validated, a practice that currently occurs only rarely. Meanwhile improving transparency in reporting is an issue that many have tried to address in relation to other parts of , but universal success has remained elusive here ???CITATIONS???. However, the positives are first that these two issues are interrelated, because solving transparency will benefit greater validation of measures, and second that every instance of transparent reporting and validation helps reduce the current problem.</w:t>
      </w:r>
    </w:p>
    <w:p>
      <w:pPr>
        <w:pStyle w:val="Textkrper"/>
      </w:pPr>
      <w:r>
        <w:t xml:space="preserve">Our first reccomendation is that reporting standards for measurement deserve a more central place. We found that reporting reliability and validity information was the exception rather than the rule, and even basic information such as how many items were in the measure was reported with little consistency among our sample of measures. The</w:t>
      </w:r>
      <w:r>
        <w:t xml:space="preserve"> </w:t>
      </w:r>
      <w:r>
        <w:t xml:space="preserve">American Educational Research Association et al. (2014)</w:t>
      </w:r>
      <w:r>
        <w:t xml:space="preserve"> </w:t>
      </w:r>
      <w:r>
        <w:t xml:space="preserve">guidelines exist to guide researchers in the creation and validation of scales, but are not tailored as guidelines for general measurement reporting. The APA guidelines</w:t>
      </w:r>
      <w:r>
        <w:t xml:space="preserve"> </w:t>
      </w:r>
      <w:r>
        <w:t xml:space="preserve">(American Psychological Association, 2020)</w:t>
      </w:r>
      <w:r>
        <w:t xml:space="preserve"> </w:t>
      </w:r>
      <w:r>
        <w:t xml:space="preserve">do address many of the same reporting practices we assessed, however our findings and those of other research shows that uptake of these standards is minimal. Meanwhile, statistical reporting standards and guidelines have had a stronger place in the field and among journals, including recommendations from the ASA</w:t>
      </w:r>
      <w:r>
        <w:t xml:space="preserve"> </w:t>
      </w:r>
      <w:r>
        <w:t xml:space="preserve">(Wasserstein &amp; Lazar, 2016)</w:t>
      </w:r>
      <w:r>
        <w:t xml:space="preserve">. A high-profile push for measurement reporting standards is lacking. We believe that measurement reporting standards deserve to be highlighted as much as statistical result reporting. after all, even well reported statistics lack have to be understood within the context of the measurement.</w:t>
      </w:r>
    </w:p>
    <w:p>
      <w:pPr>
        <w:pStyle w:val="Textkrper"/>
      </w:pPr>
      <w:r>
        <w:t xml:space="preserve">Transparent measurement reporting also has the advantage that it enables future researchers to recreate the original measure. This point is critical to fueling our second recommendation: as a community we need to systematically evaluate and revise our measures. To do so, we first need measures to be reusable. Second, researchers need to reuse existing measures. Third, the obtained reliability and validity of the measure then need to be compared across multiple occasions, and finally a value judgement to determine in what contexts, if any, the measure is valid has to be made. Transparent reporting takes care of the first step. For the second step,</w:t>
      </w:r>
      <w:r>
        <w:t xml:space="preserve"> </w:t>
      </w:r>
      <w:r>
        <w:t xml:space="preserve">Elson et al. (2023)</w:t>
      </w:r>
      <w:r>
        <w:t xml:space="preserve"> </w:t>
      </w:r>
      <w:r>
        <w:t xml:space="preserve">have suggested journals to implement the Standardisation Of BEhavior Research (SOBER) guidelines to specifically address issues of flexibility and norming in measurement so that measures are reused in a comparable state. Furthermore, they propose an open repository of measurement protocols to facilitate the discovery of measures and building an evidence base. For the third and fourth step, two things are needed. First, there should be a space in the scientific literature for persistent measurement evaluation, just like how a place for replication studies in the literature has been suggested to provide persistent evaluation of effects. In fact, if replications were to play closer attention to measurement evaluation and reporting, they can function as an excellent validation test of the measure as well. Second, the data obtained from the measurement should be available for a comprehensive validaity analyses of the measure within different contexts. For this it would be best if the original data of the item responses and demographics is shared for each use of the measure. This way the measure’s validity and reliability can be recomputed similarly to what was done in our analyses, but with a closer link to theory. Otherwise, the summary statistics such as the variance-covariance structure, means, and standard deviations should be shared as these are sufficient for many basic factor analysis models.</w:t>
      </w:r>
    </w:p>
    <w:p>
      <w:pPr>
        <w:pStyle w:val="Textkrper"/>
      </w:pPr>
      <w:r>
        <w:t xml:space="preserve">Furthermore, researchers should report and evaluate their measures using more informative indicators. Cronbach’s Alpha on its own gives only limited information the quality of a scale, and comes with strong assumptions</w:t>
      </w:r>
      <w:r>
        <w:t xml:space="preserve"> </w:t>
      </w:r>
      <w:r>
        <w:t xml:space="preserve">(Cortina, 1993; Sijtsma, 2009)</w:t>
      </w:r>
      <w:r>
        <w:t xml:space="preserve">. Factor analytical evidence and McDonald’s Omega are more informative indicators that should be presented in favor of or in tandem with Cronbach’s Alpha.</w:t>
      </w:r>
    </w:p>
    <w:p>
      <w:pPr>
        <w:pStyle w:val="Textkrper"/>
      </w:pPr>
      <w:r>
        <w:t xml:space="preserve">Finally, we argue that researchers seeking to replicate a study should first evaluate the measurement of that study. Not only is it crucial for an informative replication that the measurement is reliable or valid. The original study should also report the measurement details necessary to reconstruct the original measurement. Otherwise it will be challenging to know if measurement was different between original and replication. If so, we suggest that researchers instead use their resources to conduct a replication of a study with reliable, valid and well-documented measurement. When replicating another study is not an option, we advise the replicating researcher to first attempt a conceptual replication using a validated measurement. Afterwards, a direct replication can be performed based on the conceptual replication to further assess the robustness.</w:t>
      </w:r>
    </w:p>
    <w:bookmarkEnd w:id="82"/>
    <w:bookmarkEnd w:id="83"/>
    <w:bookmarkStart w:id="91" w:name="conclusion"/>
    <w:p>
      <w:pPr>
        <w:pStyle w:val="berschrift1"/>
      </w:pPr>
      <w:r>
        <w:t xml:space="preserve">Conclusion</w:t>
      </w:r>
    </w:p>
    <w:p>
      <w:pPr>
        <w:pStyle w:val="FirstParagraph"/>
      </w:pPr>
      <w:r>
        <w:t xml:space="preserve">Cumulative knowledge on psychological phenomena starts with our ability to accurately capture the relevant constructs of interest. Based on the results from our sample and the findings of existing research, the validity and reliability of psychological measurements is rarely reported and based on our data cannot be assumed to be generally correct. The lack of consistent transparency in measurement reporting further complicates evaluating and reusing the existing measures. A change will be necessary. Otherwise, the basic premise that the measurement measures the variable it is intended to measure, will remain unsubstantiated for many psychological studies. Fortunately, even small steps towards improved reporting practices and single instances in cumulative measurement validation can already help to proliferate validated measurement.</w:t>
      </w:r>
    </w:p>
    <w:bookmarkStart w:id="84" w:name="conflicts-of-interest"/>
    <w:p>
      <w:pPr>
        <w:pStyle w:val="berschrift2"/>
      </w:pPr>
      <w:r>
        <w:t xml:space="preserve">Conflicts of Interest</w:t>
      </w:r>
    </w:p>
    <w:p>
      <w:pPr>
        <w:pStyle w:val="FirstParagraph"/>
      </w:pPr>
      <w:r>
        <w:t xml:space="preserve">The author(s) declare that there were no conflicts of interest with respect to the authorship or the publication of this article.</w:t>
      </w:r>
    </w:p>
    <w:bookmarkEnd w:id="84"/>
    <w:bookmarkStart w:id="89" w:name="orcid-ids"/>
    <w:p>
      <w:pPr>
        <w:pStyle w:val="berschrift2"/>
      </w:pPr>
      <w:r>
        <w:t xml:space="preserve">ORCID iDs</w:t>
      </w:r>
    </w:p>
    <w:p>
      <w:pPr>
        <w:pStyle w:val="FirstParagraph"/>
      </w:pPr>
      <w:r>
        <w:t xml:space="preserve">Cas Goos</w:t>
      </w:r>
      <w:r>
        <w:t xml:space="preserve"> </w:t>
      </w:r>
      <w:hyperlink r:id="rId85">
        <w:r>
          <w:rPr>
            <w:rStyle w:val="Hyperlink"/>
          </w:rPr>
          <w:t xml:space="preserve">https://orcid.org/0009-0005-3792-4148</w:t>
        </w:r>
      </w:hyperlink>
    </w:p>
    <w:p>
      <w:pPr>
        <w:pStyle w:val="Textkrper"/>
      </w:pPr>
      <w:r>
        <w:t xml:space="preserve">Marjan Bakker</w:t>
      </w:r>
      <w:r>
        <w:t xml:space="preserve"> </w:t>
      </w:r>
      <w:hyperlink r:id="rId86">
        <w:r>
          <w:rPr>
            <w:rStyle w:val="Hyperlink"/>
          </w:rPr>
          <w:t xml:space="preserve">https://orcid.org/0000-0001-9024-337X</w:t>
        </w:r>
      </w:hyperlink>
    </w:p>
    <w:p>
      <w:pPr>
        <w:pStyle w:val="Textkrper"/>
      </w:pPr>
      <w:r>
        <w:t xml:space="preserve">Jelte M. Wicherts</w:t>
      </w:r>
      <w:r>
        <w:t xml:space="preserve"> </w:t>
      </w:r>
      <w:hyperlink r:id="rId87">
        <w:r>
          <w:rPr>
            <w:rStyle w:val="Hyperlink"/>
          </w:rPr>
          <w:t xml:space="preserve">https://orcid.org/0000-0003-2415-2933</w:t>
        </w:r>
      </w:hyperlink>
    </w:p>
    <w:p>
      <w:pPr>
        <w:pStyle w:val="Textkrper"/>
      </w:pPr>
      <w:r>
        <w:t xml:space="preserve">Michèle B. Nuijten</w:t>
      </w:r>
      <w:r>
        <w:t xml:space="preserve"> </w:t>
      </w:r>
      <w:hyperlink r:id="rId88">
        <w:r>
          <w:rPr>
            <w:rStyle w:val="Hyperlink"/>
          </w:rPr>
          <w:t xml:space="preserve">https://orcid.org/0000-0002-1468-8585</w:t>
        </w:r>
      </w:hyperlink>
    </w:p>
    <w:bookmarkEnd w:id="89"/>
    <w:bookmarkStart w:id="90" w:name="funding"/>
    <w:p>
      <w:pPr>
        <w:pStyle w:val="berschrift2"/>
      </w:pPr>
      <w:r>
        <w:t xml:space="preserve">Funding</w:t>
      </w:r>
    </w:p>
    <w:p>
      <w:pPr>
        <w:pStyle w:val="FirstParagraph"/>
      </w:pPr>
      <w:r>
        <w:t xml:space="preserve">The preparation of this article was supported by the Veni grant VI.Veni.201G.003 awarded to Michèle Nuijten, and the Vici grant VI.C.221.100 awarded to Jelte M. Wicherts from the Dutch Research Council (NWO).</w:t>
      </w:r>
    </w:p>
    <w:p>
      <w:r>
        <w:br w:type="page"/>
      </w:r>
    </w:p>
    <w:bookmarkEnd w:id="90"/>
    <w:bookmarkEnd w:id="91"/>
    <w:bookmarkStart w:id="210" w:name="references"/>
    <w:p>
      <w:pPr>
        <w:pStyle w:val="berschrift1"/>
      </w:pPr>
      <w:r>
        <w:t xml:space="preserve">References</w:t>
      </w:r>
    </w:p>
    <w:bookmarkStart w:id="209" w:name="refs"/>
    <w:bookmarkStart w:id="92" w:name="X515c52e9cdd9530ef8e2ea6ff12ae693e0f4603"/>
    <w:p>
      <w:pPr>
        <w:pStyle w:val="Literaturverzeichnis"/>
      </w:pPr>
      <w:r>
        <w:t xml:space="preserve">American Educational Research Association, American Psychological Association, &amp; National Council on Measurement in Education. (2014).</w:t>
      </w:r>
      <w:r>
        <w:t xml:space="preserve"> </w:t>
      </w:r>
      <w:r>
        <w:rPr>
          <w:i/>
          <w:iCs/>
        </w:rPr>
        <w:t xml:space="preserve">Standards for educational and psychological testing</w:t>
      </w:r>
      <w:r>
        <w:t xml:space="preserve">. American Educational Research Association.</w:t>
      </w:r>
    </w:p>
    <w:bookmarkEnd w:id="92"/>
    <w:bookmarkStart w:id="93" w:name="ref-AmericanPsychologicalAssociation2020"/>
    <w:p>
      <w:pPr>
        <w:pStyle w:val="Literaturverzeichnis"/>
      </w:pPr>
      <w:r>
        <w:t xml:space="preserve">American Psychological Association. (2020).</w:t>
      </w:r>
      <w:r>
        <w:t xml:space="preserve"> </w:t>
      </w:r>
      <w:r>
        <w:rPr>
          <w:i/>
          <w:iCs/>
        </w:rPr>
        <w:t xml:space="preserve">Publication manual 7th edition of the american psychological association</w:t>
      </w:r>
      <w:r>
        <w:t xml:space="preserve"> </w:t>
      </w:r>
      <w:r>
        <w:t xml:space="preserve">(7th ed.). American Psychological Association.</w:t>
      </w:r>
    </w:p>
    <w:bookmarkEnd w:id="93"/>
    <w:bookmarkStart w:id="95" w:name="ref-anvariDefragmentingPsychology2025"/>
    <w:p>
      <w:pPr>
        <w:pStyle w:val="Literaturverzeichnis"/>
      </w:pPr>
      <w:r>
        <w:t xml:space="preserve">Anvari, F., Alsalti, T., Oehler, L. A., Hussey, I., Elson, M., &amp; Arslan, R. C. (2025). Defragmenting psychology.</w:t>
      </w:r>
      <w:r>
        <w:t xml:space="preserve"> </w:t>
      </w:r>
      <w:r>
        <w:rPr>
          <w:i/>
          <w:iCs/>
        </w:rPr>
        <w:t xml:space="preserve">Nature Human Behaviour</w:t>
      </w:r>
      <w:r>
        <w:t xml:space="preserve">,</w:t>
      </w:r>
      <w:r>
        <w:t xml:space="preserve"> </w:t>
      </w:r>
      <w:r>
        <w:rPr>
          <w:i/>
          <w:iCs/>
        </w:rPr>
        <w:t xml:space="preserve">9</w:t>
      </w:r>
      <w:r>
        <w:t xml:space="preserve">(5), 836–839.</w:t>
      </w:r>
      <w:r>
        <w:t xml:space="preserve"> </w:t>
      </w:r>
      <w:hyperlink r:id="rId94">
        <w:r>
          <w:rPr>
            <w:rStyle w:val="Hyperlink"/>
          </w:rPr>
          <w:t xml:space="preserve">https://doi.org/10.1038/s41562-025-02138-0</w:t>
        </w:r>
      </w:hyperlink>
    </w:p>
    <w:bookmarkEnd w:id="95"/>
    <w:bookmarkStart w:id="97" w:name="ref-anvariFragmentedFieldConstruct2025"/>
    <w:p>
      <w:pPr>
        <w:pStyle w:val="Literaturverzeichnis"/>
      </w:pPr>
      <w:r>
        <w:t xml:space="preserve">Anvari, F., Alsalti, T., Oehler, L., Marion, Z., Hussey, I., Elson, M., &amp; Arslan, R. (2025).</w:t>
      </w:r>
      <w:r>
        <w:t xml:space="preserve"> </w:t>
      </w:r>
      <w:r>
        <w:rPr>
          <w:i/>
          <w:iCs/>
        </w:rPr>
        <w:t xml:space="preserve">A fragmented field:</w:t>
      </w:r>
      <w:r>
        <w:rPr>
          <w:i/>
          <w:iCs/>
        </w:rPr>
        <w:t xml:space="preserve"> </w:t>
      </w:r>
      <w:r>
        <w:rPr>
          <w:i/>
          <w:iCs/>
        </w:rPr>
        <w:t xml:space="preserve">Construct</w:t>
      </w:r>
      <w:r>
        <w:rPr>
          <w:i/>
          <w:iCs/>
        </w:rPr>
        <w:t xml:space="preserve"> </w:t>
      </w:r>
      <w:r>
        <w:rPr>
          <w:i/>
          <w:iCs/>
        </w:rPr>
        <w:t xml:space="preserve">and measure proliferation in psychology</w:t>
      </w:r>
      <w:r>
        <w:t xml:space="preserve">. OSF.</w:t>
      </w:r>
      <w:r>
        <w:t xml:space="preserve"> </w:t>
      </w:r>
      <w:hyperlink r:id="rId96">
        <w:r>
          <w:rPr>
            <w:rStyle w:val="Hyperlink"/>
          </w:rPr>
          <w:t xml:space="preserve">https://doi.org/10.31234/osf.io/b4muj_v3</w:t>
        </w:r>
      </w:hyperlink>
    </w:p>
    <w:bookmarkEnd w:id="97"/>
    <w:bookmarkStart w:id="99" w:name="Xc8397351ac20c957efe88b63012de9033d7bb76"/>
    <w:p>
      <w:pPr>
        <w:pStyle w:val="Literaturverzeichnis"/>
      </w:pPr>
      <w:r>
        <w:t xml:space="preserve">Barry, A. E., Chaney, B., Piazza-Gardner, A. K., &amp; Chavarria, E. A. (2014). Validity and</w:t>
      </w:r>
      <w:r>
        <w:t xml:space="preserve"> </w:t>
      </w:r>
      <w:r>
        <w:t xml:space="preserve">Reliability Reporting Practices</w:t>
      </w:r>
      <w:r>
        <w:t xml:space="preserve"> </w:t>
      </w:r>
      <w:r>
        <w:t xml:space="preserve">in the</w:t>
      </w:r>
      <w:r>
        <w:t xml:space="preserve"> </w:t>
      </w:r>
      <w:r>
        <w:t xml:space="preserve">Field</w:t>
      </w:r>
      <w:r>
        <w:t xml:space="preserve"> </w:t>
      </w:r>
      <w:r>
        <w:t xml:space="preserve">of</w:t>
      </w:r>
      <w:r>
        <w:t xml:space="preserve"> </w:t>
      </w:r>
      <w:r>
        <w:t xml:space="preserve">Health Education</w:t>
      </w:r>
      <w:r>
        <w:t xml:space="preserve"> </w:t>
      </w:r>
      <w:r>
        <w:t xml:space="preserve">and</w:t>
      </w:r>
      <w:r>
        <w:t xml:space="preserve"> </w:t>
      </w:r>
      <w:r>
        <w:t xml:space="preserve">Behavior</w:t>
      </w:r>
      <w:r>
        <w:t xml:space="preserve">:</w:t>
      </w:r>
      <w:r>
        <w:t xml:space="preserve"> </w:t>
      </w:r>
      <w:r>
        <w:t xml:space="preserve">A Review</w:t>
      </w:r>
      <w:r>
        <w:t xml:space="preserve"> </w:t>
      </w:r>
      <w:r>
        <w:t xml:space="preserve">of</w:t>
      </w:r>
      <w:r>
        <w:t xml:space="preserve"> </w:t>
      </w:r>
      <w:r>
        <w:t xml:space="preserve">Seven Journals</w:t>
      </w:r>
      <w:r>
        <w:t xml:space="preserve">.</w:t>
      </w:r>
      <w:r>
        <w:t xml:space="preserve"> </w:t>
      </w:r>
      <w:r>
        <w:rPr>
          <w:i/>
          <w:iCs/>
        </w:rPr>
        <w:t xml:space="preserve">Health Education &amp; Behavior</w:t>
      </w:r>
      <w:r>
        <w:t xml:space="preserve">,</w:t>
      </w:r>
      <w:r>
        <w:t xml:space="preserve"> </w:t>
      </w:r>
      <w:r>
        <w:rPr>
          <w:i/>
          <w:iCs/>
        </w:rPr>
        <w:t xml:space="preserve">41</w:t>
      </w:r>
      <w:r>
        <w:t xml:space="preserve">(1), 12–18.</w:t>
      </w:r>
      <w:r>
        <w:t xml:space="preserve"> </w:t>
      </w:r>
      <w:hyperlink r:id="rId98">
        <w:r>
          <w:rPr>
            <w:rStyle w:val="Hyperlink"/>
          </w:rPr>
          <w:t xml:space="preserve">https://doi.org/10.1177/1090198113483139</w:t>
        </w:r>
      </w:hyperlink>
    </w:p>
    <w:bookmarkEnd w:id="99"/>
    <w:bookmarkStart w:id="101" w:name="ref-beckmanHowReliableAre2004"/>
    <w:p>
      <w:pPr>
        <w:pStyle w:val="Literaturverzeichnis"/>
      </w:pPr>
      <w:r>
        <w:t xml:space="preserve">Beckman, T. J., Ghosh, A. K., Cook, D. A., Erwin, P. J., &amp; Mandrekar, J. N. (2004). How reliable are assessments of clinical teaching?</w:t>
      </w:r>
      <w:r>
        <w:t xml:space="preserve"> </w:t>
      </w:r>
      <w:r>
        <w:t xml:space="preserve">A</w:t>
      </w:r>
      <w:r>
        <w:t xml:space="preserve"> </w:t>
      </w:r>
      <w:r>
        <w:t xml:space="preserve">review of the published instruments.</w:t>
      </w:r>
      <w:r>
        <w:t xml:space="preserve"> </w:t>
      </w:r>
      <w:r>
        <w:rPr>
          <w:i/>
          <w:iCs/>
        </w:rPr>
        <w:t xml:space="preserve">Journal of General Internal Medicine</w:t>
      </w:r>
      <w:r>
        <w:t xml:space="preserve">,</w:t>
      </w:r>
      <w:r>
        <w:t xml:space="preserve"> </w:t>
      </w:r>
      <w:r>
        <w:rPr>
          <w:i/>
          <w:iCs/>
        </w:rPr>
        <w:t xml:space="preserve">19</w:t>
      </w:r>
      <w:r>
        <w:t xml:space="preserve">(9), 971–977.</w:t>
      </w:r>
      <w:r>
        <w:t xml:space="preserve"> </w:t>
      </w:r>
      <w:hyperlink r:id="rId100">
        <w:r>
          <w:rPr>
            <w:rStyle w:val="Hyperlink"/>
          </w:rPr>
          <w:t xml:space="preserve">https://doi.org/10.1111/j.1525-1497.2004.40066.x</w:t>
        </w:r>
      </w:hyperlink>
    </w:p>
    <w:bookmarkEnd w:id="101"/>
    <w:bookmarkStart w:id="103" w:name="ref-borensteinAvoidingCommonMistakes2024"/>
    <w:p>
      <w:pPr>
        <w:pStyle w:val="Literaturverzeichnis"/>
      </w:pPr>
      <w:r>
        <w:t xml:space="preserve">Borenstein, M. (2024). Avoiding common mistakes in meta-analysis:</w:t>
      </w:r>
      <w:r>
        <w:t xml:space="preserve"> </w:t>
      </w:r>
      <w:r>
        <w:t xml:space="preserve">Understanding</w:t>
      </w:r>
      <w:r>
        <w:t xml:space="preserve"> </w:t>
      </w:r>
      <w:r>
        <w:t xml:space="preserve">the distinct roles of</w:t>
      </w:r>
      <w:r>
        <w:t xml:space="preserve"> </w:t>
      </w:r>
      <w:r>
        <w:t xml:space="preserve">Q</w:t>
      </w:r>
      <w:r>
        <w:t xml:space="preserve">,</w:t>
      </w:r>
      <w:r>
        <w:t xml:space="preserve"> </w:t>
      </w:r>
      <w:r>
        <w:t xml:space="preserve">I-squared</w:t>
      </w:r>
      <w:r>
        <w:t xml:space="preserve">, tau-squared, and the prediction interval in reporting heterogeneity.</w:t>
      </w:r>
      <w:r>
        <w:t xml:space="preserve"> </w:t>
      </w:r>
      <w:r>
        <w:rPr>
          <w:i/>
          <w:iCs/>
        </w:rPr>
        <w:t xml:space="preserve">Research Synthesis Methods</w:t>
      </w:r>
      <w:r>
        <w:t xml:space="preserve">,</w:t>
      </w:r>
      <w:r>
        <w:t xml:space="preserve"> </w:t>
      </w:r>
      <w:r>
        <w:rPr>
          <w:i/>
          <w:iCs/>
        </w:rPr>
        <w:t xml:space="preserve">15</w:t>
      </w:r>
      <w:r>
        <w:t xml:space="preserve">(2), 354–368.</w:t>
      </w:r>
      <w:r>
        <w:t xml:space="preserve"> </w:t>
      </w:r>
      <w:hyperlink r:id="rId102">
        <w:r>
          <w:rPr>
            <w:rStyle w:val="Hyperlink"/>
          </w:rPr>
          <w:t xml:space="preserve">https://doi.org/10.1002/jrsm.1678</w:t>
        </w:r>
      </w:hyperlink>
    </w:p>
    <w:bookmarkEnd w:id="103"/>
    <w:bookmarkStart w:id="104" w:name="Xa1b202bce78af32fee92832956492e0a7c1a208"/>
    <w:p>
      <w:pPr>
        <w:pStyle w:val="Literaturverzeichnis"/>
      </w:pPr>
      <w:r>
        <w:t xml:space="preserve">Botella, J., &amp; Suero, M. (2012). Managing</w:t>
      </w:r>
      <w:r>
        <w:t xml:space="preserve"> </w:t>
      </w:r>
      <w:r>
        <w:t xml:space="preserve">Heterogeneity</w:t>
      </w:r>
      <w:r>
        <w:t xml:space="preserve"> </w:t>
      </w:r>
      <w:r>
        <w:t xml:space="preserve">of</w:t>
      </w:r>
      <w:r>
        <w:t xml:space="preserve"> </w:t>
      </w:r>
      <w:r>
        <w:t xml:space="preserve">Variance</w:t>
      </w:r>
      <w:r>
        <w:t xml:space="preserve"> </w:t>
      </w:r>
      <w:r>
        <w:t xml:space="preserve">in</w:t>
      </w:r>
      <w:r>
        <w:t xml:space="preserve"> </w:t>
      </w:r>
      <w:r>
        <w:t xml:space="preserve">Studies</w:t>
      </w:r>
      <w:r>
        <w:t xml:space="preserve"> </w:t>
      </w:r>
      <w:r>
        <w:t xml:space="preserve">of</w:t>
      </w:r>
      <w:r>
        <w:t xml:space="preserve"> </w:t>
      </w:r>
      <w:r>
        <w:t xml:space="preserve">Reliability Generalization With Alpha Coefficients</w:t>
      </w:r>
      <w:r>
        <w:t xml:space="preserve">.</w:t>
      </w:r>
      <w:r>
        <w:t xml:space="preserve"> </w:t>
      </w:r>
      <w:r>
        <w:rPr>
          <w:i/>
          <w:iCs/>
        </w:rPr>
        <w:t xml:space="preserve">Methodology</w:t>
      </w:r>
      <w:r>
        <w:t xml:space="preserve">.</w:t>
      </w:r>
    </w:p>
    <w:bookmarkEnd w:id="104"/>
    <w:bookmarkStart w:id="106" w:name="ref-cheungDirectComparisonApproach2012"/>
    <w:p>
      <w:pPr>
        <w:pStyle w:val="Literaturverzeichnis"/>
      </w:pPr>
      <w:r>
        <w:t xml:space="preserve">Cheung, G. W., &amp; Lau, R. S. (2012). A</w:t>
      </w:r>
      <w:r>
        <w:t xml:space="preserve"> </w:t>
      </w:r>
      <w:r>
        <w:t xml:space="preserve">Direct Comparison Approach</w:t>
      </w:r>
      <w:r>
        <w:t xml:space="preserve"> </w:t>
      </w:r>
      <w:r>
        <w:t xml:space="preserve">for</w:t>
      </w:r>
      <w:r>
        <w:t xml:space="preserve"> </w:t>
      </w:r>
      <w:r>
        <w:t xml:space="preserve">Testing Measurement Invariance</w:t>
      </w:r>
      <w:r>
        <w:t xml:space="preserve">.</w:t>
      </w:r>
      <w:r>
        <w:t xml:space="preserve"> </w:t>
      </w:r>
      <w:r>
        <w:rPr>
          <w:i/>
          <w:iCs/>
        </w:rPr>
        <w:t xml:space="preserve">Organizational Research Methods</w:t>
      </w:r>
      <w:r>
        <w:t xml:space="preserve">,</w:t>
      </w:r>
      <w:r>
        <w:t xml:space="preserve"> </w:t>
      </w:r>
      <w:r>
        <w:rPr>
          <w:i/>
          <w:iCs/>
        </w:rPr>
        <w:t xml:space="preserve">15</w:t>
      </w:r>
      <w:r>
        <w:t xml:space="preserve">(2), 167–198.</w:t>
      </w:r>
      <w:r>
        <w:t xml:space="preserve"> </w:t>
      </w:r>
      <w:hyperlink r:id="rId105">
        <w:r>
          <w:rPr>
            <w:rStyle w:val="Hyperlink"/>
          </w:rPr>
          <w:t xml:space="preserve">https://doi.org/10.1177/1094428111421987</w:t>
        </w:r>
      </w:hyperlink>
    </w:p>
    <w:bookmarkEnd w:id="106"/>
    <w:bookmarkStart w:id="108" w:name="Xe164a29abfa864b85eee56d714229aa35a5dd09"/>
    <w:p>
      <w:pPr>
        <w:pStyle w:val="Literaturverzeichnis"/>
      </w:pPr>
      <w:r>
        <w:t xml:space="preserve">Cochran, W. G. (1954). The</w:t>
      </w:r>
      <w:r>
        <w:t xml:space="preserve"> </w:t>
      </w:r>
      <w:r>
        <w:t xml:space="preserve">Combination</w:t>
      </w:r>
      <w:r>
        <w:t xml:space="preserve"> </w:t>
      </w:r>
      <w:r>
        <w:t xml:space="preserve">of</w:t>
      </w:r>
      <w:r>
        <w:t xml:space="preserve"> </w:t>
      </w:r>
      <w:r>
        <w:t xml:space="preserve">Estimates</w:t>
      </w:r>
      <w:r>
        <w:t xml:space="preserve"> </w:t>
      </w:r>
      <w:r>
        <w:t xml:space="preserve">from</w:t>
      </w:r>
      <w:r>
        <w:t xml:space="preserve"> </w:t>
      </w:r>
      <w:r>
        <w:t xml:space="preserve">Different Experiments</w:t>
      </w:r>
      <w:r>
        <w:t xml:space="preserve">.</w:t>
      </w:r>
      <w:r>
        <w:t xml:space="preserve"> </w:t>
      </w:r>
      <w:r>
        <w:rPr>
          <w:i/>
          <w:iCs/>
        </w:rPr>
        <w:t xml:space="preserve">Biometrics</w:t>
      </w:r>
      <w:r>
        <w:t xml:space="preserve">,</w:t>
      </w:r>
      <w:r>
        <w:t xml:space="preserve"> </w:t>
      </w:r>
      <w:r>
        <w:rPr>
          <w:i/>
          <w:iCs/>
        </w:rPr>
        <w:t xml:space="preserve">10</w:t>
      </w:r>
      <w:r>
        <w:t xml:space="preserve">(1), 101–129.</w:t>
      </w:r>
      <w:r>
        <w:t xml:space="preserve"> </w:t>
      </w:r>
      <w:hyperlink r:id="rId107">
        <w:r>
          <w:rPr>
            <w:rStyle w:val="Hyperlink"/>
          </w:rPr>
          <w:t xml:space="preserve">https://doi.org/10.2307/3001666</w:t>
        </w:r>
      </w:hyperlink>
    </w:p>
    <w:bookmarkEnd w:id="108"/>
    <w:bookmarkStart w:id="110" w:name="ref-cortinaWhatCoefficientAlpha1993"/>
    <w:p>
      <w:pPr>
        <w:pStyle w:val="Literaturverzeichnis"/>
      </w:pPr>
      <w:r>
        <w:t xml:space="preserve">Cortina, J. M. (1993). What is coefficient alpha?</w:t>
      </w:r>
      <w:r>
        <w:t xml:space="preserve"> </w:t>
      </w:r>
      <w:r>
        <w:t xml:space="preserve">An</w:t>
      </w:r>
      <w:r>
        <w:t xml:space="preserve"> </w:t>
      </w:r>
      <w:r>
        <w:t xml:space="preserve">examination of theory and applications.</w:t>
      </w:r>
      <w:r>
        <w:t xml:space="preserve"> </w:t>
      </w:r>
      <w:r>
        <w:rPr>
          <w:i/>
          <w:iCs/>
        </w:rPr>
        <w:t xml:space="preserve">Journal of Applied Psychology</w:t>
      </w:r>
      <w:r>
        <w:t xml:space="preserve">,</w:t>
      </w:r>
      <w:r>
        <w:t xml:space="preserve"> </w:t>
      </w:r>
      <w:r>
        <w:rPr>
          <w:i/>
          <w:iCs/>
        </w:rPr>
        <w:t xml:space="preserve">78</w:t>
      </w:r>
      <w:r>
        <w:t xml:space="preserve">(1), 98–104.</w:t>
      </w:r>
      <w:r>
        <w:t xml:space="preserve"> </w:t>
      </w:r>
      <w:hyperlink r:id="rId109">
        <w:r>
          <w:rPr>
            <w:rStyle w:val="Hyperlink"/>
          </w:rPr>
          <w:t xml:space="preserve">https://doi.org/10.1037/0021-9010.78.1.98</w:t>
        </w:r>
      </w:hyperlink>
    </w:p>
    <w:bookmarkEnd w:id="110"/>
    <w:bookmarkStart w:id="112" w:name="Xf1d3dce1c3ac9669a88328b257b9dc0fc035c1a"/>
    <w:p>
      <w:pPr>
        <w:pStyle w:val="Literaturverzeichnis"/>
      </w:pPr>
      <w:r>
        <w:t xml:space="preserve">Cronbach, L. J., &amp; Meehl, P. E. (1955). Construct validity in psychological tests.</w:t>
      </w:r>
      <w:r>
        <w:t xml:space="preserve"> </w:t>
      </w:r>
      <w:r>
        <w:rPr>
          <w:i/>
          <w:iCs/>
        </w:rPr>
        <w:t xml:space="preserve">Psychological Bulletin</w:t>
      </w:r>
      <w:r>
        <w:t xml:space="preserve">,</w:t>
      </w:r>
      <w:r>
        <w:t xml:space="preserve"> </w:t>
      </w:r>
      <w:r>
        <w:rPr>
          <w:i/>
          <w:iCs/>
        </w:rPr>
        <w:t xml:space="preserve">52</w:t>
      </w:r>
      <w:r>
        <w:t xml:space="preserve">(4), 281–302.</w:t>
      </w:r>
      <w:r>
        <w:t xml:space="preserve"> </w:t>
      </w:r>
      <w:hyperlink r:id="rId111">
        <w:r>
          <w:rPr>
            <w:rStyle w:val="Hyperlink"/>
          </w:rPr>
          <w:t xml:space="preserve">https://doi.org/10.1037/h0040957</w:t>
        </w:r>
      </w:hyperlink>
    </w:p>
    <w:bookmarkEnd w:id="112"/>
    <w:bookmarkStart w:id="114" w:name="ref-crosbyWhereWeLook2008a"/>
    <w:p>
      <w:pPr>
        <w:pStyle w:val="Literaturverzeichnis"/>
      </w:pPr>
      <w:r>
        <w:t xml:space="preserve">Crosby, J. R., Monin, B., &amp; Richardson, D. (2008). Where</w:t>
      </w:r>
      <w:r>
        <w:t xml:space="preserve"> </w:t>
      </w:r>
      <w:r>
        <w:t xml:space="preserve">Do We Look During Potentially Offensive Behavior</w:t>
      </w:r>
      <w:r>
        <w:t xml:space="preserve">?</w:t>
      </w:r>
      <w:r>
        <w:t xml:space="preserve"> </w:t>
      </w:r>
      <w:r>
        <w:rPr>
          <w:i/>
          <w:iCs/>
        </w:rPr>
        <w:t xml:space="preserve">Psychological Science</w:t>
      </w:r>
      <w:r>
        <w:t xml:space="preserve">,</w:t>
      </w:r>
      <w:r>
        <w:t xml:space="preserve"> </w:t>
      </w:r>
      <w:r>
        <w:rPr>
          <w:i/>
          <w:iCs/>
        </w:rPr>
        <w:t xml:space="preserve">19</w:t>
      </w:r>
      <w:r>
        <w:t xml:space="preserve">(3), 226–228.</w:t>
      </w:r>
      <w:r>
        <w:t xml:space="preserve"> </w:t>
      </w:r>
      <w:hyperlink r:id="rId113">
        <w:r>
          <w:rPr>
            <w:rStyle w:val="Hyperlink"/>
          </w:rPr>
          <w:t xml:space="preserve">https://doi.org/10.1111/j.1467-9280.2008.02072.x</w:t>
        </w:r>
      </w:hyperlink>
    </w:p>
    <w:bookmarkEnd w:id="114"/>
    <w:bookmarkStart w:id="116" w:name="ref-crutzenScaleQualityAlpha2017b"/>
    <w:p>
      <w:pPr>
        <w:pStyle w:val="Literaturverzeichnis"/>
      </w:pPr>
      <w:r>
        <w:t xml:space="preserve">Crutzen, R., &amp; and Peters, G.-J. Y. (2017). Scale quality: Alpha is an inadequate estimate and factor-analytic evidence is needed first of all.</w:t>
      </w:r>
      <w:r>
        <w:t xml:space="preserve"> </w:t>
      </w:r>
      <w:r>
        <w:rPr>
          <w:i/>
          <w:iCs/>
        </w:rPr>
        <w:t xml:space="preserve">Health Psychology Review</w:t>
      </w:r>
      <w:r>
        <w:t xml:space="preserve">,</w:t>
      </w:r>
      <w:r>
        <w:t xml:space="preserve"> </w:t>
      </w:r>
      <w:r>
        <w:rPr>
          <w:i/>
          <w:iCs/>
        </w:rPr>
        <w:t xml:space="preserve">11</w:t>
      </w:r>
      <w:r>
        <w:t xml:space="preserve">(3), 242–247.</w:t>
      </w:r>
      <w:r>
        <w:t xml:space="preserve"> </w:t>
      </w:r>
      <w:hyperlink r:id="rId115">
        <w:r>
          <w:rPr>
            <w:rStyle w:val="Hyperlink"/>
          </w:rPr>
          <w:t xml:space="preserve">https://doi.org/10.1080/17437199.2015.1124240</w:t>
        </w:r>
      </w:hyperlink>
    </w:p>
    <w:bookmarkEnd w:id="116"/>
    <w:bookmarkStart w:id="118" w:name="X24db5d52e8552e410e741c68f1c850b51168e48"/>
    <w:p>
      <w:pPr>
        <w:pStyle w:val="Literaturverzeichnis"/>
      </w:pPr>
      <w:r>
        <w:t xml:space="preserve">De Fruyt, F., Van De Wiele, L., &amp; Van Heeringen, C. (2000). Cloninger’s</w:t>
      </w:r>
      <w:r>
        <w:t xml:space="preserve"> </w:t>
      </w:r>
      <w:r>
        <w:t xml:space="preserve">Psychobiological Model</w:t>
      </w:r>
      <w:r>
        <w:t xml:space="preserve"> </w:t>
      </w:r>
      <w:r>
        <w:t xml:space="preserve">of</w:t>
      </w:r>
      <w:r>
        <w:t xml:space="preserve"> </w:t>
      </w:r>
      <w:r>
        <w:t xml:space="preserve">Temperament</w:t>
      </w:r>
      <w:r>
        <w:t xml:space="preserve"> </w:t>
      </w:r>
      <w:r>
        <w:t xml:space="preserve">and</w:t>
      </w:r>
      <w:r>
        <w:t xml:space="preserve"> </w:t>
      </w:r>
      <w:r>
        <w:t xml:space="preserve">Character</w:t>
      </w:r>
      <w:r>
        <w:t xml:space="preserve"> </w:t>
      </w:r>
      <w:r>
        <w:t xml:space="preserve">and the</w:t>
      </w:r>
      <w:r>
        <w:t xml:space="preserve"> </w:t>
      </w:r>
      <w:r>
        <w:t xml:space="preserve">Five-Factor Model</w:t>
      </w:r>
      <w:r>
        <w:t xml:space="preserve"> </w:t>
      </w:r>
      <w:r>
        <w:t xml:space="preserve">of</w:t>
      </w:r>
      <w:r>
        <w:t xml:space="preserve"> </w:t>
      </w:r>
      <w:r>
        <w:t xml:space="preserve">Personality</w:t>
      </w:r>
      <w:r>
        <w:t xml:space="preserve">.</w:t>
      </w:r>
      <w:r>
        <w:t xml:space="preserve"> </w:t>
      </w:r>
      <w:r>
        <w:rPr>
          <w:i/>
          <w:iCs/>
        </w:rPr>
        <w:t xml:space="preserve">Personality and Individual Differences</w:t>
      </w:r>
      <w:r>
        <w:t xml:space="preserve">,</w:t>
      </w:r>
      <w:r>
        <w:t xml:space="preserve"> </w:t>
      </w:r>
      <w:r>
        <w:rPr>
          <w:i/>
          <w:iCs/>
        </w:rPr>
        <w:t xml:space="preserve">29</w:t>
      </w:r>
      <w:r>
        <w:t xml:space="preserve">(3), 441–452.</w:t>
      </w:r>
      <w:r>
        <w:t xml:space="preserve"> </w:t>
      </w:r>
      <w:hyperlink r:id="rId117">
        <w:r>
          <w:rPr>
            <w:rStyle w:val="Hyperlink"/>
          </w:rPr>
          <w:t xml:space="preserve">https://doi.org/10.1016/S0191-8869(99)00204-4</w:t>
        </w:r>
      </w:hyperlink>
    </w:p>
    <w:bookmarkEnd w:id="118"/>
    <w:bookmarkStart w:id="120" w:name="ref-dengTestingDifferenceReliability2017"/>
    <w:p>
      <w:pPr>
        <w:pStyle w:val="Literaturverzeichnis"/>
      </w:pPr>
      <w:r>
        <w:t xml:space="preserve">Deng, L., &amp; Chan, W. (2017). Testing the</w:t>
      </w:r>
      <w:r>
        <w:t xml:space="preserve"> </w:t>
      </w:r>
      <w:r>
        <w:t xml:space="preserve">Difference Between Reliability Coefficients Alpha</w:t>
      </w:r>
      <w:r>
        <w:t xml:space="preserve"> </w:t>
      </w:r>
      <w:r>
        <w:t xml:space="preserve">and</w:t>
      </w:r>
      <w:r>
        <w:t xml:space="preserve"> </w:t>
      </w:r>
      <w:r>
        <w:t xml:space="preserve">Omega</w:t>
      </w:r>
      <w:r>
        <w:t xml:space="preserve">.</w:t>
      </w:r>
      <w:r>
        <w:t xml:space="preserve"> </w:t>
      </w:r>
      <w:r>
        <w:rPr>
          <w:i/>
          <w:iCs/>
        </w:rPr>
        <w:t xml:space="preserve">Educational and Psychological Measurement</w:t>
      </w:r>
      <w:r>
        <w:t xml:space="preserve">,</w:t>
      </w:r>
      <w:r>
        <w:t xml:space="preserve"> </w:t>
      </w:r>
      <w:r>
        <w:rPr>
          <w:i/>
          <w:iCs/>
        </w:rPr>
        <w:t xml:space="preserve">77</w:t>
      </w:r>
      <w:r>
        <w:t xml:space="preserve">(2), 185–203.</w:t>
      </w:r>
      <w:r>
        <w:t xml:space="preserve"> </w:t>
      </w:r>
      <w:hyperlink r:id="rId119">
        <w:r>
          <w:rPr>
            <w:rStyle w:val="Hyperlink"/>
          </w:rPr>
          <w:t xml:space="preserve">https://doi.org/10.1177/0013164416658325</w:t>
        </w:r>
      </w:hyperlink>
    </w:p>
    <w:bookmarkEnd w:id="120"/>
    <w:bookmarkStart w:id="122" w:name="ref-duhachekAlphasStandardError2004a"/>
    <w:p>
      <w:pPr>
        <w:pStyle w:val="Literaturverzeichnis"/>
      </w:pPr>
      <w:r>
        <w:t xml:space="preserve">Duhachek, A., &amp; Lacobucci, D. (2004). Alpha’s standard error (</w:t>
      </w:r>
      <w:r>
        <w:t xml:space="preserve">ASE</w:t>
      </w:r>
      <w:r>
        <w:t xml:space="preserve">): An accurate and precise confidence interval estimate.</w:t>
      </w:r>
      <w:r>
        <w:t xml:space="preserve"> </w:t>
      </w:r>
      <w:r>
        <w:rPr>
          <w:i/>
          <w:iCs/>
        </w:rPr>
        <w:t xml:space="preserve">The Journal of Applied Psychology</w:t>
      </w:r>
      <w:r>
        <w:t xml:space="preserve">,</w:t>
      </w:r>
      <w:r>
        <w:t xml:space="preserve"> </w:t>
      </w:r>
      <w:r>
        <w:rPr>
          <w:i/>
          <w:iCs/>
        </w:rPr>
        <w:t xml:space="preserve">89</w:t>
      </w:r>
      <w:r>
        <w:t xml:space="preserve">(5), 792–808.</w:t>
      </w:r>
      <w:r>
        <w:t xml:space="preserve"> </w:t>
      </w:r>
      <w:hyperlink r:id="rId121">
        <w:r>
          <w:rPr>
            <w:rStyle w:val="Hyperlink"/>
          </w:rPr>
          <w:t xml:space="preserve">https://doi.org/10.1037/0021-9010.89.5.792</w:t>
        </w:r>
      </w:hyperlink>
    </w:p>
    <w:bookmarkEnd w:id="122"/>
    <w:bookmarkStart w:id="124" w:name="ref-ebersoleManyLabs32016"/>
    <w:p>
      <w:pPr>
        <w:pStyle w:val="Literaturverzeichnis"/>
      </w:pPr>
      <w:r>
        <w:t xml:space="preserve">Ebersole, C. R., Atherton, O. E., Belanger, A. L., Skulborstad, H. M., Allen, J. M., Banks, J. B., Baranski, E., Bernstein, M. J., Bonfiglio, D. B. V., Boucher, L., Brown, E. R., Budiman, N. I., Cairo, A. H., Capaldi, C. A., Chartier, C. R., Chung, J. M., Cicero, D. C., Coleman, J. A., Conway, J. G., … Nosek, B. A. (2016). Many</w:t>
      </w:r>
      <w:r>
        <w:t xml:space="preserve"> </w:t>
      </w:r>
      <w:r>
        <w:t xml:space="preserve">Labs</w:t>
      </w:r>
      <w:r>
        <w:t xml:space="preserve"> </w:t>
      </w:r>
      <w:r>
        <w:t xml:space="preserve">3:</w:t>
      </w:r>
      <w:r>
        <w:t xml:space="preserve"> </w:t>
      </w:r>
      <w:r>
        <w:t xml:space="preserve">Evaluating</w:t>
      </w:r>
      <w:r>
        <w:t xml:space="preserve"> </w:t>
      </w:r>
      <w:r>
        <w:t xml:space="preserve">participant pool quality across the academic semester via replication.</w:t>
      </w:r>
      <w:r>
        <w:t xml:space="preserve"> </w:t>
      </w:r>
      <w:r>
        <w:rPr>
          <w:i/>
          <w:iCs/>
        </w:rPr>
        <w:t xml:space="preserve">Journal of Experimental Social Psychology</w:t>
      </w:r>
      <w:r>
        <w:t xml:space="preserve">,</w:t>
      </w:r>
      <w:r>
        <w:t xml:space="preserve"> </w:t>
      </w:r>
      <w:r>
        <w:rPr>
          <w:i/>
          <w:iCs/>
        </w:rPr>
        <w:t xml:space="preserve">67</w:t>
      </w:r>
      <w:r>
        <w:t xml:space="preserve">, 68–82.</w:t>
      </w:r>
      <w:r>
        <w:t xml:space="preserve"> </w:t>
      </w:r>
      <w:hyperlink r:id="rId123">
        <w:r>
          <w:rPr>
            <w:rStyle w:val="Hyperlink"/>
          </w:rPr>
          <w:t xml:space="preserve">https://doi.org/10.1016/j.jesp.2015.10.012</w:t>
        </w:r>
      </w:hyperlink>
    </w:p>
    <w:bookmarkEnd w:id="124"/>
    <w:bookmarkStart w:id="126" w:name="ref-ebersoleManyLabs52020d"/>
    <w:p>
      <w:pPr>
        <w:pStyle w:val="Literaturverzeichnis"/>
      </w:pPr>
      <w:r>
        <w:t xml:space="preserve">Ebersole, C. R., Mathur, M. B., Baranski, E., Bart-Plange, D.-J., Buttrick, N. R., Chartier, C. R., Corker, K. S., Corley, M., Hartshorne, J. K., IJzerman, H., Lazarević, L. B., Rabagliati, H., Ropovik, I., Aczel, B., Aeschbach, L. F., Andrighetto, L., Arnal, J. D., Arrow, H., Babincak, P., … Nosek, B. A. (2020). Many</w:t>
      </w:r>
      <w:r>
        <w:t xml:space="preserve"> </w:t>
      </w:r>
      <w:r>
        <w:t xml:space="preserve">Labs</w:t>
      </w:r>
      <w:r>
        <w:t xml:space="preserve"> </w:t>
      </w:r>
      <w:r>
        <w:t xml:space="preserve">5:</w:t>
      </w:r>
      <w:r>
        <w:t xml:space="preserve"> </w:t>
      </w:r>
      <w:r>
        <w:t xml:space="preserve">Testing Pre-Data-Collection Peer Review</w:t>
      </w:r>
      <w:r>
        <w:t xml:space="preserve"> </w:t>
      </w:r>
      <w:r>
        <w:t xml:space="preserve">as an</w:t>
      </w:r>
      <w:r>
        <w:t xml:space="preserve"> </w:t>
      </w:r>
      <w:r>
        <w:t xml:space="preserve">Intervention</w:t>
      </w:r>
      <w:r>
        <w:t xml:space="preserve"> </w:t>
      </w:r>
      <w:r>
        <w:t xml:space="preserve">to</w:t>
      </w:r>
      <w:r>
        <w:t xml:space="preserve"> </w:t>
      </w:r>
      <w:r>
        <w:t xml:space="preserve">Increase Replicability</w:t>
      </w:r>
      <w:r>
        <w:t xml:space="preserve">.</w:t>
      </w:r>
      <w:r>
        <w:t xml:space="preserve"> </w:t>
      </w:r>
      <w:r>
        <w:rPr>
          <w:i/>
          <w:iCs/>
        </w:rPr>
        <w:t xml:space="preserve">Advances in Methods and Practices in Psychological Science</w:t>
      </w:r>
      <w:r>
        <w:t xml:space="preserve">,</w:t>
      </w:r>
      <w:r>
        <w:t xml:space="preserve"> </w:t>
      </w:r>
      <w:r>
        <w:rPr>
          <w:i/>
          <w:iCs/>
        </w:rPr>
        <w:t xml:space="preserve">3</w:t>
      </w:r>
      <w:r>
        <w:t xml:space="preserve">(3), 309–331.</w:t>
      </w:r>
      <w:r>
        <w:t xml:space="preserve"> </w:t>
      </w:r>
      <w:hyperlink r:id="rId125">
        <w:r>
          <w:rPr>
            <w:rStyle w:val="Hyperlink"/>
          </w:rPr>
          <w:t xml:space="preserve">https://doi.org/10.1177/2515245920958687</w:t>
        </w:r>
      </w:hyperlink>
    </w:p>
    <w:bookmarkEnd w:id="126"/>
    <w:bookmarkStart w:id="128" w:name="ref-elsonPsychologicalMeasuresArent2023"/>
    <w:p>
      <w:pPr>
        <w:pStyle w:val="Literaturverzeichnis"/>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 25.</w:t>
      </w:r>
      <w:r>
        <w:t xml:space="preserve"> </w:t>
      </w:r>
      <w:hyperlink r:id="rId127">
        <w:r>
          <w:rPr>
            <w:rStyle w:val="Hyperlink"/>
          </w:rPr>
          <w:t xml:space="preserve">https://doi.org/10.1038/s44271-023-00026-9</w:t>
        </w:r>
      </w:hyperlink>
    </w:p>
    <w:bookmarkEnd w:id="128"/>
    <w:bookmarkStart w:id="130" w:name="ref-flakeConstructValidityValidity2022"/>
    <w:p>
      <w:pPr>
        <w:pStyle w:val="Literaturverzeichnis"/>
      </w:pPr>
      <w:r>
        <w:t xml:space="preserve">Flake, J. K., Davidson, I. J., Wong, O., &amp; Pek, J. (2022). Construct validity and the validity of replication studies:</w:t>
      </w:r>
      <w:r>
        <w:t xml:space="preserve"> </w:t>
      </w:r>
      <w:r>
        <w:t xml:space="preserve">A</w:t>
      </w:r>
      <w:r>
        <w:t xml:space="preserve"> </w:t>
      </w:r>
      <w:r>
        <w:t xml:space="preserve">systematic review.</w:t>
      </w:r>
      <w:r>
        <w:t xml:space="preserve"> </w:t>
      </w:r>
      <w:r>
        <w:rPr>
          <w:i/>
          <w:iCs/>
        </w:rPr>
        <w:t xml:space="preserve">American Psychologist</w:t>
      </w:r>
      <w:r>
        <w:t xml:space="preserve">,</w:t>
      </w:r>
      <w:r>
        <w:t xml:space="preserve"> </w:t>
      </w:r>
      <w:r>
        <w:rPr>
          <w:i/>
          <w:iCs/>
        </w:rPr>
        <w:t xml:space="preserve">77</w:t>
      </w:r>
      <w:r>
        <w:t xml:space="preserve">(4), 576–588.</w:t>
      </w:r>
      <w:r>
        <w:t xml:space="preserve"> </w:t>
      </w:r>
      <w:hyperlink r:id="rId129">
        <w:r>
          <w:rPr>
            <w:rStyle w:val="Hyperlink"/>
          </w:rPr>
          <w:t xml:space="preserve">https://doi.org/10.1037/amp0001006</w:t>
        </w:r>
      </w:hyperlink>
    </w:p>
    <w:bookmarkEnd w:id="130"/>
    <w:bookmarkStart w:id="132" w:name="X6e1b0c4d53940a9b1cfb16850b9474671193656"/>
    <w:p>
      <w:pPr>
        <w:pStyle w:val="Literaturverzeichnis"/>
      </w:pPr>
      <w:r>
        <w:t xml:space="preserve">Flake, J. K., &amp; Fried, E. I. (2020). Measurement</w:t>
      </w:r>
      <w:r>
        <w:t xml:space="preserve"> </w:t>
      </w:r>
      <w:r>
        <w:t xml:space="preserve">Schmeasurement</w:t>
      </w:r>
      <w:r>
        <w:t xml:space="preserve">:</w:t>
      </w:r>
      <w:r>
        <w:t xml:space="preserve"> </w:t>
      </w:r>
      <w:r>
        <w:t xml:space="preserve">Questionable Measurement Practices</w:t>
      </w:r>
      <w:r>
        <w:t xml:space="preserve"> </w:t>
      </w:r>
      <w:r>
        <w:t xml:space="preserve">and</w:t>
      </w:r>
      <w:r>
        <w:t xml:space="preserve"> </w:t>
      </w:r>
      <w:r>
        <w:t xml:space="preserve">How</w:t>
      </w:r>
      <w:r>
        <w:t xml:space="preserve"> </w:t>
      </w:r>
      <w:r>
        <w:t xml:space="preserve">to</w:t>
      </w:r>
      <w:r>
        <w:t xml:space="preserve"> </w:t>
      </w:r>
      <w:r>
        <w:t xml:space="preserve">Avoid Them</w:t>
      </w:r>
      <w:r>
        <w:t xml:space="preserve">.</w:t>
      </w:r>
      <w:r>
        <w:t xml:space="preserve"> </w:t>
      </w:r>
      <w:r>
        <w:rPr>
          <w:i/>
          <w:iCs/>
        </w:rPr>
        <w:t xml:space="preserve">Advances in Methods and Practices in Psychological Science</w:t>
      </w:r>
      <w:r>
        <w:t xml:space="preserve">,</w:t>
      </w:r>
      <w:r>
        <w:t xml:space="preserve"> </w:t>
      </w:r>
      <w:r>
        <w:rPr>
          <w:i/>
          <w:iCs/>
        </w:rPr>
        <w:t xml:space="preserve">3</w:t>
      </w:r>
      <w:r>
        <w:t xml:space="preserve">(4), 456–465.</w:t>
      </w:r>
      <w:r>
        <w:t xml:space="preserve"> </w:t>
      </w:r>
      <w:hyperlink r:id="rId131">
        <w:r>
          <w:rPr>
            <w:rStyle w:val="Hyperlink"/>
          </w:rPr>
          <w:t xml:space="preserve">https://doi.org/10.1177/2515245920952393</w:t>
        </w:r>
      </w:hyperlink>
    </w:p>
    <w:bookmarkEnd w:id="132"/>
    <w:bookmarkStart w:id="134" w:name="ref-flakeConstructValidationSocial2017"/>
    <w:p>
      <w:pPr>
        <w:pStyle w:val="Literaturverzeichnis"/>
      </w:pPr>
      <w:r>
        <w:t xml:space="preserve">Flake, J. K., Pek, J., &amp; Hehman, E. (2017). Construct</w:t>
      </w:r>
      <w:r>
        <w:t xml:space="preserve"> </w:t>
      </w:r>
      <w:r>
        <w:t xml:space="preserve">Validation</w:t>
      </w:r>
      <w:r>
        <w:t xml:space="preserve"> </w:t>
      </w:r>
      <w:r>
        <w:t xml:space="preserve">in</w:t>
      </w:r>
      <w:r>
        <w:t xml:space="preserve"> </w:t>
      </w:r>
      <w:r>
        <w:t xml:space="preserve">Social</w:t>
      </w:r>
      <w:r>
        <w:t xml:space="preserve"> </w:t>
      </w:r>
      <w:r>
        <w:t xml:space="preserve">and</w:t>
      </w:r>
      <w:r>
        <w:t xml:space="preserve"> </w:t>
      </w:r>
      <w:r>
        <w:t xml:space="preserve">Personality Research</w:t>
      </w:r>
      <w:r>
        <w:t xml:space="preserve">:</w:t>
      </w:r>
      <w:r>
        <w:t xml:space="preserve"> </w:t>
      </w:r>
      <w:r>
        <w:t xml:space="preserve">Current Practice</w:t>
      </w:r>
      <w:r>
        <w:t xml:space="preserve"> </w:t>
      </w:r>
      <w:r>
        <w:t xml:space="preserve">and</w:t>
      </w:r>
      <w:r>
        <w:t xml:space="preserve"> </w:t>
      </w:r>
      <w:r>
        <w:t xml:space="preserve">Recommendations</w:t>
      </w:r>
      <w:r>
        <w:t xml:space="preserve">.</w:t>
      </w:r>
      <w:r>
        <w:t xml:space="preserve"> </w:t>
      </w:r>
      <w:r>
        <w:rPr>
          <w:i/>
          <w:iCs/>
        </w:rPr>
        <w:t xml:space="preserve">Social Psychological and Personality Science</w:t>
      </w:r>
      <w:r>
        <w:t xml:space="preserve">,</w:t>
      </w:r>
      <w:r>
        <w:t xml:space="preserve"> </w:t>
      </w:r>
      <w:r>
        <w:rPr>
          <w:i/>
          <w:iCs/>
        </w:rPr>
        <w:t xml:space="preserve">8</w:t>
      </w:r>
      <w:r>
        <w:t xml:space="preserve">(4), 370–378.</w:t>
      </w:r>
      <w:r>
        <w:t xml:space="preserve"> </w:t>
      </w:r>
      <w:hyperlink r:id="rId133">
        <w:r>
          <w:rPr>
            <w:rStyle w:val="Hyperlink"/>
          </w:rPr>
          <w:t xml:space="preserve">https://doi.org/10.1177/1948550617693063</w:t>
        </w:r>
      </w:hyperlink>
    </w:p>
    <w:bookmarkEnd w:id="134"/>
    <w:bookmarkStart w:id="136" w:name="X7b61c9726c8cb1a3f2243e1506f5833c8037312"/>
    <w:p>
      <w:pPr>
        <w:pStyle w:val="Literaturverzeichnis"/>
      </w:pPr>
      <w:r>
        <w:t xml:space="preserve">French, B. F., Finch, W. H., Randel, B., Hand, B., &amp; Gotch, C. M. (2016). Measurement invariance techniques to enhance measurement sensitivity.</w:t>
      </w:r>
      <w:r>
        <w:t xml:space="preserve"> </w:t>
      </w:r>
      <w:r>
        <w:rPr>
          <w:i/>
          <w:iCs/>
        </w:rPr>
        <w:t xml:space="preserve">International Journal of Quantitative Research in Education</w:t>
      </w:r>
      <w:r>
        <w:t xml:space="preserve">,</w:t>
      </w:r>
      <w:r>
        <w:t xml:space="preserve"> </w:t>
      </w:r>
      <w:r>
        <w:rPr>
          <w:i/>
          <w:iCs/>
        </w:rPr>
        <w:t xml:space="preserve">3</w:t>
      </w:r>
      <w:r>
        <w:t xml:space="preserve">(1-2), 79–93.</w:t>
      </w:r>
      <w:r>
        <w:t xml:space="preserve"> </w:t>
      </w:r>
      <w:hyperlink r:id="rId135">
        <w:r>
          <w:rPr>
            <w:rStyle w:val="Hyperlink"/>
          </w:rPr>
          <w:t xml:space="preserve">https://doi.org/10.1504/IJQRE.2016.073672</w:t>
        </w:r>
      </w:hyperlink>
    </w:p>
    <w:bookmarkEnd w:id="136"/>
    <w:bookmarkStart w:id="138" w:name="ref-gardinerEditorialMethodsPapers2019"/>
    <w:p>
      <w:pPr>
        <w:pStyle w:val="Literaturverzeichnis"/>
      </w:pPr>
      <w:r>
        <w:t xml:space="preserve">Gardiner, E. (2019). Editorial:</w:t>
      </w:r>
      <w:r>
        <w:t xml:space="preserve"> </w:t>
      </w:r>
      <w:r>
        <w:t xml:space="preserve">Methods</w:t>
      </w:r>
      <w:r>
        <w:t xml:space="preserve"> </w:t>
      </w:r>
      <w:r>
        <w:t xml:space="preserve">papers.</w:t>
      </w:r>
      <w:r>
        <w:t xml:space="preserve"> </w:t>
      </w:r>
      <w:r>
        <w:rPr>
          <w:i/>
          <w:iCs/>
        </w:rPr>
        <w:t xml:space="preserve">Platelets</w:t>
      </w:r>
      <w:r>
        <w:t xml:space="preserve">,</w:t>
      </w:r>
      <w:r>
        <w:t xml:space="preserve"> </w:t>
      </w:r>
      <w:r>
        <w:rPr>
          <w:i/>
          <w:iCs/>
        </w:rPr>
        <w:t xml:space="preserve">30</w:t>
      </w:r>
      <w:r>
        <w:t xml:space="preserve">(1), 2–2.</w:t>
      </w:r>
      <w:r>
        <w:t xml:space="preserve"> </w:t>
      </w:r>
      <w:hyperlink r:id="rId137">
        <w:r>
          <w:rPr>
            <w:rStyle w:val="Hyperlink"/>
          </w:rPr>
          <w:t xml:space="preserve">https://doi.org/10.1080/09537104.2018.1529865</w:t>
        </w:r>
      </w:hyperlink>
    </w:p>
    <w:bookmarkEnd w:id="138"/>
    <w:bookmarkStart w:id="140" w:name="ref-gorsuchFactorAnalysis2013"/>
    <w:p>
      <w:pPr>
        <w:pStyle w:val="Literaturverzeichnis"/>
      </w:pPr>
      <w:r>
        <w:t xml:space="preserve">Gorsuch, R. L. (2013).</w:t>
      </w:r>
      <w:r>
        <w:t xml:space="preserve"> </w:t>
      </w:r>
      <w:r>
        <w:rPr>
          <w:i/>
          <w:iCs/>
        </w:rPr>
        <w:t xml:space="preserve">Factor</w:t>
      </w:r>
      <w:r>
        <w:rPr>
          <w:i/>
          <w:iCs/>
        </w:rPr>
        <w:t xml:space="preserve"> </w:t>
      </w:r>
      <w:r>
        <w:rPr>
          <w:i/>
          <w:iCs/>
        </w:rPr>
        <w:t xml:space="preserve">Analysis</w:t>
      </w:r>
      <w:r>
        <w:t xml:space="preserve"> </w:t>
      </w:r>
      <w:r>
        <w:t xml:space="preserve">(2nd ed.). Psychology Press.</w:t>
      </w:r>
      <w:r>
        <w:t xml:space="preserve"> </w:t>
      </w:r>
      <w:hyperlink r:id="rId139">
        <w:r>
          <w:rPr>
            <w:rStyle w:val="Hyperlink"/>
          </w:rPr>
          <w:t xml:space="preserve">https://doi.org/10.4324/9780203781098</w:t>
        </w:r>
      </w:hyperlink>
    </w:p>
    <w:bookmarkEnd w:id="140"/>
    <w:bookmarkStart w:id="142" w:name="Xed9259c0fea5fc6f37842e93af341f83fe88660"/>
    <w:p>
      <w:pPr>
        <w:pStyle w:val="Literaturverzeichnis"/>
      </w:pPr>
      <w:r>
        <w:t xml:space="preserve">Hamilton, D. G., Hong, K., Fraser, H., Rowhani-Farid, A., Fidler, F., &amp; Page, M. J. (2023). Prevalence and predictors of data and code sharing in the medical and health sciences: Systematic review with meta-analysis of individual participant data.</w:t>
      </w:r>
      <w:r>
        <w:t xml:space="preserve"> </w:t>
      </w:r>
      <w:r>
        <w:rPr>
          <w:i/>
          <w:iCs/>
        </w:rPr>
        <w:t xml:space="preserve">BMJ</w:t>
      </w:r>
      <w:r>
        <w:t xml:space="preserve">,</w:t>
      </w:r>
      <w:r>
        <w:t xml:space="preserve"> </w:t>
      </w:r>
      <w:r>
        <w:rPr>
          <w:i/>
          <w:iCs/>
        </w:rPr>
        <w:t xml:space="preserve">382</w:t>
      </w:r>
      <w:r>
        <w:t xml:space="preserve">, e075767.</w:t>
      </w:r>
      <w:r>
        <w:t xml:space="preserve"> </w:t>
      </w:r>
      <w:hyperlink r:id="rId141">
        <w:r>
          <w:rPr>
            <w:rStyle w:val="Hyperlink"/>
          </w:rPr>
          <w:t xml:space="preserve">https://doi.org/10.1136/bmj-2023-075767</w:t>
        </w:r>
      </w:hyperlink>
    </w:p>
    <w:bookmarkEnd w:id="142"/>
    <w:bookmarkStart w:id="144" w:name="X5a6066b6c5cb74466742fb5392ea3f4fe8b8364"/>
    <w:p>
      <w:pPr>
        <w:pStyle w:val="Literaturverzeichnis"/>
      </w:pPr>
      <w:r>
        <w:t xml:space="preserve">Hardwicke, T. E., Thibault, R. T., Kosie, J. E., Wallach, J. D., Kidwell, M. C., &amp; Ioannidis, J. P. A. (2022). Estimating the</w:t>
      </w:r>
      <w:r>
        <w:t xml:space="preserve"> </w:t>
      </w:r>
      <w:r>
        <w:t xml:space="preserve">Prevalence</w:t>
      </w:r>
      <w:r>
        <w:t xml:space="preserve"> </w:t>
      </w:r>
      <w:r>
        <w:t xml:space="preserve">of</w:t>
      </w:r>
      <w:r>
        <w:t xml:space="preserve"> </w:t>
      </w:r>
      <w:r>
        <w:t xml:space="preserve">Transparency</w:t>
      </w:r>
      <w:r>
        <w:t xml:space="preserve"> </w:t>
      </w:r>
      <w:r>
        <w:t xml:space="preserve">and</w:t>
      </w:r>
      <w:r>
        <w:t xml:space="preserve"> </w:t>
      </w:r>
      <w:r>
        <w:t xml:space="preserve">Reproducibility-Related Research Practices</w:t>
      </w:r>
      <w:r>
        <w:t xml:space="preserve"> </w:t>
      </w:r>
      <w:r>
        <w:t xml:space="preserve">in</w:t>
      </w:r>
      <w:r>
        <w:t xml:space="preserve"> </w:t>
      </w:r>
      <w:r>
        <w:t xml:space="preserve">Psychology</w:t>
      </w:r>
      <w:r>
        <w:t xml:space="preserve"> </w:t>
      </w:r>
      <w:r>
        <w:t xml:space="preserve">(2014–2017).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143">
        <w:r>
          <w:rPr>
            <w:rStyle w:val="Hyperlink"/>
          </w:rPr>
          <w:t xml:space="preserve">https://doi.org/10.1177/1745691620979806</w:t>
        </w:r>
      </w:hyperlink>
    </w:p>
    <w:bookmarkEnd w:id="144"/>
    <w:bookmarkStart w:id="146" w:name="Xe7cdfea392aa8da8921429af3e55a002ef7d1e4"/>
    <w:p>
      <w:pPr>
        <w:pStyle w:val="Literaturverzeichnis"/>
      </w:pPr>
      <w:r>
        <w:t xml:space="preserve">Hoaglin, D. C. (2016). Misunderstandings about</w:t>
      </w:r>
      <w:r>
        <w:t xml:space="preserve"> </w:t>
      </w:r>
      <w:r>
        <w:t xml:space="preserve">Q</w:t>
      </w:r>
      <w:r>
        <w:t xml:space="preserve"> </w:t>
      </w:r>
      <w:r>
        <w:t xml:space="preserve">and</w:t>
      </w:r>
      <w:r>
        <w:t xml:space="preserve"> </w:t>
      </w:r>
      <w:r>
        <w:t xml:space="preserve">“</w:t>
      </w:r>
      <w:r>
        <w:t xml:space="preserve">Cochran</w:t>
      </w:r>
      <w:r>
        <w:t xml:space="preserve">’s</w:t>
      </w:r>
      <w:r>
        <w:t xml:space="preserve"> </w:t>
      </w:r>
      <w:r>
        <w:t xml:space="preserve">Q</w:t>
      </w:r>
      <w:r>
        <w:t xml:space="preserve"> </w:t>
      </w:r>
      <w:r>
        <w:t xml:space="preserve">test”</w:t>
      </w:r>
      <w:r>
        <w:t xml:space="preserve"> </w:t>
      </w:r>
      <w:r>
        <w:t xml:space="preserve">in meta-analysis.</w:t>
      </w:r>
      <w:r>
        <w:t xml:space="preserve"> </w:t>
      </w:r>
      <w:r>
        <w:rPr>
          <w:i/>
          <w:iCs/>
        </w:rPr>
        <w:t xml:space="preserve">Statistics in Medicine</w:t>
      </w:r>
      <w:r>
        <w:t xml:space="preserve">,</w:t>
      </w:r>
      <w:r>
        <w:t xml:space="preserve"> </w:t>
      </w:r>
      <w:r>
        <w:rPr>
          <w:i/>
          <w:iCs/>
        </w:rPr>
        <w:t xml:space="preserve">35</w:t>
      </w:r>
      <w:r>
        <w:t xml:space="preserve">(4), 485–495.</w:t>
      </w:r>
      <w:r>
        <w:t xml:space="preserve"> </w:t>
      </w:r>
      <w:hyperlink r:id="rId145">
        <w:r>
          <w:rPr>
            <w:rStyle w:val="Hyperlink"/>
          </w:rPr>
          <w:t xml:space="preserve">https://doi.org/10.1002/sim.6632</w:t>
        </w:r>
      </w:hyperlink>
    </w:p>
    <w:bookmarkEnd w:id="146"/>
    <w:bookmarkStart w:id="148" w:name="ref-hoganEmpiricalStudyReporting2004"/>
    <w:p>
      <w:pPr>
        <w:pStyle w:val="Literaturverzeichnis"/>
      </w:pPr>
      <w:r>
        <w:t xml:space="preserve">Hogan, T. P., &amp; Agnello, J. (2004). An</w:t>
      </w:r>
      <w:r>
        <w:t xml:space="preserve"> </w:t>
      </w:r>
      <w:r>
        <w:t xml:space="preserve">Empirical Study</w:t>
      </w:r>
      <w:r>
        <w:t xml:space="preserve"> </w:t>
      </w:r>
      <w:r>
        <w:t xml:space="preserve">of</w:t>
      </w:r>
      <w:r>
        <w:t xml:space="preserve"> </w:t>
      </w:r>
      <w:r>
        <w:t xml:space="preserve">Reporting Practices Concerning Measurement Validity</w:t>
      </w:r>
      <w:r>
        <w:t xml:space="preserve">.</w:t>
      </w:r>
      <w:r>
        <w:t xml:space="preserve"> </w:t>
      </w:r>
      <w:r>
        <w:rPr>
          <w:i/>
          <w:iCs/>
        </w:rPr>
        <w:t xml:space="preserve">Educational and Psychological Measurement</w:t>
      </w:r>
      <w:r>
        <w:t xml:space="preserve">,</w:t>
      </w:r>
      <w:r>
        <w:t xml:space="preserve"> </w:t>
      </w:r>
      <w:r>
        <w:rPr>
          <w:i/>
          <w:iCs/>
        </w:rPr>
        <w:t xml:space="preserve">64</w:t>
      </w:r>
      <w:r>
        <w:t xml:space="preserve">(5), 802–812.</w:t>
      </w:r>
      <w:r>
        <w:t xml:space="preserve"> </w:t>
      </w:r>
      <w:hyperlink r:id="rId147">
        <w:r>
          <w:rPr>
            <w:rStyle w:val="Hyperlink"/>
          </w:rPr>
          <w:t xml:space="preserve">https://doi.org/10.1177/0013164404264120</w:t>
        </w:r>
      </w:hyperlink>
    </w:p>
    <w:bookmarkEnd w:id="148"/>
    <w:bookmarkStart w:id="150" w:name="ref-hornPracticalTheoreticalGuide1992"/>
    <w:p>
      <w:pPr>
        <w:pStyle w:val="Literaturverzeichnis"/>
      </w:pPr>
      <w:r>
        <w:t xml:space="preserve">Horn, J. L., &amp; Mcardle, J. J. (1992). A practical and theoretical guide to measurement invariance in aging research.</w:t>
      </w:r>
      <w:r>
        <w:t xml:space="preserve"> </w:t>
      </w:r>
      <w:r>
        <w:rPr>
          <w:i/>
          <w:iCs/>
        </w:rPr>
        <w:t xml:space="preserve">Experimental Aging Research</w:t>
      </w:r>
      <w:r>
        <w:t xml:space="preserve">,</w:t>
      </w:r>
      <w:r>
        <w:t xml:space="preserve"> </w:t>
      </w:r>
      <w:r>
        <w:rPr>
          <w:i/>
          <w:iCs/>
        </w:rPr>
        <w:t xml:space="preserve">18</w:t>
      </w:r>
      <w:r>
        <w:t xml:space="preserve">(3), 117–144.</w:t>
      </w:r>
      <w:r>
        <w:t xml:space="preserve"> </w:t>
      </w:r>
      <w:hyperlink r:id="rId149">
        <w:r>
          <w:rPr>
            <w:rStyle w:val="Hyperlink"/>
          </w:rPr>
          <w:t xml:space="preserve">https://doi.org/10.1080/03610739208253916</w:t>
        </w:r>
      </w:hyperlink>
    </w:p>
    <w:bookmarkEnd w:id="150"/>
    <w:bookmarkStart w:id="152" w:name="ref-husseyAberrantAbundanceCronbachs2023"/>
    <w:p>
      <w:pPr>
        <w:pStyle w:val="Literaturverzeichnis"/>
      </w:pPr>
      <w:r>
        <w:t xml:space="preserve">Hussey, I., Alsalti, T., Bosco, F., Elson, M., &amp; Arslan, R. (2023).</w:t>
      </w:r>
      <w:r>
        <w:t xml:space="preserve"> </w:t>
      </w:r>
      <w:r>
        <w:rPr>
          <w:i/>
          <w:iCs/>
        </w:rPr>
        <w:t xml:space="preserve">An aberrant abundance of</w:t>
      </w:r>
      <w:r>
        <w:rPr>
          <w:i/>
          <w:iCs/>
        </w:rPr>
        <w:t xml:space="preserve"> </w:t>
      </w:r>
      <w:r>
        <w:rPr>
          <w:i/>
          <w:iCs/>
        </w:rPr>
        <w:t xml:space="preserve">Cronbach</w:t>
      </w:r>
      <w:r>
        <w:rPr>
          <w:i/>
          <w:iCs/>
        </w:rPr>
        <w:t xml:space="preserve">’s alpha values at .70</w:t>
      </w:r>
      <w:r>
        <w:t xml:space="preserve">. OSF.</w:t>
      </w:r>
      <w:r>
        <w:t xml:space="preserve"> </w:t>
      </w:r>
      <w:hyperlink r:id="rId151">
        <w:r>
          <w:rPr>
            <w:rStyle w:val="Hyperlink"/>
          </w:rPr>
          <w:t xml:space="preserve">https://doi.org/10.31234/osf.io/dm8xn</w:t>
        </w:r>
      </w:hyperlink>
    </w:p>
    <w:bookmarkEnd w:id="152"/>
    <w:bookmarkStart w:id="154" w:name="X7d243a5655c707fc3a0987c0958084eb2961c02"/>
    <w:p>
      <w:pPr>
        <w:pStyle w:val="Literaturverzeichnis"/>
      </w:pPr>
      <w:r>
        <w:t xml:space="preserve">John, L. K., Loewenstein, G., &amp; Prelec, D. (2012). 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153">
        <w:r>
          <w:rPr>
            <w:rStyle w:val="Hyperlink"/>
          </w:rPr>
          <w:t xml:space="preserve">https://doi.org/10.1177/0956797611430953</w:t>
        </w:r>
      </w:hyperlink>
    </w:p>
    <w:bookmarkEnd w:id="154"/>
    <w:bookmarkStart w:id="156" w:name="ref-kennyPerformanceRMSEAModels2015"/>
    <w:p>
      <w:pPr>
        <w:pStyle w:val="Literaturverzeichnis"/>
      </w:pPr>
      <w:r>
        <w:t xml:space="preserve">Kenny, D. A., Kaniskan, B., &amp; McCoach, D. B. (2015). The performance of</w:t>
      </w:r>
      <w:r>
        <w:t xml:space="preserve"> </w:t>
      </w:r>
      <w:r>
        <w:t xml:space="preserve">RMSEA</w:t>
      </w:r>
      <w:r>
        <w:t xml:space="preserve"> </w:t>
      </w:r>
      <w:r>
        <w:t xml:space="preserve">in models with small degrees of freedom.</w:t>
      </w:r>
      <w:r>
        <w:t xml:space="preserve"> </w:t>
      </w:r>
      <w:r>
        <w:rPr>
          <w:i/>
          <w:iCs/>
        </w:rPr>
        <w:t xml:space="preserve">Sociological Methods &amp; Research</w:t>
      </w:r>
      <w:r>
        <w:t xml:space="preserve">,</w:t>
      </w:r>
      <w:r>
        <w:t xml:space="preserve"> </w:t>
      </w:r>
      <w:r>
        <w:rPr>
          <w:i/>
          <w:iCs/>
        </w:rPr>
        <w:t xml:space="preserve">44</w:t>
      </w:r>
      <w:r>
        <w:t xml:space="preserve">(3), 486–507.</w:t>
      </w:r>
      <w:r>
        <w:t xml:space="preserve"> </w:t>
      </w:r>
      <w:hyperlink r:id="rId155">
        <w:r>
          <w:rPr>
            <w:rStyle w:val="Hyperlink"/>
          </w:rPr>
          <w:t xml:space="preserve">https://doi.org/10.1177/0049124114543236</w:t>
        </w:r>
      </w:hyperlink>
    </w:p>
    <w:bookmarkEnd w:id="156"/>
    <w:bookmarkStart w:id="158" w:name="ref-kleinManyLabs42022"/>
    <w:p>
      <w:pPr>
        <w:pStyle w:val="Literaturverzeichnis"/>
      </w:pPr>
      <w:r>
        <w:t xml:space="preserve">Klein, R. A., Cook, C. L., Ebersole, C. R., Vitiello, C., Nosek, B. A., Hilgard, J., Ahn, P. H., Brady, A. J., Chartier, C. R., Christopherson, C. D., Clay, S., Collisson, B., Crawford, J. T., Cromar, R., Gardiner, G., Gosnell, C. L., Grahe, J., Hall, C., Howard, I., … Ratliff, K. A. (2022). Many</w:t>
      </w:r>
      <w:r>
        <w:t xml:space="preserve"> </w:t>
      </w:r>
      <w:r>
        <w:t xml:space="preserve">Labs</w:t>
      </w:r>
      <w:r>
        <w:t xml:space="preserve"> </w:t>
      </w:r>
      <w:r>
        <w:t xml:space="preserve">4:</w:t>
      </w:r>
      <w:r>
        <w:t xml:space="preserve"> </w:t>
      </w:r>
      <w:r>
        <w:t xml:space="preserve">Failure</w:t>
      </w:r>
      <w:r>
        <w:t xml:space="preserve"> </w:t>
      </w:r>
      <w:r>
        <w:t xml:space="preserve">to</w:t>
      </w:r>
      <w:r>
        <w:t xml:space="preserve"> </w:t>
      </w:r>
      <w:r>
        <w:t xml:space="preserve">Replicate Mortality Salience Effect With</w:t>
      </w:r>
      <w:r>
        <w:t xml:space="preserve"> </w:t>
      </w:r>
      <w:r>
        <w:t xml:space="preserve">and</w:t>
      </w:r>
      <w:r>
        <w:t xml:space="preserve"> </w:t>
      </w:r>
      <w:r>
        <w:t xml:space="preserve">Without Original Author Involvement</w:t>
      </w:r>
      <w:r>
        <w:t xml:space="preserve">.</w:t>
      </w:r>
      <w:r>
        <w:t xml:space="preserve"> </w:t>
      </w:r>
      <w:r>
        <w:rPr>
          <w:i/>
          <w:iCs/>
        </w:rPr>
        <w:t xml:space="preserve">Collabra: Psychology</w:t>
      </w:r>
      <w:r>
        <w:t xml:space="preserve">,</w:t>
      </w:r>
      <w:r>
        <w:t xml:space="preserve"> </w:t>
      </w:r>
      <w:r>
        <w:rPr>
          <w:i/>
          <w:iCs/>
        </w:rPr>
        <w:t xml:space="preserve">8</w:t>
      </w:r>
      <w:r>
        <w:t xml:space="preserve">(1), 35271.</w:t>
      </w:r>
      <w:r>
        <w:t xml:space="preserve"> </w:t>
      </w:r>
      <w:hyperlink r:id="rId157">
        <w:r>
          <w:rPr>
            <w:rStyle w:val="Hyperlink"/>
          </w:rPr>
          <w:t xml:space="preserve">https://doi.org/10.1525/collabra.35271</w:t>
        </w:r>
      </w:hyperlink>
    </w:p>
    <w:bookmarkEnd w:id="158"/>
    <w:bookmarkStart w:id="160" w:name="Xded048c1333e17749deefced92ebd4475deaf5d"/>
    <w:p>
      <w:pPr>
        <w:pStyle w:val="Literaturverzeichnis"/>
      </w:pPr>
      <w:r>
        <w:t xml:space="preserve">Klein, R. A., Ratliff, K. A., Vianello, M., Adams Jr., R. B., Bahník, Š., Bernstein, M. J., Bocian, K., Brandt, M. J., Brooks, B., Brumbaugh, C. C., Cemalcilar, Z., Chandler, J., Cheong, W., Davis, W. E., Devos, T., Eisner, M., Frankowska, N., Furrow, D., Galliani, E. M., … Nosek, B. A. (2014). Investigating variation in replicability:</w:t>
      </w:r>
      <w:r>
        <w:t xml:space="preserve"> </w:t>
      </w:r>
      <w:r>
        <w:t xml:space="preserve">A</w:t>
      </w:r>
      <w:r>
        <w:t xml:space="preserve"> </w:t>
      </w:r>
      <w:r>
        <w:t xml:space="preserve">“many labs”</w:t>
      </w:r>
      <w:r>
        <w:t xml:space="preserve"> </w:t>
      </w:r>
      <w:r>
        <w:t xml:space="preserve">replication project.</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159">
        <w:r>
          <w:rPr>
            <w:rStyle w:val="Hyperlink"/>
          </w:rPr>
          <w:t xml:space="preserve">https://doi.org/10.1027/1864-9335/a000178</w:t>
        </w:r>
      </w:hyperlink>
    </w:p>
    <w:bookmarkEnd w:id="160"/>
    <w:bookmarkStart w:id="162" w:name="ref-kleinManyLabs22018b"/>
    <w:p>
      <w:pPr>
        <w:pStyle w:val="Literaturverzeichnis"/>
      </w:pPr>
      <w:r>
        <w:t xml:space="preserve">Klein, R. A., Vianello, M., Hasselman, F., Adams, B. G., Adams, R. B., Alper, S., Aveyard, M., Axt, J. R., Babalola, M. T., Bahník, Š., Batra, R., Berkics, M., Bernstein, M. J., Berry, D. R., Bialobrzeska, O., Binan, E. D., Bocian, K., Brandt, M. J., Busching, R., … Nosek, B. A. (2018). Many</w:t>
      </w:r>
      <w:r>
        <w:t xml:space="preserve"> </w:t>
      </w:r>
      <w:r>
        <w:t xml:space="preserve">Labs</w:t>
      </w:r>
      <w:r>
        <w:t xml:space="preserve"> </w:t>
      </w:r>
      <w:r>
        <w:t xml:space="preserve">2:</w:t>
      </w:r>
      <w:r>
        <w:t xml:space="preserve"> </w:t>
      </w:r>
      <w:r>
        <w:t xml:space="preserve">Investigating Variation</w:t>
      </w:r>
      <w:r>
        <w:t xml:space="preserve"> </w:t>
      </w:r>
      <w:r>
        <w:t xml:space="preserve">in</w:t>
      </w:r>
      <w:r>
        <w:t xml:space="preserve"> </w:t>
      </w:r>
      <w:r>
        <w:t xml:space="preserve">Replicability Across Samples</w:t>
      </w:r>
      <w:r>
        <w:t xml:space="preserve"> </w:t>
      </w:r>
      <w:r>
        <w:t xml:space="preserve">and</w:t>
      </w:r>
      <w:r>
        <w:t xml:space="preserve"> </w:t>
      </w:r>
      <w:r>
        <w:t xml:space="preserve">Settings</w:t>
      </w:r>
      <w:r>
        <w:t xml:space="preserve">.</w:t>
      </w:r>
      <w:r>
        <w:t xml:space="preserve"> </w:t>
      </w:r>
      <w:r>
        <w:rPr>
          <w:i/>
          <w:iCs/>
        </w:rPr>
        <w:t xml:space="preserve">Advances in Methods and Practices in Psychological Science</w:t>
      </w:r>
      <w:r>
        <w:t xml:space="preserve">,</w:t>
      </w:r>
      <w:r>
        <w:t xml:space="preserve"> </w:t>
      </w:r>
      <w:r>
        <w:rPr>
          <w:i/>
          <w:iCs/>
        </w:rPr>
        <w:t xml:space="preserve">1</w:t>
      </w:r>
      <w:r>
        <w:t xml:space="preserve">(4), 443–490.</w:t>
      </w:r>
      <w:r>
        <w:t xml:space="preserve"> </w:t>
      </w:r>
      <w:hyperlink r:id="rId161">
        <w:r>
          <w:rPr>
            <w:rStyle w:val="Hyperlink"/>
          </w:rPr>
          <w:t xml:space="preserve">https://doi.org/10.1177/2515245918810225</w:t>
        </w:r>
      </w:hyperlink>
    </w:p>
    <w:bookmarkEnd w:id="162"/>
    <w:bookmarkStart w:id="164" w:name="X0c9060010224884cc53bc6acde4b77d261269b2"/>
    <w:p>
      <w:pPr>
        <w:pStyle w:val="Literaturverzeichnis"/>
      </w:pPr>
      <w:r>
        <w:t xml:space="preserve">Koziol, N. A., &amp; Bovaird, J. A. (2018). The</w:t>
      </w:r>
      <w:r>
        <w:t xml:space="preserve"> </w:t>
      </w:r>
      <w:r>
        <w:t xml:space="preserve">Impact</w:t>
      </w:r>
      <w:r>
        <w:t xml:space="preserve"> </w:t>
      </w:r>
      <w:r>
        <w:t xml:space="preserve">of</w:t>
      </w:r>
      <w:r>
        <w:t xml:space="preserve"> </w:t>
      </w:r>
      <w:r>
        <w:t xml:space="preserve">Model Parameterization</w:t>
      </w:r>
      <w:r>
        <w:t xml:space="preserve"> </w:t>
      </w:r>
      <w:r>
        <w:t xml:space="preserve">and</w:t>
      </w:r>
      <w:r>
        <w:t xml:space="preserve"> </w:t>
      </w:r>
      <w:r>
        <w:t xml:space="preserve">Estimation Methods</w:t>
      </w:r>
      <w:r>
        <w:t xml:space="preserve"> </w:t>
      </w:r>
      <w:r>
        <w:t xml:space="preserve">on</w:t>
      </w:r>
      <w:r>
        <w:t xml:space="preserve"> </w:t>
      </w:r>
      <w:r>
        <w:t xml:space="preserve">Tests</w:t>
      </w:r>
      <w:r>
        <w:t xml:space="preserve"> </w:t>
      </w:r>
      <w:r>
        <w:t xml:space="preserve">of</w:t>
      </w:r>
      <w:r>
        <w:t xml:space="preserve"> </w:t>
      </w:r>
      <w:r>
        <w:t xml:space="preserve">Measurement Invariance With Ordered Polytomous Data</w:t>
      </w:r>
      <w:r>
        <w:t xml:space="preserve">.</w:t>
      </w:r>
      <w:r>
        <w:t xml:space="preserve"> </w:t>
      </w:r>
      <w:r>
        <w:rPr>
          <w:i/>
          <w:iCs/>
        </w:rPr>
        <w:t xml:space="preserve">Educational and Psychological Measurement</w:t>
      </w:r>
      <w:r>
        <w:t xml:space="preserve">,</w:t>
      </w:r>
      <w:r>
        <w:t xml:space="preserve"> </w:t>
      </w:r>
      <w:r>
        <w:rPr>
          <w:i/>
          <w:iCs/>
        </w:rPr>
        <w:t xml:space="preserve">78</w:t>
      </w:r>
      <w:r>
        <w:t xml:space="preserve">(2), 272–296.</w:t>
      </w:r>
      <w:r>
        <w:t xml:space="preserve"> </w:t>
      </w:r>
      <w:hyperlink r:id="rId163">
        <w:r>
          <w:rPr>
            <w:rStyle w:val="Hyperlink"/>
          </w:rPr>
          <w:t xml:space="preserve">https://doi.org/10.1177/0013164416683754</w:t>
        </w:r>
      </w:hyperlink>
    </w:p>
    <w:bookmarkEnd w:id="164"/>
    <w:bookmarkStart w:id="166" w:name="ref-leppinkWeNeedMore2017"/>
    <w:p>
      <w:pPr>
        <w:pStyle w:val="Literaturverzeichnis"/>
      </w:pPr>
      <w:r>
        <w:t xml:space="preserve">Leppink, J., &amp; Pérez-Fuster, P. (2017). We need more replication research –</w:t>
      </w:r>
      <w:r>
        <w:t xml:space="preserve"> </w:t>
      </w:r>
      <w:r>
        <w:t xml:space="preserve">A</w:t>
      </w:r>
      <w:r>
        <w:t xml:space="preserve"> case for test-retest reliability.</w:t>
      </w:r>
      <w:r>
        <w:t xml:space="preserve"> </w:t>
      </w:r>
      <w:r>
        <w:rPr>
          <w:i/>
          <w:iCs/>
        </w:rPr>
        <w:t xml:space="preserve">Perspectives on Medical Education</w:t>
      </w:r>
      <w:r>
        <w:t xml:space="preserve">,</w:t>
      </w:r>
      <w:r>
        <w:t xml:space="preserve"> </w:t>
      </w:r>
      <w:r>
        <w:rPr>
          <w:i/>
          <w:iCs/>
        </w:rPr>
        <w:t xml:space="preserve">6</w:t>
      </w:r>
      <w:r>
        <w:t xml:space="preserve">(3), 158–164.</w:t>
      </w:r>
      <w:r>
        <w:t xml:space="preserve"> </w:t>
      </w:r>
      <w:hyperlink r:id="rId165">
        <w:r>
          <w:rPr>
            <w:rStyle w:val="Hyperlink"/>
          </w:rPr>
          <w:t xml:space="preserve">https://doi.org/10.1007/s40037-017-0347-z</w:t>
        </w:r>
      </w:hyperlink>
    </w:p>
    <w:bookmarkEnd w:id="166"/>
    <w:bookmarkStart w:id="168" w:name="X9c5be1b0f195a9c4798adaa15bfdd75a88b3c8e"/>
    <w:p>
      <w:pPr>
        <w:pStyle w:val="Literaturverzeichnis"/>
      </w:pPr>
      <w:r>
        <w:t xml:space="preserve">López-Ibáñez, C., López-Nicolás, R., Blázquez-Rincón, D. M., &amp; Sánchez-Meca, J. (2024). Reliability generalization meta-analysis: Comparing different statistical methods.</w:t>
      </w:r>
      <w:r>
        <w:t xml:space="preserve"> </w:t>
      </w:r>
      <w:r>
        <w:rPr>
          <w:i/>
          <w:iCs/>
        </w:rPr>
        <w:t xml:space="preserve">Current Psychology</w:t>
      </w:r>
      <w:r>
        <w:t xml:space="preserve">.</w:t>
      </w:r>
      <w:r>
        <w:t xml:space="preserve"> </w:t>
      </w:r>
      <w:hyperlink r:id="rId167">
        <w:r>
          <w:rPr>
            <w:rStyle w:val="Hyperlink"/>
          </w:rPr>
          <w:t xml:space="preserve">https://doi.org/10.1007/s12144-023-05604-y</w:t>
        </w:r>
      </w:hyperlink>
    </w:p>
    <w:bookmarkEnd w:id="168"/>
    <w:bookmarkStart w:id="170" w:name="ref-maccallumSampleSizeFactor1999"/>
    <w:p>
      <w:pPr>
        <w:pStyle w:val="Literaturverzeichnis"/>
      </w:pPr>
      <w:r>
        <w:t xml:space="preserve">MacCallum, R. C., Widaman, K. F., Zhang, S., &amp; Hong, S. (1999). Sample size in factor analysis.</w:t>
      </w:r>
      <w:r>
        <w:t xml:space="preserve"> </w:t>
      </w:r>
      <w:r>
        <w:rPr>
          <w:i/>
          <w:iCs/>
        </w:rPr>
        <w:t xml:space="preserve">Psychological Methods</w:t>
      </w:r>
      <w:r>
        <w:t xml:space="preserve">,</w:t>
      </w:r>
      <w:r>
        <w:t xml:space="preserve"> </w:t>
      </w:r>
      <w:r>
        <w:rPr>
          <w:i/>
          <w:iCs/>
        </w:rPr>
        <w:t xml:space="preserve">4</w:t>
      </w:r>
      <w:r>
        <w:t xml:space="preserve">(1), 84–99.</w:t>
      </w:r>
      <w:r>
        <w:t xml:space="preserve"> </w:t>
      </w:r>
      <w:hyperlink r:id="rId169">
        <w:r>
          <w:rPr>
            <w:rStyle w:val="Hyperlink"/>
          </w:rPr>
          <w:t xml:space="preserve">https://doi.org/10.1037/1082-989X.4.1.84</w:t>
        </w:r>
      </w:hyperlink>
    </w:p>
    <w:bookmarkEnd w:id="170"/>
    <w:bookmarkStart w:id="172" w:name="X66732309dbaddb7ffc860ca5e23116b362ad365"/>
    <w:p>
      <w:pPr>
        <w:pStyle w:val="Literaturverzeichnis"/>
      </w:pPr>
      <w:r>
        <w:t xml:space="preserve">Mairead Shaw, Cloos, L. J. R., Luong, R., Elbaz, S., &amp; Flake, J. K. (2020). Measurement practices in large-scale replications:</w:t>
      </w:r>
      <w:r>
        <w:t xml:space="preserve"> </w:t>
      </w:r>
      <w:r>
        <w:t xml:space="preserve">Insights</w:t>
      </w:r>
      <w:r>
        <w:t xml:space="preserve"> </w:t>
      </w:r>
      <w:r>
        <w:t xml:space="preserve">from</w:t>
      </w:r>
      <w:r>
        <w:t xml:space="preserve"> </w:t>
      </w:r>
      <w:r>
        <w:t xml:space="preserve">Many Labs</w:t>
      </w:r>
      <w:r>
        <w:t xml:space="preserve"> </w:t>
      </w:r>
      <w:r>
        <w:t xml:space="preserve">2.</w:t>
      </w:r>
      <w:r>
        <w:t xml:space="preserve"> </w:t>
      </w:r>
      <w:r>
        <w:rPr>
          <w:i/>
          <w:iCs/>
        </w:rPr>
        <w:t xml:space="preserve">Canadian Psychology/Psychologie Canadienne</w:t>
      </w:r>
      <w:r>
        <w:t xml:space="preserve">,</w:t>
      </w:r>
      <w:r>
        <w:t xml:space="preserve"> </w:t>
      </w:r>
      <w:r>
        <w:rPr>
          <w:i/>
          <w:iCs/>
        </w:rPr>
        <w:t xml:space="preserve">61</w:t>
      </w:r>
      <w:r>
        <w:t xml:space="preserve">(4), 289–298.</w:t>
      </w:r>
      <w:r>
        <w:t xml:space="preserve"> </w:t>
      </w:r>
      <w:hyperlink r:id="rId171">
        <w:r>
          <w:rPr>
            <w:rStyle w:val="Hyperlink"/>
          </w:rPr>
          <w:t xml:space="preserve">https://doi.org/10.1037/cap0000220</w:t>
        </w:r>
      </w:hyperlink>
    </w:p>
    <w:bookmarkEnd w:id="172"/>
    <w:bookmarkStart w:id="174" w:name="ref-meadePowerPrecisionConfirmatory2007"/>
    <w:p>
      <w:pPr>
        <w:pStyle w:val="Literaturverzeichnis"/>
      </w:pPr>
      <w:r>
        <w:t xml:space="preserve">Meade, A. W., &amp; Bauer, D. J. (2007). Power and</w:t>
      </w:r>
      <w:r>
        <w:t xml:space="preserve"> </w:t>
      </w:r>
      <w:r>
        <w:t xml:space="preserve">Precision</w:t>
      </w:r>
      <w:r>
        <w:t xml:space="preserve"> </w:t>
      </w:r>
      <w:r>
        <w:t xml:space="preserve">in</w:t>
      </w:r>
      <w:r>
        <w:t xml:space="preserve"> </w:t>
      </w:r>
      <w:r>
        <w:t xml:space="preserve">Confirmatory Factor Analytic Tests</w:t>
      </w:r>
      <w:r>
        <w:t xml:space="preserve"> </w:t>
      </w:r>
      <w:r>
        <w:t xml:space="preserve">of</w:t>
      </w:r>
      <w:r>
        <w:t xml:space="preserve"> </w:t>
      </w:r>
      <w:r>
        <w:t xml:space="preserve">Measurement Invariance</w:t>
      </w:r>
      <w:r>
        <w:t xml:space="preserve">.</w:t>
      </w:r>
      <w:r>
        <w:t xml:space="preserve"> </w:t>
      </w:r>
      <w:r>
        <w:rPr>
          <w:i/>
          <w:iCs/>
        </w:rPr>
        <w:t xml:space="preserve">Structural Equation Modeling: A Multidisciplinary Journal</w:t>
      </w:r>
      <w:r>
        <w:t xml:space="preserve">,</w:t>
      </w:r>
      <w:r>
        <w:t xml:space="preserve"> </w:t>
      </w:r>
      <w:r>
        <w:rPr>
          <w:i/>
          <w:iCs/>
        </w:rPr>
        <w:t xml:space="preserve">14</w:t>
      </w:r>
      <w:r>
        <w:t xml:space="preserve">(4), 611–635.</w:t>
      </w:r>
      <w:r>
        <w:t xml:space="preserve"> </w:t>
      </w:r>
      <w:hyperlink r:id="rId173">
        <w:r>
          <w:rPr>
            <w:rStyle w:val="Hyperlink"/>
          </w:rPr>
          <w:t xml:space="preserve">https://doi.org/10.1080/10705510701575461</w:t>
        </w:r>
      </w:hyperlink>
    </w:p>
    <w:bookmarkEnd w:id="174"/>
    <w:bookmarkStart w:id="175" w:name="Xdc19b756fa6a0ccefbcc31caf55481e551023f8"/>
    <w:p>
      <w:pPr>
        <w:pStyle w:val="Literaturverzeichnis"/>
      </w:pPr>
      <w:r>
        <w:t xml:space="preserve">Mellenbergh, G. J. (2011).</w:t>
      </w:r>
      <w:r>
        <w:t xml:space="preserve"> </w:t>
      </w:r>
      <w:r>
        <w:rPr>
          <w:i/>
          <w:iCs/>
        </w:rPr>
        <w:t xml:space="preserve">A conceptual introduction to psychometrics: Development, analysis and application of psychological and educational tests</w:t>
      </w:r>
      <w:r>
        <w:t xml:space="preserve">. Eleven international publishing.</w:t>
      </w:r>
    </w:p>
    <w:bookmarkEnd w:id="175"/>
    <w:bookmarkStart w:id="177" w:name="X8acad5f1113c04f5e114b1fb1610a497ce8b230"/>
    <w:p>
      <w:pPr>
        <w:pStyle w:val="Literaturverzeichnis"/>
      </w:pPr>
      <w:r>
        <w:t xml:space="preserve">Nunnally, J. C. (1978). An</w:t>
      </w:r>
      <w:r>
        <w:t xml:space="preserve"> </w:t>
      </w:r>
      <w:r>
        <w:t xml:space="preserve">Overview</w:t>
      </w:r>
      <w:r>
        <w:t xml:space="preserve"> </w:t>
      </w:r>
      <w:r>
        <w:t xml:space="preserve">of</w:t>
      </w:r>
      <w:r>
        <w:t xml:space="preserve"> </w:t>
      </w:r>
      <w:r>
        <w:t xml:space="preserve">Psychological Measurement</w:t>
      </w:r>
      <w:r>
        <w:t xml:space="preserve">. In B. B. Wolman (Ed.),</w:t>
      </w:r>
      <w:r>
        <w:t xml:space="preserve"> </w:t>
      </w:r>
      <w:r>
        <w:rPr>
          <w:i/>
          <w:iCs/>
        </w:rPr>
        <w:t xml:space="preserve">Clinical</w:t>
      </w:r>
      <w:r>
        <w:rPr>
          <w:i/>
          <w:iCs/>
        </w:rPr>
        <w:t xml:space="preserve"> </w:t>
      </w:r>
      <w:r>
        <w:rPr>
          <w:i/>
          <w:iCs/>
        </w:rPr>
        <w:t xml:space="preserve">Diagnosis</w:t>
      </w:r>
      <w:r>
        <w:rPr>
          <w:i/>
          <w:iCs/>
        </w:rPr>
        <w:t xml:space="preserve"> </w:t>
      </w:r>
      <w:r>
        <w:rPr>
          <w:i/>
          <w:iCs/>
        </w:rPr>
        <w:t xml:space="preserve">of</w:t>
      </w:r>
      <w:r>
        <w:rPr>
          <w:i/>
          <w:iCs/>
        </w:rPr>
        <w:t xml:space="preserve"> </w:t>
      </w:r>
      <w:r>
        <w:rPr>
          <w:i/>
          <w:iCs/>
        </w:rPr>
        <w:t xml:space="preserve">Mental Disorders</w:t>
      </w:r>
      <w:r>
        <w:rPr>
          <w:i/>
          <w:iCs/>
        </w:rPr>
        <w:t xml:space="preserve">:</w:t>
      </w:r>
      <w:r>
        <w:rPr>
          <w:i/>
          <w:iCs/>
        </w:rPr>
        <w:t xml:space="preserve"> </w:t>
      </w:r>
      <w:r>
        <w:rPr>
          <w:i/>
          <w:iCs/>
        </w:rPr>
        <w:t xml:space="preserve">A Handbook</w:t>
      </w:r>
      <w:r>
        <w:t xml:space="preserve"> </w:t>
      </w:r>
      <w:r>
        <w:t xml:space="preserve">(pp. 97–146). Springer US.</w:t>
      </w:r>
      <w:r>
        <w:t xml:space="preserve"> </w:t>
      </w:r>
      <w:hyperlink r:id="rId176">
        <w:r>
          <w:rPr>
            <w:rStyle w:val="Hyperlink"/>
          </w:rPr>
          <w:t xml:space="preserve">https://doi.org/10.1007/978-1-4684-2490-4_4</w:t>
        </w:r>
      </w:hyperlink>
    </w:p>
    <w:bookmarkEnd w:id="177"/>
    <w:bookmarkStart w:id="179" w:name="X634b460e18cb7cf71ce105335d4f3d3ee941cd6"/>
    <w:p>
      <w:pPr>
        <w:pStyle w:val="Literaturverzeichnis"/>
      </w:pPr>
      <w:r>
        <w:t xml:space="preserve">OPEN SCIENCE COLLABORATION. (2015). Estimating the reproducibility of psychological science.</w:t>
      </w:r>
      <w:r>
        <w:t xml:space="preserve"> </w:t>
      </w:r>
      <w:r>
        <w:rPr>
          <w:i/>
          <w:iCs/>
        </w:rPr>
        <w:t xml:space="preserve">Science</w:t>
      </w:r>
      <w:r>
        <w:t xml:space="preserve">,</w:t>
      </w:r>
      <w:r>
        <w:t xml:space="preserve"> </w:t>
      </w:r>
      <w:r>
        <w:rPr>
          <w:i/>
          <w:iCs/>
        </w:rPr>
        <w:t xml:space="preserve">349</w:t>
      </w:r>
      <w:r>
        <w:t xml:space="preserve">(6251), aac4716.</w:t>
      </w:r>
      <w:r>
        <w:t xml:space="preserve"> </w:t>
      </w:r>
      <w:hyperlink r:id="rId178">
        <w:r>
          <w:rPr>
            <w:rStyle w:val="Hyperlink"/>
          </w:rPr>
          <w:t xml:space="preserve">https://doi.org/10.1126/science.aac4716</w:t>
        </w:r>
      </w:hyperlink>
    </w:p>
    <w:bookmarkEnd w:id="179"/>
    <w:bookmarkStart w:id="181" w:name="X980a93d193c0021b152bb68ef4db758e42fc28f"/>
    <w:p>
      <w:pPr>
        <w:pStyle w:val="Literaturverzeichnis"/>
      </w:pPr>
      <w:r>
        <w:t xml:space="preserve">Pereira, T. V., Patsopoulos, N. A., Salanti, G., &amp; Ioannidis, J. P. A. (2010). Critical interpretation of</w:t>
      </w:r>
      <w:r>
        <w:t xml:space="preserve"> </w:t>
      </w:r>
      <w:r>
        <w:t xml:space="preserve">Cochran</w:t>
      </w:r>
      <w:r>
        <w:t xml:space="preserve">’s</w:t>
      </w:r>
      <w:r>
        <w:t xml:space="preserve"> </w:t>
      </w:r>
      <w:r>
        <w:t xml:space="preserve">Q</w:t>
      </w:r>
      <w:r>
        <w:t xml:space="preserve"> </w:t>
      </w:r>
      <w:r>
        <w:t xml:space="preserve">test depends on power and prior assumptions about heterogeneity.</w:t>
      </w:r>
      <w:r>
        <w:t xml:space="preserve"> </w:t>
      </w:r>
      <w:r>
        <w:rPr>
          <w:i/>
          <w:iCs/>
        </w:rPr>
        <w:t xml:space="preserve">Research Synthesis Methods</w:t>
      </w:r>
      <w:r>
        <w:t xml:space="preserve">,</w:t>
      </w:r>
      <w:r>
        <w:t xml:space="preserve"> </w:t>
      </w:r>
      <w:r>
        <w:rPr>
          <w:i/>
          <w:iCs/>
        </w:rPr>
        <w:t xml:space="preserve">1</w:t>
      </w:r>
      <w:r>
        <w:t xml:space="preserve">(2), 149–161.</w:t>
      </w:r>
      <w:r>
        <w:t xml:space="preserve"> </w:t>
      </w:r>
      <w:hyperlink r:id="rId180">
        <w:r>
          <w:rPr>
            <w:rStyle w:val="Hyperlink"/>
          </w:rPr>
          <w:t xml:space="preserve">https://doi.org/10.1002/jrsm.13</w:t>
        </w:r>
      </w:hyperlink>
    </w:p>
    <w:bookmarkEnd w:id="181"/>
    <w:bookmarkStart w:id="183" w:name="ref-R-Rstudio"/>
    <w:p>
      <w:pPr>
        <w:pStyle w:val="Literaturverzeichnis"/>
      </w:pPr>
      <w:r>
        <w:t xml:space="preserve">Posit team. (2025).</w:t>
      </w:r>
      <w:r>
        <w:t xml:space="preserve"> </w:t>
      </w:r>
      <w:r>
        <w:rPr>
          <w:i/>
          <w:iCs/>
        </w:rPr>
        <w:t xml:space="preserve">RStudio: Integrated development environment for r</w:t>
      </w:r>
      <w:r>
        <w:t xml:space="preserve">. Posit Software, PBC.</w:t>
      </w:r>
      <w:r>
        <w:t xml:space="preserve"> </w:t>
      </w:r>
      <w:hyperlink r:id="rId182">
        <w:r>
          <w:rPr>
            <w:rStyle w:val="Hyperlink"/>
          </w:rPr>
          <w:t xml:space="preserve">http://www.posit.co/</w:t>
        </w:r>
      </w:hyperlink>
    </w:p>
    <w:bookmarkEnd w:id="183"/>
    <w:bookmarkStart w:id="185" w:name="ref-R-base"/>
    <w:p>
      <w:pPr>
        <w:pStyle w:val="Literaturverzeichnis"/>
      </w:pPr>
      <w:r>
        <w:t xml:space="preserve">R Core Team. (2023).</w:t>
      </w:r>
      <w:r>
        <w:t xml:space="preserve"> </w:t>
      </w:r>
      <w:r>
        <w:rPr>
          <w:i/>
          <w:iCs/>
        </w:rPr>
        <w:t xml:space="preserve">R: A language and environment for statistical computing</w:t>
      </w:r>
      <w:r>
        <w:t xml:space="preserve">. R Foundation for Statistical Computing.</w:t>
      </w:r>
      <w:r>
        <w:t xml:space="preserve"> </w:t>
      </w:r>
      <w:hyperlink r:id="rId184">
        <w:r>
          <w:rPr>
            <w:rStyle w:val="Hyperlink"/>
          </w:rPr>
          <w:t xml:space="preserve">https://www.R-project.org/</w:t>
        </w:r>
      </w:hyperlink>
    </w:p>
    <w:bookmarkEnd w:id="185"/>
    <w:bookmarkStart w:id="187" w:name="ref-sarstedtSelectingSingleItems2016"/>
    <w:p>
      <w:pPr>
        <w:pStyle w:val="Literaturverzeichnis"/>
      </w:pPr>
      <w:r>
        <w:t xml:space="preserve">Sarstedt, M., Diamantopoulos, A., Salzberger, T., &amp; Baumgartner, P. (2016). Selecting single items to measure doubly concrete constructs:</w:t>
      </w:r>
      <w:r>
        <w:t xml:space="preserve"> </w:t>
      </w:r>
      <w:r>
        <w:t xml:space="preserve">A</w:t>
      </w:r>
      <w:r>
        <w:t xml:space="preserve"> </w:t>
      </w:r>
      <w:r>
        <w:t xml:space="preserve">cautionary tale.</w:t>
      </w:r>
      <w:r>
        <w:t xml:space="preserve"> </w:t>
      </w:r>
      <w:r>
        <w:rPr>
          <w:i/>
          <w:iCs/>
        </w:rPr>
        <w:t xml:space="preserve">Journal of Business Research</w:t>
      </w:r>
      <w:r>
        <w:t xml:space="preserve">,</w:t>
      </w:r>
      <w:r>
        <w:t xml:space="preserve"> </w:t>
      </w:r>
      <w:r>
        <w:rPr>
          <w:i/>
          <w:iCs/>
        </w:rPr>
        <w:t xml:space="preserve">69</w:t>
      </w:r>
      <w:r>
        <w:t xml:space="preserve">(8), 3159–3167.</w:t>
      </w:r>
      <w:r>
        <w:t xml:space="preserve"> </w:t>
      </w:r>
      <w:hyperlink r:id="rId186">
        <w:r>
          <w:rPr>
            <w:rStyle w:val="Hyperlink"/>
          </w:rPr>
          <w:t xml:space="preserve">https://doi.org/10.1016/j.jbusres.2015.12.004</w:t>
        </w:r>
      </w:hyperlink>
    </w:p>
    <w:bookmarkEnd w:id="187"/>
    <w:bookmarkStart w:id="189" w:name="ref-schmittUsesAbusesCoefficient1996"/>
    <w:p>
      <w:pPr>
        <w:pStyle w:val="Literaturverzeichnis"/>
      </w:pPr>
      <w:r>
        <w:t xml:space="preserve">Schmitt, N. (1996). Uses and abuses of coefficient alpha.</w:t>
      </w:r>
      <w:r>
        <w:t xml:space="preserve"> </w:t>
      </w:r>
      <w:r>
        <w:rPr>
          <w:i/>
          <w:iCs/>
        </w:rPr>
        <w:t xml:space="preserve">Psychological Assessment</w:t>
      </w:r>
      <w:r>
        <w:t xml:space="preserve">,</w:t>
      </w:r>
      <w:r>
        <w:t xml:space="preserve"> </w:t>
      </w:r>
      <w:r>
        <w:rPr>
          <w:i/>
          <w:iCs/>
        </w:rPr>
        <w:t xml:space="preserve">8</w:t>
      </w:r>
      <w:r>
        <w:t xml:space="preserve">(4), 350–353.</w:t>
      </w:r>
      <w:r>
        <w:t xml:space="preserve"> </w:t>
      </w:r>
      <w:hyperlink r:id="rId188">
        <w:r>
          <w:rPr>
            <w:rStyle w:val="Hyperlink"/>
          </w:rPr>
          <w:t xml:space="preserve">https://doi.org/10.1037/1040-3590.8.4.350</w:t>
        </w:r>
      </w:hyperlink>
    </w:p>
    <w:bookmarkEnd w:id="189"/>
    <w:bookmarkStart w:id="191" w:name="ref-sijtsmaUseMisuseVery2009"/>
    <w:p>
      <w:pPr>
        <w:pStyle w:val="Literaturverzeichnis"/>
      </w:pPr>
      <w:r>
        <w:t xml:space="preserve">Sijtsma, K. (2009). On the</w:t>
      </w:r>
      <w:r>
        <w:t xml:space="preserve"> </w:t>
      </w:r>
      <w:r>
        <w:t xml:space="preserve">Use</w:t>
      </w:r>
      <w:r>
        <w:t xml:space="preserve">, the</w:t>
      </w:r>
      <w:r>
        <w:t xml:space="preserve"> </w:t>
      </w:r>
      <w:r>
        <w:t xml:space="preserve">Misuse</w:t>
      </w:r>
      <w:r>
        <w:t xml:space="preserve">, and the</w:t>
      </w:r>
      <w:r>
        <w:t xml:space="preserve"> </w:t>
      </w:r>
      <w:r>
        <w:t xml:space="preserve">Very Limited Usefulness</w:t>
      </w:r>
      <w:r>
        <w:t xml:space="preserve"> </w:t>
      </w:r>
      <w:r>
        <w:t xml:space="preserve">of </w:t>
      </w:r>
      <w:r>
        <w:t xml:space="preserve">Cronbach</w:t>
      </w:r>
      <w:r>
        <w:t xml:space="preserve">’s</w:t>
      </w:r>
      <w:r>
        <w:t xml:space="preserve"> </w:t>
      </w:r>
      <w:r>
        <w:t xml:space="preserve">Alpha</w:t>
      </w:r>
      <w:r>
        <w:t xml:space="preserve">.</w:t>
      </w:r>
      <w:r>
        <w:t xml:space="preserve"> </w:t>
      </w:r>
      <w:r>
        <w:rPr>
          <w:i/>
          <w:iCs/>
        </w:rPr>
        <w:t xml:space="preserve">Psychometrika</w:t>
      </w:r>
      <w:r>
        <w:t xml:space="preserve">,</w:t>
      </w:r>
      <w:r>
        <w:t xml:space="preserve"> </w:t>
      </w:r>
      <w:r>
        <w:rPr>
          <w:i/>
          <w:iCs/>
        </w:rPr>
        <w:t xml:space="preserve">74</w:t>
      </w:r>
      <w:r>
        <w:t xml:space="preserve">(1), 107–120.</w:t>
      </w:r>
      <w:r>
        <w:t xml:space="preserve"> </w:t>
      </w:r>
      <w:hyperlink r:id="rId190">
        <w:r>
          <w:rPr>
            <w:rStyle w:val="Hyperlink"/>
          </w:rPr>
          <w:t xml:space="preserve">https://doi.org/10.1007/s11336-008-9101-0</w:t>
        </w:r>
      </w:hyperlink>
    </w:p>
    <w:bookmarkEnd w:id="191"/>
    <w:bookmarkStart w:id="193" w:name="X130f2d4e0d83952aed0fe2192956f1ca71ec6d7"/>
    <w:p>
      <w:pPr>
        <w:pStyle w:val="Literaturverzeichnis"/>
      </w:pPr>
      <w:r>
        <w:t xml:space="preserve">Simmons, J. P., Nelson, L. D., &amp; Simonsohn, U. (2011). False-</w:t>
      </w:r>
      <w:r>
        <w:t xml:space="preserve">Positive Psychology</w:t>
      </w:r>
      <w:r>
        <w:t xml:space="preserve">:</w:t>
      </w:r>
      <w:r>
        <w:t xml:space="preserve"> </w:t>
      </w:r>
      <w:r>
        <w:t xml:space="preserve">Undisclosed Flexibility</w:t>
      </w:r>
      <w:r>
        <w:t xml:space="preserve"> </w:t>
      </w:r>
      <w:r>
        <w:t xml:space="preserve">in</w:t>
      </w:r>
      <w:r>
        <w:t xml:space="preserve"> </w:t>
      </w:r>
      <w:r>
        <w:t xml:space="preserve">Data Collection</w:t>
      </w:r>
      <w:r>
        <w:t xml:space="preserve"> </w:t>
      </w:r>
      <w:r>
        <w:t xml:space="preserve">and</w:t>
      </w:r>
      <w:r>
        <w:t xml:space="preserve"> </w:t>
      </w:r>
      <w:r>
        <w:t xml:space="preserve">Analysis Allows Presenting Anything</w:t>
      </w:r>
      <w:r>
        <w:t xml:space="preserve"> </w:t>
      </w:r>
      <w:r>
        <w:t xml:space="preserve">as</w:t>
      </w:r>
      <w:r>
        <w:t xml:space="preserve"> </w:t>
      </w:r>
      <w:r>
        <w:t xml:space="preserve">Significant</w:t>
      </w:r>
      <w:r>
        <w:t xml:space="preserve">.</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92">
        <w:r>
          <w:rPr>
            <w:rStyle w:val="Hyperlink"/>
          </w:rPr>
          <w:t xml:space="preserve">https://doi.org/10.1177/0956797611417632</w:t>
        </w:r>
      </w:hyperlink>
    </w:p>
    <w:bookmarkEnd w:id="193"/>
    <w:bookmarkStart w:id="195" w:name="Xf62c951f50e2c9e007a4a89a6c52d88c0d08efd"/>
    <w:p>
      <w:pPr>
        <w:pStyle w:val="Literaturverzeichnis"/>
      </w:pPr>
      <w:r>
        <w:t xml:space="preserve">Vacha-Haase, T. (1998). Reliability</w:t>
      </w:r>
      <w:r>
        <w:t xml:space="preserve"> </w:t>
      </w:r>
      <w:r>
        <w:t xml:space="preserve">Generalization</w:t>
      </w:r>
      <w:r>
        <w:t xml:space="preserve">:</w:t>
      </w:r>
      <w:r>
        <w:t xml:space="preserve"> </w:t>
      </w:r>
      <w:r>
        <w:t xml:space="preserve">Exploring Variance</w:t>
      </w:r>
      <w:r>
        <w:t xml:space="preserve"> </w:t>
      </w:r>
      <w:r>
        <w:t xml:space="preserve">in</w:t>
      </w:r>
      <w:r>
        <w:t xml:space="preserve"> </w:t>
      </w:r>
      <w:r>
        <w:t xml:space="preserve">Measurement Error Affecting Score Reliability Across Studies</w:t>
      </w:r>
      <w:r>
        <w:t xml:space="preserve">.</w:t>
      </w:r>
      <w:r>
        <w:t xml:space="preserve"> </w:t>
      </w:r>
      <w:r>
        <w:rPr>
          <w:i/>
          <w:iCs/>
        </w:rPr>
        <w:t xml:space="preserve">Educational and Psychological Measurement</w:t>
      </w:r>
      <w:r>
        <w:t xml:space="preserve">,</w:t>
      </w:r>
      <w:r>
        <w:t xml:space="preserve"> </w:t>
      </w:r>
      <w:r>
        <w:rPr>
          <w:i/>
          <w:iCs/>
        </w:rPr>
        <w:t xml:space="preserve">58</w:t>
      </w:r>
      <w:r>
        <w:t xml:space="preserve">(1), 6–20.</w:t>
      </w:r>
      <w:r>
        <w:t xml:space="preserve"> </w:t>
      </w:r>
      <w:hyperlink r:id="rId194">
        <w:r>
          <w:rPr>
            <w:rStyle w:val="Hyperlink"/>
          </w:rPr>
          <w:t xml:space="preserve">https://doi.org/10.1177/0013164498058001002</w:t>
        </w:r>
      </w:hyperlink>
    </w:p>
    <w:bookmarkEnd w:id="195"/>
    <w:bookmarkStart w:id="197" w:name="ref-R-worcs"/>
    <w:p>
      <w:pPr>
        <w:pStyle w:val="Literaturverzeichnis"/>
      </w:pPr>
      <w:r>
        <w:t xml:space="preserve">Van Lissa, C. J., Peikert, A., &amp; Brandmaier, A. M. (2023).</w:t>
      </w:r>
      <w:r>
        <w:t xml:space="preserve"> </w:t>
      </w:r>
      <w:r>
        <w:rPr>
          <w:i/>
          <w:iCs/>
        </w:rPr>
        <w:t xml:space="preserve">Worcs: Workflow for open reproducible code in science</w:t>
      </w:r>
      <w:r>
        <w:t xml:space="preserve">.</w:t>
      </w:r>
      <w:r>
        <w:t xml:space="preserve"> </w:t>
      </w:r>
      <w:hyperlink r:id="rId196">
        <w:r>
          <w:rPr>
            <w:rStyle w:val="Hyperlink"/>
          </w:rPr>
          <w:t xml:space="preserve">https://CRAN.R-project.org/package=worcs</w:t>
        </w:r>
      </w:hyperlink>
    </w:p>
    <w:bookmarkEnd w:id="197"/>
    <w:bookmarkStart w:id="199" w:name="X08233db4727b63f7dbeb73317a9c17df37c5428"/>
    <w:p>
      <w:pPr>
        <w:pStyle w:val="Literaturverzeichnis"/>
      </w:pPr>
      <w:r>
        <w:t xml:space="preserve">Vazire, S., Schiavone, S. R., &amp; Bottesini, J. G. (2022). Credibility</w:t>
      </w:r>
      <w:r>
        <w:t xml:space="preserve"> </w:t>
      </w:r>
      <w:r>
        <w:t xml:space="preserve">Beyond Replicability</w:t>
      </w:r>
      <w:r>
        <w:t xml:space="preserve">:</w:t>
      </w:r>
      <w:r>
        <w:t xml:space="preserve"> </w:t>
      </w:r>
      <w:r>
        <w:t xml:space="preserve">Improving</w:t>
      </w:r>
      <w:r>
        <w:t xml:space="preserve"> </w:t>
      </w:r>
      <w:r>
        <w:t xml:space="preserve">the</w:t>
      </w:r>
      <w:r>
        <w:t xml:space="preserve"> </w:t>
      </w:r>
      <w:r>
        <w:t xml:space="preserve">Four Validities</w:t>
      </w:r>
      <w:r>
        <w:t xml:space="preserve"> </w:t>
      </w:r>
      <w:r>
        <w:t xml:space="preserve">in</w:t>
      </w:r>
      <w:r>
        <w:t xml:space="preserve"> </w:t>
      </w:r>
      <w:r>
        <w:t xml:space="preserve">Psychological Science</w:t>
      </w:r>
      <w:r>
        <w:t xml:space="preserve">.</w:t>
      </w:r>
      <w:r>
        <w:t xml:space="preserve"> </w:t>
      </w:r>
      <w:r>
        <w:rPr>
          <w:i/>
          <w:iCs/>
        </w:rPr>
        <w:t xml:space="preserve">Current Directions in Psychological Science</w:t>
      </w:r>
      <w:r>
        <w:t xml:space="preserve">,</w:t>
      </w:r>
      <w:r>
        <w:t xml:space="preserve"> </w:t>
      </w:r>
      <w:r>
        <w:rPr>
          <w:i/>
          <w:iCs/>
        </w:rPr>
        <w:t xml:space="preserve">31</w:t>
      </w:r>
      <w:r>
        <w:t xml:space="preserve">(2), 162–168.</w:t>
      </w:r>
      <w:r>
        <w:t xml:space="preserve"> </w:t>
      </w:r>
      <w:hyperlink r:id="rId198">
        <w:r>
          <w:rPr>
            <w:rStyle w:val="Hyperlink"/>
          </w:rPr>
          <w:t xml:space="preserve">https://doi.org/10.1177/09637214211067779</w:t>
        </w:r>
      </w:hyperlink>
    </w:p>
    <w:bookmarkEnd w:id="199"/>
    <w:bookmarkStart w:id="201" w:name="ref-R-metafor"/>
    <w:p>
      <w:pPr>
        <w:pStyle w:val="Literaturverzeichnis"/>
      </w:pPr>
      <w:r>
        <w:t xml:space="preserve">Viechtbauer, W. (2010). 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200">
        <w:r>
          <w:rPr>
            <w:rStyle w:val="Hyperlink"/>
          </w:rPr>
          <w:t xml:space="preserve">https://doi.org/10.18637/jss.v036.i03</w:t>
        </w:r>
      </w:hyperlink>
    </w:p>
    <w:bookmarkEnd w:id="201"/>
    <w:bookmarkStart w:id="202" w:name="ref-wassersteinASAStatementPValues2016"/>
    <w:p>
      <w:pPr>
        <w:pStyle w:val="Literaturverzeichnis"/>
      </w:pPr>
      <w:r>
        <w:t xml:space="preserve">Wasserstein, R. L., &amp; Lazar, N. A. (2016). The</w:t>
      </w:r>
      <w:r>
        <w:t xml:space="preserve"> </w:t>
      </w:r>
      <w:r>
        <w:t xml:space="preserve">ASA Statement</w:t>
      </w:r>
      <w:r>
        <w:t xml:space="preserve"> </w:t>
      </w:r>
      <w:r>
        <w:t xml:space="preserve">on p-</w:t>
      </w:r>
      <w:r>
        <w:t xml:space="preserve">Values</w:t>
      </w:r>
      <w:r>
        <w:t xml:space="preserve">:</w:t>
      </w:r>
      <w:r>
        <w:t xml:space="preserve"> </w:t>
      </w:r>
      <w:r>
        <w:t xml:space="preserve">Context</w:t>
      </w:r>
      <w:r>
        <w:t xml:space="preserve">,</w:t>
      </w:r>
      <w:r>
        <w:t xml:space="preserve"> </w:t>
      </w:r>
      <w:r>
        <w:t xml:space="preserve">Process</w:t>
      </w:r>
      <w:r>
        <w:t xml:space="preserve">, and</w:t>
      </w:r>
      <w:r>
        <w:t xml:space="preserve"> </w:t>
      </w:r>
      <w:r>
        <w:t xml:space="preserve">Purpose</w:t>
      </w:r>
      <w:r>
        <w:t xml:space="preserve">.</w:t>
      </w:r>
      <w:r>
        <w:t xml:space="preserve"> </w:t>
      </w:r>
      <w:r>
        <w:rPr>
          <w:i/>
          <w:iCs/>
        </w:rPr>
        <w:t xml:space="preserve">The American Statistician</w:t>
      </w:r>
      <w:r>
        <w:t xml:space="preserve">.</w:t>
      </w:r>
    </w:p>
    <w:bookmarkEnd w:id="202"/>
    <w:bookmarkStart w:id="204" w:name="ref-weidmanJingleJangleEmotion2017"/>
    <w:p>
      <w:pPr>
        <w:pStyle w:val="Literaturverzeichnis"/>
      </w:pPr>
      <w:r>
        <w:t xml:space="preserve">Weidman, A. C., Steckler, C. M., &amp; Tracy, J. L. (2017). The jingle and jangle of emotion assessment:</w:t>
      </w:r>
      <w:r>
        <w:t xml:space="preserve"> </w:t>
      </w:r>
      <w:r>
        <w:t xml:space="preserve">Imprecise</w:t>
      </w:r>
      <w:r>
        <w:t xml:space="preserve"> </w:t>
      </w:r>
      <w:r>
        <w:t xml:space="preserve">measurement, casual scale usage, and conceptual fuzziness in emotion research.</w:t>
      </w:r>
      <w:r>
        <w:t xml:space="preserve"> </w:t>
      </w:r>
      <w:r>
        <w:rPr>
          <w:i/>
          <w:iCs/>
        </w:rPr>
        <w:t xml:space="preserve">Emotion</w:t>
      </w:r>
      <w:r>
        <w:t xml:space="preserve">,</w:t>
      </w:r>
      <w:r>
        <w:t xml:space="preserve"> </w:t>
      </w:r>
      <w:r>
        <w:rPr>
          <w:i/>
          <w:iCs/>
        </w:rPr>
        <w:t xml:space="preserve">17</w:t>
      </w:r>
      <w:r>
        <w:t xml:space="preserve">(2), 267–295.</w:t>
      </w:r>
      <w:r>
        <w:t xml:space="preserve"> </w:t>
      </w:r>
      <w:hyperlink r:id="rId203">
        <w:r>
          <w:rPr>
            <w:rStyle w:val="Hyperlink"/>
          </w:rPr>
          <w:t xml:space="preserve">https://doi.org/10.1037/emo0000226</w:t>
        </w:r>
      </w:hyperlink>
    </w:p>
    <w:bookmarkEnd w:id="204"/>
    <w:bookmarkStart w:id="206" w:name="ref-wichertsDegreesFreedomPlanning2016a"/>
    <w:p>
      <w:pPr>
        <w:pStyle w:val="Literaturverzeichnis"/>
      </w:pPr>
      <w:r>
        <w:t xml:space="preserve">Wicherts, J. M., Veldkamp, C. L. S., Augusteijn, H. E. M., Bakker, M., van Aert, R. C. M., &amp; van Assen, M. A. L. M. (2016). Degrees of</w:t>
      </w:r>
      <w:r>
        <w:t xml:space="preserve"> </w:t>
      </w:r>
      <w:r>
        <w:t xml:space="preserve">Freedom</w:t>
      </w:r>
      <w:r>
        <w:t xml:space="preserve"> </w:t>
      </w:r>
      <w:r>
        <w:t xml:space="preserve">in</w:t>
      </w:r>
      <w:r>
        <w:t xml:space="preserve"> </w:t>
      </w:r>
      <w:r>
        <w:t xml:space="preserve">Planning</w:t>
      </w:r>
      <w:r>
        <w:t xml:space="preserve">,</w:t>
      </w:r>
      <w:r>
        <w:t xml:space="preserve"> </w:t>
      </w:r>
      <w:r>
        <w:t xml:space="preserve">Running</w:t>
      </w:r>
      <w:r>
        <w:t xml:space="preserve">,</w:t>
      </w:r>
      <w:r>
        <w:t xml:space="preserve"> </w:t>
      </w:r>
      <w:r>
        <w:t xml:space="preserve">Analyzing</w:t>
      </w:r>
      <w:r>
        <w:t xml:space="preserve">, and</w:t>
      </w:r>
      <w:r>
        <w:t xml:space="preserve"> </w:t>
      </w:r>
      <w:r>
        <w:t xml:space="preserve">Reporting Psychological Studies</w:t>
      </w:r>
      <w:r>
        <w:t xml:space="preserve">:</w:t>
      </w:r>
      <w:r>
        <w:t xml:space="preserve"> </w:t>
      </w:r>
      <w:r>
        <w:t xml:space="preserve">A Checklist</w:t>
      </w:r>
      <w:r>
        <w:t xml:space="preserve"> </w:t>
      </w:r>
      <w:r>
        <w:t xml:space="preserve">to</w:t>
      </w:r>
      <w:r>
        <w:t xml:space="preserve"> </w:t>
      </w:r>
      <w:r>
        <w:t xml:space="preserve">Avoid</w:t>
      </w:r>
      <w:r>
        <w:t xml:space="preserve"> </w:t>
      </w:r>
      <w:r>
        <w:t xml:space="preserve">p-</w:t>
      </w:r>
      <w:r>
        <w:t xml:space="preserve">Hacking</w:t>
      </w:r>
      <w:r>
        <w:t xml:space="preserve">.</w:t>
      </w:r>
      <w:r>
        <w:t xml:space="preserve"> </w:t>
      </w:r>
      <w:r>
        <w:rPr>
          <w:i/>
          <w:iCs/>
        </w:rPr>
        <w:t xml:space="preserve">Frontiers in Psychology</w:t>
      </w:r>
      <w:r>
        <w:t xml:space="preserve">,</w:t>
      </w:r>
      <w:r>
        <w:t xml:space="preserve"> </w:t>
      </w:r>
      <w:r>
        <w:rPr>
          <w:i/>
          <w:iCs/>
        </w:rPr>
        <w:t xml:space="preserve">7</w:t>
      </w:r>
      <w:r>
        <w:t xml:space="preserve">.</w:t>
      </w:r>
      <w:r>
        <w:t xml:space="preserve"> </w:t>
      </w:r>
      <w:hyperlink r:id="rId205">
        <w:r>
          <w:rPr>
            <w:rStyle w:val="Hyperlink"/>
          </w:rPr>
          <w:t xml:space="preserve">https://doi.org/10.3389/fpsyg.2016.01832</w:t>
        </w:r>
      </w:hyperlink>
    </w:p>
    <w:bookmarkEnd w:id="206"/>
    <w:bookmarkStart w:id="208" w:name="X52274da5372355d609272722f04998e37715919"/>
    <w:p>
      <w:pPr>
        <w:pStyle w:val="Literaturverzeichnis"/>
      </w:pPr>
      <w:r>
        <w:t xml:space="preserve">Zogmaister, C., Vezzoli, M., Facchin, A., Conte, F. P., Rizzi, E., Giaquinto, F., Cavicchiolo, E., Fusco, G., Pegoraro, S., &amp; Simioni, M. (2024). Assessing the</w:t>
      </w:r>
      <w:r>
        <w:t xml:space="preserve"> </w:t>
      </w:r>
      <w:r>
        <w:t xml:space="preserve">Transparency</w:t>
      </w:r>
      <w:r>
        <w:t xml:space="preserve"> </w:t>
      </w:r>
      <w:r>
        <w:t xml:space="preserve">of</w:t>
      </w:r>
      <w:r>
        <w:t xml:space="preserve"> </w:t>
      </w:r>
      <w:r>
        <w:t xml:space="preserve">Methods</w:t>
      </w:r>
      <w:r>
        <w:t xml:space="preserve"> </w:t>
      </w:r>
      <w:r>
        <w:t xml:space="preserve">in</w:t>
      </w:r>
      <w:r>
        <w:t xml:space="preserve"> </w:t>
      </w:r>
      <w:r>
        <w:t xml:space="preserve">Scientific Reporting</w:t>
      </w:r>
      <w:r>
        <w:t xml:space="preserve">.</w:t>
      </w:r>
      <w:r>
        <w:t xml:space="preserve"> </w:t>
      </w:r>
      <w:r>
        <w:rPr>
          <w:i/>
          <w:iCs/>
        </w:rPr>
        <w:t xml:space="preserve">Collabra: Psychology</w:t>
      </w:r>
      <w:r>
        <w:t xml:space="preserve">,</w:t>
      </w:r>
      <w:r>
        <w:t xml:space="preserve"> </w:t>
      </w:r>
      <w:r>
        <w:rPr>
          <w:i/>
          <w:iCs/>
        </w:rPr>
        <w:t xml:space="preserve">10</w:t>
      </w:r>
      <w:r>
        <w:t xml:space="preserve">(1), 121243.</w:t>
      </w:r>
      <w:r>
        <w:t xml:space="preserve"> </w:t>
      </w:r>
      <w:hyperlink r:id="rId207">
        <w:r>
          <w:rPr>
            <w:rStyle w:val="Hyperlink"/>
          </w:rPr>
          <w:t xml:space="preserve">https://doi.org/10.1525/collabra.121243</w:t>
        </w:r>
      </w:hyperlink>
    </w:p>
    <w:bookmarkEnd w:id="208"/>
    <w:bookmarkEnd w:id="209"/>
    <w:bookmarkEnd w:id="210"/>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MEASUREMENT RELIABILITY, VALIDITY, AND REPORTING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MEASUREMENT RELIABILITY, VALIDITY, AND REPORTING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56" Target="media/rId5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65" Target="media/rId65.png" /><Relationship Type="http://schemas.openxmlformats.org/officeDocument/2006/relationships/hyperlink" Id="rId41" Target="../../SupplementaryMaterials/CodingProtocols/coding_protocol_information.Rmd" TargetMode="External" /><Relationship Type="http://schemas.openxmlformats.org/officeDocument/2006/relationships/hyperlink" Id="rId27" Target="../../SupplementaryMaterials/SupplementaryAnalysesScripts/Supplementary_exploratory_version_pre-reg_analyses.Rmd" TargetMode="External" /><Relationship Type="http://schemas.openxmlformats.org/officeDocument/2006/relationships/hyperlink" Id="rId49" Target="../../SupplementaryMaterials/SupplementaryAnalysesScripts/Supplementary_initial_QMP_ratio_table.rmd" TargetMode="External" /><Relationship Type="http://schemas.openxmlformats.org/officeDocument/2006/relationships/hyperlink" Id="rId51" Target="../../SupplementaryMaterials/SupplementaryAnalysesScripts/Supplementary_omega_analyses.Rmd" TargetMode="External" /><Relationship Type="http://schemas.openxmlformats.org/officeDocument/2006/relationships/hyperlink" Id="rId43" Target="../../SupplementaryMaterials/data_retrieval_information.Rmd" TargetMode="External" /><Relationship Type="http://schemas.openxmlformats.org/officeDocument/2006/relationships/hyperlink" Id="rId182" Target="http://www.posit.co/" TargetMode="External" /><Relationship Type="http://schemas.openxmlformats.org/officeDocument/2006/relationships/hyperlink" Id="rId196" Target="https://CRAN.R-project.org/package=worcs" TargetMode="External" /><Relationship Type="http://schemas.openxmlformats.org/officeDocument/2006/relationships/hyperlink" Id="rId180" Target="https://doi.org/10.1002/jrsm.13" TargetMode="External" /><Relationship Type="http://schemas.openxmlformats.org/officeDocument/2006/relationships/hyperlink" Id="rId102" Target="https://doi.org/10.1002/jrsm.1678" TargetMode="External" /><Relationship Type="http://schemas.openxmlformats.org/officeDocument/2006/relationships/hyperlink" Id="rId145" Target="https://doi.org/10.1002/sim.6632" TargetMode="External" /><Relationship Type="http://schemas.openxmlformats.org/officeDocument/2006/relationships/hyperlink" Id="rId176" Target="https://doi.org/10.1007/978-1-4684-2490-4_4" TargetMode="External" /><Relationship Type="http://schemas.openxmlformats.org/officeDocument/2006/relationships/hyperlink" Id="rId190" Target="https://doi.org/10.1007/s11336-008-9101-0" TargetMode="External" /><Relationship Type="http://schemas.openxmlformats.org/officeDocument/2006/relationships/hyperlink" Id="rId167" Target="https://doi.org/10.1007/s12144-023-05604-y" TargetMode="External" /><Relationship Type="http://schemas.openxmlformats.org/officeDocument/2006/relationships/hyperlink" Id="rId165" Target="https://doi.org/10.1007/s40037-017-0347-z" TargetMode="External" /><Relationship Type="http://schemas.openxmlformats.org/officeDocument/2006/relationships/hyperlink" Id="rId117" Target="https://doi.org/10.1016/S0191-8869(99)00204-4" TargetMode="External" /><Relationship Type="http://schemas.openxmlformats.org/officeDocument/2006/relationships/hyperlink" Id="rId186" Target="https://doi.org/10.1016/j.jbusres.2015.12.004" TargetMode="External" /><Relationship Type="http://schemas.openxmlformats.org/officeDocument/2006/relationships/hyperlink" Id="rId123" Target="https://doi.org/10.1016/j.jesp.2015.10.012" TargetMode="External" /><Relationship Type="http://schemas.openxmlformats.org/officeDocument/2006/relationships/hyperlink" Id="rId159" Target="https://doi.org/10.1027/1864-9335/a000178" TargetMode="External" /><Relationship Type="http://schemas.openxmlformats.org/officeDocument/2006/relationships/hyperlink" Id="rId109" Target="https://doi.org/10.1037/0021-9010.78.1.98" TargetMode="External" /><Relationship Type="http://schemas.openxmlformats.org/officeDocument/2006/relationships/hyperlink" Id="rId121" Target="https://doi.org/10.1037/0021-9010.89.5.792" TargetMode="External" /><Relationship Type="http://schemas.openxmlformats.org/officeDocument/2006/relationships/hyperlink" Id="rId188" Target="https://doi.org/10.1037/1040-3590.8.4.350" TargetMode="External" /><Relationship Type="http://schemas.openxmlformats.org/officeDocument/2006/relationships/hyperlink" Id="rId169" Target="https://doi.org/10.1037/1082-989X.4.1.84" TargetMode="External" /><Relationship Type="http://schemas.openxmlformats.org/officeDocument/2006/relationships/hyperlink" Id="rId129" Target="https://doi.org/10.1037/amp0001006" TargetMode="External" /><Relationship Type="http://schemas.openxmlformats.org/officeDocument/2006/relationships/hyperlink" Id="rId171" Target="https://doi.org/10.1037/cap0000220" TargetMode="External" /><Relationship Type="http://schemas.openxmlformats.org/officeDocument/2006/relationships/hyperlink" Id="rId203" Target="https://doi.org/10.1037/emo0000226" TargetMode="External" /><Relationship Type="http://schemas.openxmlformats.org/officeDocument/2006/relationships/hyperlink" Id="rId111" Target="https://doi.org/10.1037/h0040957" TargetMode="External" /><Relationship Type="http://schemas.openxmlformats.org/officeDocument/2006/relationships/hyperlink" Id="rId94" Target="https://doi.org/10.1038/s41562-025-02138-0" TargetMode="External" /><Relationship Type="http://schemas.openxmlformats.org/officeDocument/2006/relationships/hyperlink" Id="rId127" Target="https://doi.org/10.1038/s44271-023-00026-9" TargetMode="External" /><Relationship Type="http://schemas.openxmlformats.org/officeDocument/2006/relationships/hyperlink" Id="rId149" Target="https://doi.org/10.1080/03610739208253916" TargetMode="External" /><Relationship Type="http://schemas.openxmlformats.org/officeDocument/2006/relationships/hyperlink" Id="rId137" Target="https://doi.org/10.1080/09537104.2018.1529865" TargetMode="External" /><Relationship Type="http://schemas.openxmlformats.org/officeDocument/2006/relationships/hyperlink" Id="rId173" Target="https://doi.org/10.1080/10705510701575461" TargetMode="External" /><Relationship Type="http://schemas.openxmlformats.org/officeDocument/2006/relationships/hyperlink" Id="rId115" Target="https://doi.org/10.1080/17437199.2015.1124240" TargetMode="External" /><Relationship Type="http://schemas.openxmlformats.org/officeDocument/2006/relationships/hyperlink" Id="rId113" Target="https://doi.org/10.1111/j.1467-9280.2008.02072.x" TargetMode="External" /><Relationship Type="http://schemas.openxmlformats.org/officeDocument/2006/relationships/hyperlink" Id="rId100" Target="https://doi.org/10.1111/j.1525-1497.2004.40066.x" TargetMode="External" /><Relationship Type="http://schemas.openxmlformats.org/officeDocument/2006/relationships/hyperlink" Id="rId178" Target="https://doi.org/10.1126/science.aac4716" TargetMode="External" /><Relationship Type="http://schemas.openxmlformats.org/officeDocument/2006/relationships/hyperlink" Id="rId141" Target="https://doi.org/10.1136/bmj-2023-075767" TargetMode="External" /><Relationship Type="http://schemas.openxmlformats.org/officeDocument/2006/relationships/hyperlink" Id="rId147" Target="https://doi.org/10.1177/0013164404264120" TargetMode="External" /><Relationship Type="http://schemas.openxmlformats.org/officeDocument/2006/relationships/hyperlink" Id="rId119" Target="https://doi.org/10.1177/0013164416658325" TargetMode="External" /><Relationship Type="http://schemas.openxmlformats.org/officeDocument/2006/relationships/hyperlink" Id="rId163" Target="https://doi.org/10.1177/0013164416683754" TargetMode="External" /><Relationship Type="http://schemas.openxmlformats.org/officeDocument/2006/relationships/hyperlink" Id="rId194" Target="https://doi.org/10.1177/0013164498058001002" TargetMode="External" /><Relationship Type="http://schemas.openxmlformats.org/officeDocument/2006/relationships/hyperlink" Id="rId155" Target="https://doi.org/10.1177/0049124114543236" TargetMode="External" /><Relationship Type="http://schemas.openxmlformats.org/officeDocument/2006/relationships/hyperlink" Id="rId192" Target="https://doi.org/10.1177/0956797611417632" TargetMode="External" /><Relationship Type="http://schemas.openxmlformats.org/officeDocument/2006/relationships/hyperlink" Id="rId153" Target="https://doi.org/10.1177/0956797611430953" TargetMode="External" /><Relationship Type="http://schemas.openxmlformats.org/officeDocument/2006/relationships/hyperlink" Id="rId198" Target="https://doi.org/10.1177/09637214211067779" TargetMode="External" /><Relationship Type="http://schemas.openxmlformats.org/officeDocument/2006/relationships/hyperlink" Id="rId98" Target="https://doi.org/10.1177/1090198113483139" TargetMode="External" /><Relationship Type="http://schemas.openxmlformats.org/officeDocument/2006/relationships/hyperlink" Id="rId105" Target="https://doi.org/10.1177/1094428111421987" TargetMode="External" /><Relationship Type="http://schemas.openxmlformats.org/officeDocument/2006/relationships/hyperlink" Id="rId143" Target="https://doi.org/10.1177/1745691620979806" TargetMode="External" /><Relationship Type="http://schemas.openxmlformats.org/officeDocument/2006/relationships/hyperlink" Id="rId133" Target="https://doi.org/10.1177/1948550617693063" TargetMode="External" /><Relationship Type="http://schemas.openxmlformats.org/officeDocument/2006/relationships/hyperlink" Id="rId161" Target="https://doi.org/10.1177/2515245918810225" TargetMode="External" /><Relationship Type="http://schemas.openxmlformats.org/officeDocument/2006/relationships/hyperlink" Id="rId131" Target="https://doi.org/10.1177/2515245920952393" TargetMode="External" /><Relationship Type="http://schemas.openxmlformats.org/officeDocument/2006/relationships/hyperlink" Id="rId125" Target="https://doi.org/10.1177/2515245920958687" TargetMode="External" /><Relationship Type="http://schemas.openxmlformats.org/officeDocument/2006/relationships/hyperlink" Id="rId135" Target="https://doi.org/10.1504/IJQRE.2016.073672" TargetMode="External" /><Relationship Type="http://schemas.openxmlformats.org/officeDocument/2006/relationships/hyperlink" Id="rId207" Target="https://doi.org/10.1525/collabra.121243" TargetMode="External" /><Relationship Type="http://schemas.openxmlformats.org/officeDocument/2006/relationships/hyperlink" Id="rId157" Target="https://doi.org/10.1525/collabra.35271" TargetMode="External" /><Relationship Type="http://schemas.openxmlformats.org/officeDocument/2006/relationships/hyperlink" Id="rId200" Target="https://doi.org/10.18637/jss.v036.i03" TargetMode="External" /><Relationship Type="http://schemas.openxmlformats.org/officeDocument/2006/relationships/hyperlink" Id="rId107" Target="https://doi.org/10.2307/3001666" TargetMode="External" /><Relationship Type="http://schemas.openxmlformats.org/officeDocument/2006/relationships/hyperlink" Id="rId96" Target="https://doi.org/10.31234/osf.io/b4muj_v3" TargetMode="External" /><Relationship Type="http://schemas.openxmlformats.org/officeDocument/2006/relationships/hyperlink" Id="rId151" Target="https://doi.org/10.31234/osf.io/dm8xn" TargetMode="External" /><Relationship Type="http://schemas.openxmlformats.org/officeDocument/2006/relationships/hyperlink" Id="rId205" Target="https://doi.org/10.3389/fpsyg.2016.01832" TargetMode="External" /><Relationship Type="http://schemas.openxmlformats.org/officeDocument/2006/relationships/hyperlink" Id="rId139" Target="https://doi.org/10.4324/9780203781098" TargetMode="External" /><Relationship Type="http://schemas.openxmlformats.org/officeDocument/2006/relationships/hyperlink" Id="rId29" Target="https://github.com/CasGoos/measurement_and_replication" TargetMode="External" /><Relationship Type="http://schemas.openxmlformats.org/officeDocument/2006/relationships/hyperlink" Id="rId44" Target="https://github.com/CasGoos/measurement_and_replication/blob/master/SupplementaryMaterials/data_retrieval_information.Rmd" TargetMode="External" /><Relationship Type="http://schemas.openxmlformats.org/officeDocument/2006/relationships/hyperlink" Id="rId86" Target="https://orcid.org/0000-0001-9024-337X" TargetMode="External" /><Relationship Type="http://schemas.openxmlformats.org/officeDocument/2006/relationships/hyperlink" Id="rId88" Target="https://orcid.org/0000-0002-1468-8585" TargetMode="External" /><Relationship Type="http://schemas.openxmlformats.org/officeDocument/2006/relationships/hyperlink" Id="rId87" Target="https://orcid.org/0000-0003-2415-2933" TargetMode="External" /><Relationship Type="http://schemas.openxmlformats.org/officeDocument/2006/relationships/hyperlink" Id="rId85" Target="https://orcid.org/0009-0005-3792-4148" TargetMode="External" /><Relationship Type="http://schemas.openxmlformats.org/officeDocument/2006/relationships/hyperlink" Id="rId40" Target="https://osf.io/7a6rd/" TargetMode="External" /><Relationship Type="http://schemas.openxmlformats.org/officeDocument/2006/relationships/hyperlink" Id="rId38" Target="https://osf.io/8cd4r/" TargetMode="External" /><Relationship Type="http://schemas.openxmlformats.org/officeDocument/2006/relationships/hyperlink" Id="rId30" Target="https://osf.io/9r8yt/" TargetMode="External" /><Relationship Type="http://schemas.openxmlformats.org/officeDocument/2006/relationships/hyperlink" Id="rId39" Target="https://osf.io/ct89g/" TargetMode="External" /><Relationship Type="http://schemas.openxmlformats.org/officeDocument/2006/relationships/hyperlink" Id="rId26" Target="https://osf.io/jgxyu" TargetMode="External" /><Relationship Type="http://schemas.openxmlformats.org/officeDocument/2006/relationships/hyperlink" Id="rId37" Target="https://osf.io/wx7ck/" TargetMode="External" /><Relationship Type="http://schemas.openxmlformats.org/officeDocument/2006/relationships/hyperlink" Id="rId184" Target="https://www.R-project.org/" TargetMode="External" /><Relationship Type="http://schemas.openxmlformats.org/officeDocument/2006/relationships/hyperlink" Id="rId20" Target="mailto:c.goos@tilburguniversity.edu" TargetMode="External" /></Relationships>
</file>

<file path=word/_rels/footnotes.xml.rels><?xml version="1.0" encoding="UTF-8"?><Relationships xmlns="http://schemas.openxmlformats.org/package/2006/relationships"><Relationship Type="http://schemas.openxmlformats.org/officeDocument/2006/relationships/hyperlink" Id="rId41" Target="../../SupplementaryMaterials/CodingProtocols/coding_protocol_information.Rmd" TargetMode="External" /><Relationship Type="http://schemas.openxmlformats.org/officeDocument/2006/relationships/hyperlink" Id="rId27" Target="../../SupplementaryMaterials/SupplementaryAnalysesScripts/Supplementary_exploratory_version_pre-reg_analyses.Rmd" TargetMode="External" /><Relationship Type="http://schemas.openxmlformats.org/officeDocument/2006/relationships/hyperlink" Id="rId49" Target="../../SupplementaryMaterials/SupplementaryAnalysesScripts/Supplementary_initial_QMP_ratio_table.rmd" TargetMode="External" /><Relationship Type="http://schemas.openxmlformats.org/officeDocument/2006/relationships/hyperlink" Id="rId51" Target="../../SupplementaryMaterials/SupplementaryAnalysesScripts/Supplementary_omega_analyses.Rmd" TargetMode="External" /><Relationship Type="http://schemas.openxmlformats.org/officeDocument/2006/relationships/hyperlink" Id="rId43" Target="../../SupplementaryMaterials/data_retrieval_information.Rmd" TargetMode="External" /><Relationship Type="http://schemas.openxmlformats.org/officeDocument/2006/relationships/hyperlink" Id="rId182" Target="http://www.posit.co/" TargetMode="External" /><Relationship Type="http://schemas.openxmlformats.org/officeDocument/2006/relationships/hyperlink" Id="rId196" Target="https://CRAN.R-project.org/package=worcs" TargetMode="External" /><Relationship Type="http://schemas.openxmlformats.org/officeDocument/2006/relationships/hyperlink" Id="rId180" Target="https://doi.org/10.1002/jrsm.13" TargetMode="External" /><Relationship Type="http://schemas.openxmlformats.org/officeDocument/2006/relationships/hyperlink" Id="rId102" Target="https://doi.org/10.1002/jrsm.1678" TargetMode="External" /><Relationship Type="http://schemas.openxmlformats.org/officeDocument/2006/relationships/hyperlink" Id="rId145" Target="https://doi.org/10.1002/sim.6632" TargetMode="External" /><Relationship Type="http://schemas.openxmlformats.org/officeDocument/2006/relationships/hyperlink" Id="rId176" Target="https://doi.org/10.1007/978-1-4684-2490-4_4" TargetMode="External" /><Relationship Type="http://schemas.openxmlformats.org/officeDocument/2006/relationships/hyperlink" Id="rId190" Target="https://doi.org/10.1007/s11336-008-9101-0" TargetMode="External" /><Relationship Type="http://schemas.openxmlformats.org/officeDocument/2006/relationships/hyperlink" Id="rId167" Target="https://doi.org/10.1007/s12144-023-05604-y" TargetMode="External" /><Relationship Type="http://schemas.openxmlformats.org/officeDocument/2006/relationships/hyperlink" Id="rId165" Target="https://doi.org/10.1007/s40037-017-0347-z" TargetMode="External" /><Relationship Type="http://schemas.openxmlformats.org/officeDocument/2006/relationships/hyperlink" Id="rId117" Target="https://doi.org/10.1016/S0191-8869(99)00204-4" TargetMode="External" /><Relationship Type="http://schemas.openxmlformats.org/officeDocument/2006/relationships/hyperlink" Id="rId186" Target="https://doi.org/10.1016/j.jbusres.2015.12.004" TargetMode="External" /><Relationship Type="http://schemas.openxmlformats.org/officeDocument/2006/relationships/hyperlink" Id="rId123" Target="https://doi.org/10.1016/j.jesp.2015.10.012" TargetMode="External" /><Relationship Type="http://schemas.openxmlformats.org/officeDocument/2006/relationships/hyperlink" Id="rId159" Target="https://doi.org/10.1027/1864-9335/a000178" TargetMode="External" /><Relationship Type="http://schemas.openxmlformats.org/officeDocument/2006/relationships/hyperlink" Id="rId109" Target="https://doi.org/10.1037/0021-9010.78.1.98" TargetMode="External" /><Relationship Type="http://schemas.openxmlformats.org/officeDocument/2006/relationships/hyperlink" Id="rId121" Target="https://doi.org/10.1037/0021-9010.89.5.792" TargetMode="External" /><Relationship Type="http://schemas.openxmlformats.org/officeDocument/2006/relationships/hyperlink" Id="rId188" Target="https://doi.org/10.1037/1040-3590.8.4.350" TargetMode="External" /><Relationship Type="http://schemas.openxmlformats.org/officeDocument/2006/relationships/hyperlink" Id="rId169" Target="https://doi.org/10.1037/1082-989X.4.1.84" TargetMode="External" /><Relationship Type="http://schemas.openxmlformats.org/officeDocument/2006/relationships/hyperlink" Id="rId129" Target="https://doi.org/10.1037/amp0001006" TargetMode="External" /><Relationship Type="http://schemas.openxmlformats.org/officeDocument/2006/relationships/hyperlink" Id="rId171" Target="https://doi.org/10.1037/cap0000220" TargetMode="External" /><Relationship Type="http://schemas.openxmlformats.org/officeDocument/2006/relationships/hyperlink" Id="rId203" Target="https://doi.org/10.1037/emo0000226" TargetMode="External" /><Relationship Type="http://schemas.openxmlformats.org/officeDocument/2006/relationships/hyperlink" Id="rId111" Target="https://doi.org/10.1037/h0040957" TargetMode="External" /><Relationship Type="http://schemas.openxmlformats.org/officeDocument/2006/relationships/hyperlink" Id="rId94" Target="https://doi.org/10.1038/s41562-025-02138-0" TargetMode="External" /><Relationship Type="http://schemas.openxmlformats.org/officeDocument/2006/relationships/hyperlink" Id="rId127" Target="https://doi.org/10.1038/s44271-023-00026-9" TargetMode="External" /><Relationship Type="http://schemas.openxmlformats.org/officeDocument/2006/relationships/hyperlink" Id="rId149" Target="https://doi.org/10.1080/03610739208253916" TargetMode="External" /><Relationship Type="http://schemas.openxmlformats.org/officeDocument/2006/relationships/hyperlink" Id="rId137" Target="https://doi.org/10.1080/09537104.2018.1529865" TargetMode="External" /><Relationship Type="http://schemas.openxmlformats.org/officeDocument/2006/relationships/hyperlink" Id="rId173" Target="https://doi.org/10.1080/10705510701575461" TargetMode="External" /><Relationship Type="http://schemas.openxmlformats.org/officeDocument/2006/relationships/hyperlink" Id="rId115" Target="https://doi.org/10.1080/17437199.2015.1124240" TargetMode="External" /><Relationship Type="http://schemas.openxmlformats.org/officeDocument/2006/relationships/hyperlink" Id="rId113" Target="https://doi.org/10.1111/j.1467-9280.2008.02072.x" TargetMode="External" /><Relationship Type="http://schemas.openxmlformats.org/officeDocument/2006/relationships/hyperlink" Id="rId100" Target="https://doi.org/10.1111/j.1525-1497.2004.40066.x" TargetMode="External" /><Relationship Type="http://schemas.openxmlformats.org/officeDocument/2006/relationships/hyperlink" Id="rId178" Target="https://doi.org/10.1126/science.aac4716" TargetMode="External" /><Relationship Type="http://schemas.openxmlformats.org/officeDocument/2006/relationships/hyperlink" Id="rId141" Target="https://doi.org/10.1136/bmj-2023-075767" TargetMode="External" /><Relationship Type="http://schemas.openxmlformats.org/officeDocument/2006/relationships/hyperlink" Id="rId147" Target="https://doi.org/10.1177/0013164404264120" TargetMode="External" /><Relationship Type="http://schemas.openxmlformats.org/officeDocument/2006/relationships/hyperlink" Id="rId119" Target="https://doi.org/10.1177/0013164416658325" TargetMode="External" /><Relationship Type="http://schemas.openxmlformats.org/officeDocument/2006/relationships/hyperlink" Id="rId163" Target="https://doi.org/10.1177/0013164416683754" TargetMode="External" /><Relationship Type="http://schemas.openxmlformats.org/officeDocument/2006/relationships/hyperlink" Id="rId194" Target="https://doi.org/10.1177/0013164498058001002" TargetMode="External" /><Relationship Type="http://schemas.openxmlformats.org/officeDocument/2006/relationships/hyperlink" Id="rId155" Target="https://doi.org/10.1177/0049124114543236" TargetMode="External" /><Relationship Type="http://schemas.openxmlformats.org/officeDocument/2006/relationships/hyperlink" Id="rId192" Target="https://doi.org/10.1177/0956797611417632" TargetMode="External" /><Relationship Type="http://schemas.openxmlformats.org/officeDocument/2006/relationships/hyperlink" Id="rId153" Target="https://doi.org/10.1177/0956797611430953" TargetMode="External" /><Relationship Type="http://schemas.openxmlformats.org/officeDocument/2006/relationships/hyperlink" Id="rId198" Target="https://doi.org/10.1177/09637214211067779" TargetMode="External" /><Relationship Type="http://schemas.openxmlformats.org/officeDocument/2006/relationships/hyperlink" Id="rId98" Target="https://doi.org/10.1177/1090198113483139" TargetMode="External" /><Relationship Type="http://schemas.openxmlformats.org/officeDocument/2006/relationships/hyperlink" Id="rId105" Target="https://doi.org/10.1177/1094428111421987" TargetMode="External" /><Relationship Type="http://schemas.openxmlformats.org/officeDocument/2006/relationships/hyperlink" Id="rId143" Target="https://doi.org/10.1177/1745691620979806" TargetMode="External" /><Relationship Type="http://schemas.openxmlformats.org/officeDocument/2006/relationships/hyperlink" Id="rId133" Target="https://doi.org/10.1177/1948550617693063" TargetMode="External" /><Relationship Type="http://schemas.openxmlformats.org/officeDocument/2006/relationships/hyperlink" Id="rId161" Target="https://doi.org/10.1177/2515245918810225" TargetMode="External" /><Relationship Type="http://schemas.openxmlformats.org/officeDocument/2006/relationships/hyperlink" Id="rId131" Target="https://doi.org/10.1177/2515245920952393" TargetMode="External" /><Relationship Type="http://schemas.openxmlformats.org/officeDocument/2006/relationships/hyperlink" Id="rId125" Target="https://doi.org/10.1177/2515245920958687" TargetMode="External" /><Relationship Type="http://schemas.openxmlformats.org/officeDocument/2006/relationships/hyperlink" Id="rId135" Target="https://doi.org/10.1504/IJQRE.2016.073672" TargetMode="External" /><Relationship Type="http://schemas.openxmlformats.org/officeDocument/2006/relationships/hyperlink" Id="rId207" Target="https://doi.org/10.1525/collabra.121243" TargetMode="External" /><Relationship Type="http://schemas.openxmlformats.org/officeDocument/2006/relationships/hyperlink" Id="rId157" Target="https://doi.org/10.1525/collabra.35271" TargetMode="External" /><Relationship Type="http://schemas.openxmlformats.org/officeDocument/2006/relationships/hyperlink" Id="rId200" Target="https://doi.org/10.18637/jss.v036.i03" TargetMode="External" /><Relationship Type="http://schemas.openxmlformats.org/officeDocument/2006/relationships/hyperlink" Id="rId107" Target="https://doi.org/10.2307/3001666" TargetMode="External" /><Relationship Type="http://schemas.openxmlformats.org/officeDocument/2006/relationships/hyperlink" Id="rId96" Target="https://doi.org/10.31234/osf.io/b4muj_v3" TargetMode="External" /><Relationship Type="http://schemas.openxmlformats.org/officeDocument/2006/relationships/hyperlink" Id="rId151" Target="https://doi.org/10.31234/osf.io/dm8xn" TargetMode="External" /><Relationship Type="http://schemas.openxmlformats.org/officeDocument/2006/relationships/hyperlink" Id="rId205" Target="https://doi.org/10.3389/fpsyg.2016.01832" TargetMode="External" /><Relationship Type="http://schemas.openxmlformats.org/officeDocument/2006/relationships/hyperlink" Id="rId139" Target="https://doi.org/10.4324/9780203781098" TargetMode="External" /><Relationship Type="http://schemas.openxmlformats.org/officeDocument/2006/relationships/hyperlink" Id="rId29" Target="https://github.com/CasGoos/measurement_and_replication" TargetMode="External" /><Relationship Type="http://schemas.openxmlformats.org/officeDocument/2006/relationships/hyperlink" Id="rId44" Target="https://github.com/CasGoos/measurement_and_replication/blob/master/SupplementaryMaterials/data_retrieval_information.Rmd" TargetMode="External" /><Relationship Type="http://schemas.openxmlformats.org/officeDocument/2006/relationships/hyperlink" Id="rId86" Target="https://orcid.org/0000-0001-9024-337X" TargetMode="External" /><Relationship Type="http://schemas.openxmlformats.org/officeDocument/2006/relationships/hyperlink" Id="rId88" Target="https://orcid.org/0000-0002-1468-8585" TargetMode="External" /><Relationship Type="http://schemas.openxmlformats.org/officeDocument/2006/relationships/hyperlink" Id="rId87" Target="https://orcid.org/0000-0003-2415-2933" TargetMode="External" /><Relationship Type="http://schemas.openxmlformats.org/officeDocument/2006/relationships/hyperlink" Id="rId85" Target="https://orcid.org/0009-0005-3792-4148" TargetMode="External" /><Relationship Type="http://schemas.openxmlformats.org/officeDocument/2006/relationships/hyperlink" Id="rId40" Target="https://osf.io/7a6rd/" TargetMode="External" /><Relationship Type="http://schemas.openxmlformats.org/officeDocument/2006/relationships/hyperlink" Id="rId38" Target="https://osf.io/8cd4r/" TargetMode="External" /><Relationship Type="http://schemas.openxmlformats.org/officeDocument/2006/relationships/hyperlink" Id="rId30" Target="https://osf.io/9r8yt/" TargetMode="External" /><Relationship Type="http://schemas.openxmlformats.org/officeDocument/2006/relationships/hyperlink" Id="rId39" Target="https://osf.io/ct89g/" TargetMode="External" /><Relationship Type="http://schemas.openxmlformats.org/officeDocument/2006/relationships/hyperlink" Id="rId26" Target="https://osf.io/jgxyu" TargetMode="External" /><Relationship Type="http://schemas.openxmlformats.org/officeDocument/2006/relationships/hyperlink" Id="rId37" Target="https://osf.io/wx7ck/" TargetMode="External" /><Relationship Type="http://schemas.openxmlformats.org/officeDocument/2006/relationships/hyperlink" Id="rId184" Target="https://www.R-project.org/" TargetMode="External" /><Relationship Type="http://schemas.openxmlformats.org/officeDocument/2006/relationships/hyperlink" Id="rId20" Target="mailto:c.goos@tilburguniversit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Measurement Reliabily, Validity, and Reporting in Replicaitons and Original Research</dc:title>
  <dc:creator/>
  <cp:keywords/>
  <dcterms:created xsi:type="dcterms:W3CDTF">2025-09-11T16:22:26Z</dcterms:created>
  <dcterms:modified xsi:type="dcterms:W3CDTF">2025-09-11T16:22:26Z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note">
    <vt:lpwstr>The authors made the following contributions. CG: Conceptualization, Data curation, Formal Analysis, Investigation, Methodology, Project Administration, Software, Visualization, Writing - Original Draft Preparation, Writing - Review &amp; Editing; MB: Conceptualization, Supervision, Writing - Review &amp; Editing; JW: Conceptualization, Supervision, Writing - Review &amp; Editing; MN: Conceptualization, Project Administration, Supervision, Validation, Writing - Review &amp; Editing.</vt:lpwstr>
  </property>
  <property fmtid="{D5CDD505-2E9C-101B-9397-08002B2CF9AE}" pid="3" name="bibliography">
    <vt:lpwstr/>
  </property>
  <property fmtid="{D5CDD505-2E9C-101B-9397-08002B2CF9AE}" pid="4" name="classoption">
    <vt:lpwstr>man</vt:lpwstr>
  </property>
  <property fmtid="{D5CDD505-2E9C-101B-9397-08002B2CF9AE}" pid="5" name="csl">
    <vt:lpwstr>C:\Users\u686785\AppData\Local\R\cache\R\renv\cache\v5\R-4.4\x86_64-w64-mingw32\papaja\0.1.3\daeefc6bca1fac272f5e604d35923596\papaja\rmd\apa7.csl</vt:lpwstr>
  </property>
  <property fmtid="{D5CDD505-2E9C-101B-9397-08002B2CF9AE}" pid="6" name="documentclass">
    <vt:lpwstr>apa7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worcs::cite_all</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Measurement Reliability, Validity, and Reporting</vt:lpwstr>
  </property>
  <property fmtid="{D5CDD505-2E9C-101B-9397-08002B2CF9AE}" pid="17" name="tablelist">
    <vt:lpwstr>False</vt:lpwstr>
  </property>
  <property fmtid="{D5CDD505-2E9C-101B-9397-08002B2CF9AE}" pid="18" name="wordcount">
    <vt:lpwstr>1</vt:lpwstr>
  </property>
</Properties>
</file>