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5BE44F"/>
    <w:p w14:paraId="3CEF63E5"/>
    <w:p w14:paraId="7DC96D4E"/>
    <w:p w14:paraId="2B0E8F66"/>
    <w:p w14:paraId="6E7ED014">
      <w:pPr>
        <w:spacing w:after="120"/>
        <w:jc w:val="center"/>
      </w:pPr>
      <w:r>
        <w:rPr>
          <w:rFonts w:ascii="宋体" w:hAnsi="宋体" w:eastAsia="宋体"/>
          <w:b w:val="0"/>
          <w:sz w:val="28"/>
        </w:rPr>
        <w:t>创新创业项目商业计划书</w:t>
      </w:r>
    </w:p>
    <w:p w14:paraId="09DAA815">
      <w:pPr>
        <w:spacing w:after="120"/>
        <w:jc w:val="center"/>
      </w:pPr>
      <w:r>
        <w:rPr>
          <w:rFonts w:ascii="宋体" w:hAnsi="宋体" w:eastAsia="宋体"/>
          <w:b/>
          <w:sz w:val="52"/>
        </w:rPr>
        <w:t>"书环智循环"</w:t>
      </w:r>
    </w:p>
    <w:p w14:paraId="44844588">
      <w:pPr>
        <w:spacing w:after="120"/>
        <w:jc w:val="center"/>
      </w:pPr>
      <w:r>
        <w:rPr>
          <w:rFonts w:ascii="宋体" w:hAnsi="宋体" w:eastAsia="宋体"/>
          <w:b w:val="0"/>
          <w:sz w:val="32"/>
        </w:rPr>
        <w:t>校园二手图书智能循环与生态服务平台</w:t>
      </w:r>
    </w:p>
    <w:p w14:paraId="14692862">
      <w:pPr>
        <w:spacing w:after="120"/>
        <w:jc w:val="center"/>
      </w:pPr>
      <w:r>
        <w:rPr>
          <w:rFonts w:ascii="宋体" w:hAnsi="宋体" w:eastAsia="宋体"/>
          <w:b w:val="0"/>
          <w:sz w:val="24"/>
        </w:rPr>
        <w:t>项目宣传语：让闲置的书，再一次被需要</w:t>
      </w:r>
    </w:p>
    <w:p w14:paraId="32B3CF78"/>
    <w:p w14:paraId="685182E2">
      <w:pPr>
        <w:spacing w:after="120"/>
        <w:jc w:val="center"/>
      </w:pPr>
      <w:r>
        <w:rPr>
          <w:rFonts w:ascii="宋体" w:hAnsi="宋体" w:eastAsia="宋体"/>
          <w:b w:val="0"/>
          <w:sz w:val="22"/>
        </w:rPr>
        <w:t>版本：V2.0 深度优化版（依据评审意见修订）</w:t>
      </w:r>
    </w:p>
    <w:p w14:paraId="1439F1AC">
      <w:r>
        <w:br w:type="page"/>
      </w:r>
    </w:p>
    <w:sdt>
      <w:sdtPr>
        <w:rPr>
          <w:rFonts w:ascii="宋体" w:hAnsi="宋体" w:eastAsia="宋体" w:cstheme="minorBidi"/>
          <w:sz w:val="21"/>
          <w:szCs w:val="22"/>
          <w:lang w:val="en-US" w:eastAsia="en-US" w:bidi="ar-SA"/>
        </w:rPr>
        <w:id w:val="147480652"/>
        <w15:color w:val="DBDBDB"/>
        <w:docPartObj>
          <w:docPartGallery w:val="Table of Contents"/>
          <w:docPartUnique/>
        </w:docPartObj>
      </w:sdtPr>
      <w:sdtEndPr>
        <w:rPr>
          <w:rFonts w:ascii="Times New Roman" w:hAnsi="Times New Roman" w:eastAsia="宋体" w:cstheme="minorBidi"/>
          <w:sz w:val="22"/>
          <w:szCs w:val="22"/>
          <w:lang w:val="en-US" w:eastAsia="en-US" w:bidi="ar-SA"/>
        </w:rPr>
      </w:sdtEndPr>
      <w:sdtContent>
        <w:p w14:paraId="4B137A36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1CBDF906">
          <w:pPr>
            <w:pStyle w:val="26"/>
            <w:tabs>
              <w:tab w:val="right" w:leader="dot" w:pos="8640"/>
            </w:tabs>
          </w:pPr>
          <w:r>
            <w:rPr>
              <w:rFonts w:ascii="Times New Roman" w:hAnsi="Times New Roman" w:eastAsia="宋体" w:cstheme="minorBidi"/>
              <w:sz w:val="22"/>
              <w:szCs w:val="22"/>
              <w:lang w:val="en-US" w:eastAsia="en-US" w:bidi="ar-SA"/>
            </w:rPr>
            <w:fldChar w:fldCharType="begin"/>
          </w:r>
          <w:r>
            <w:rPr>
              <w:rFonts w:ascii="Times New Roman" w:hAnsi="Times New Roman" w:eastAsia="宋体" w:cstheme="minorBidi"/>
              <w:sz w:val="22"/>
              <w:szCs w:val="22"/>
              <w:lang w:val="en-US" w:eastAsia="en-US" w:bidi="ar-SA"/>
            </w:rPr>
            <w:instrText xml:space="preserve">TOC \o "1-3" \h \u </w:instrText>
          </w:r>
          <w:r>
            <w:rPr>
              <w:rFonts w:ascii="Times New Roman" w:hAnsi="Times New Roman" w:eastAsia="宋体" w:cstheme="minorBidi"/>
              <w:sz w:val="22"/>
              <w:szCs w:val="22"/>
              <w:lang w:val="en-US" w:eastAsia="en-US" w:bidi="ar-SA"/>
            </w:rPr>
            <w:fldChar w:fldCharType="separate"/>
          </w:r>
          <w:r>
            <w:rPr>
              <w:rFonts w:ascii="Times New Roman" w:hAnsi="Times New Roman" w:eastAsia="宋体" w:cstheme="minorBidi"/>
              <w:szCs w:val="22"/>
              <w:lang w:val="en-US" w:eastAsia="en-US" w:bidi="ar-SA"/>
            </w:rPr>
            <w:fldChar w:fldCharType="begin"/>
          </w:r>
          <w:r>
            <w:rPr>
              <w:rFonts w:ascii="Times New Roman" w:hAnsi="Times New Roman" w:eastAsia="宋体" w:cstheme="minorBidi"/>
              <w:szCs w:val="22"/>
              <w:lang w:val="en-US" w:eastAsia="en-US" w:bidi="ar-SA"/>
            </w:rPr>
            <w:instrText xml:space="preserve"> HYPERLINK \l _Toc15065 </w:instrText>
          </w:r>
          <w:r>
            <w:rPr>
              <w:rFonts w:ascii="Times New Roman" w:hAnsi="Times New Roman" w:eastAsia="宋体" w:cstheme="minorBidi"/>
              <w:szCs w:val="22"/>
              <w:lang w:val="en-US" w:eastAsia="en-US" w:bidi="ar-SA"/>
            </w:rPr>
            <w:fldChar w:fldCharType="separate"/>
          </w:r>
          <w:r>
            <w:rPr>
              <w:rFonts w:ascii="微软雅黑" w:hAnsi="微软雅黑" w:eastAsia="微软雅黑"/>
            </w:rPr>
            <w:t>编写说明</w:t>
          </w:r>
          <w:r>
            <w:tab/>
          </w:r>
          <w:r>
            <w:fldChar w:fldCharType="begin"/>
          </w:r>
          <w:r>
            <w:instrText xml:space="preserve"> PAGEREF _Toc15065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Times New Roman" w:hAnsi="Times New Roman" w:eastAsia="宋体" w:cstheme="minorBidi"/>
              <w:szCs w:val="22"/>
              <w:lang w:val="en-US" w:eastAsia="en-US" w:bidi="ar-SA"/>
            </w:rPr>
            <w:fldChar w:fldCharType="end"/>
          </w:r>
        </w:p>
        <w:p w14:paraId="603F6ECD">
          <w:pPr>
            <w:pStyle w:val="26"/>
            <w:tabs>
              <w:tab w:val="right" w:leader="dot" w:pos="8640"/>
            </w:tabs>
          </w:pPr>
          <w:r>
            <w:rPr>
              <w:rFonts w:ascii="Times New Roman" w:hAnsi="Times New Roman" w:eastAsia="宋体" w:cstheme="minorBidi"/>
              <w:szCs w:val="22"/>
              <w:lang w:val="en-US" w:eastAsia="en-US" w:bidi="ar-SA"/>
            </w:rPr>
            <w:fldChar w:fldCharType="begin"/>
          </w:r>
          <w:r>
            <w:rPr>
              <w:rFonts w:ascii="Times New Roman" w:hAnsi="Times New Roman" w:eastAsia="宋体" w:cstheme="minorBidi"/>
              <w:szCs w:val="22"/>
              <w:lang w:val="en-US" w:eastAsia="en-US" w:bidi="ar-SA"/>
            </w:rPr>
            <w:instrText xml:space="preserve"> HYPERLINK \l _Toc6912 </w:instrText>
          </w:r>
          <w:r>
            <w:rPr>
              <w:rFonts w:ascii="Times New Roman" w:hAnsi="Times New Roman" w:eastAsia="宋体" w:cstheme="minorBidi"/>
              <w:szCs w:val="22"/>
              <w:lang w:val="en-US" w:eastAsia="en-US" w:bidi="ar-SA"/>
            </w:rPr>
            <w:fldChar w:fldCharType="separate"/>
          </w:r>
          <w:r>
            <w:rPr>
              <w:rFonts w:ascii="微软雅黑" w:hAnsi="微软雅黑" w:eastAsia="微软雅黑"/>
            </w:rPr>
            <w:t>第一章 执行摘要</w:t>
          </w:r>
          <w:r>
            <w:tab/>
          </w:r>
          <w:r>
            <w:fldChar w:fldCharType="begin"/>
          </w:r>
          <w:r>
            <w:instrText xml:space="preserve"> PAGEREF _Toc6912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Times New Roman" w:hAnsi="Times New Roman" w:eastAsia="宋体" w:cstheme="minorBidi"/>
              <w:szCs w:val="22"/>
              <w:lang w:val="en-US" w:eastAsia="en-US" w:bidi="ar-SA"/>
            </w:rPr>
            <w:fldChar w:fldCharType="end"/>
          </w:r>
        </w:p>
        <w:p w14:paraId="748C8C1F">
          <w:pPr>
            <w:pStyle w:val="29"/>
            <w:tabs>
              <w:tab w:val="right" w:leader="dot" w:pos="8640"/>
            </w:tabs>
          </w:pPr>
          <w:r>
            <w:rPr>
              <w:rFonts w:ascii="Times New Roman" w:hAnsi="Times New Roman" w:eastAsia="宋体" w:cstheme="minorBidi"/>
              <w:szCs w:val="22"/>
              <w:lang w:val="en-US" w:eastAsia="en-US" w:bidi="ar-SA"/>
            </w:rPr>
            <w:fldChar w:fldCharType="begin"/>
          </w:r>
          <w:r>
            <w:rPr>
              <w:rFonts w:ascii="Times New Roman" w:hAnsi="Times New Roman" w:eastAsia="宋体" w:cstheme="minorBidi"/>
              <w:szCs w:val="22"/>
              <w:lang w:val="en-US" w:eastAsia="en-US" w:bidi="ar-SA"/>
            </w:rPr>
            <w:instrText xml:space="preserve"> HYPERLINK \l _Toc17591 </w:instrText>
          </w:r>
          <w:r>
            <w:rPr>
              <w:rFonts w:ascii="Times New Roman" w:hAnsi="Times New Roman" w:eastAsia="宋体" w:cstheme="minorBidi"/>
              <w:szCs w:val="22"/>
              <w:lang w:val="en-US" w:eastAsia="en-US" w:bidi="ar-SA"/>
            </w:rPr>
            <w:fldChar w:fldCharType="separate"/>
          </w:r>
          <w:r>
            <w:rPr>
              <w:rFonts w:ascii="微软雅黑" w:hAnsi="微软雅黑" w:eastAsia="微软雅黑"/>
            </w:rPr>
            <w:t>1.1 项目概述</w:t>
          </w:r>
          <w:r>
            <w:tab/>
          </w:r>
          <w:r>
            <w:fldChar w:fldCharType="begin"/>
          </w:r>
          <w:r>
            <w:instrText xml:space="preserve"> PAGEREF _Toc17591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Times New Roman" w:hAnsi="Times New Roman" w:eastAsia="宋体" w:cstheme="minorBidi"/>
              <w:szCs w:val="22"/>
              <w:lang w:val="en-US" w:eastAsia="en-US" w:bidi="ar-SA"/>
            </w:rPr>
            <w:fldChar w:fldCharType="end"/>
          </w:r>
        </w:p>
        <w:p w14:paraId="0AA5CBAB">
          <w:pPr>
            <w:pStyle w:val="29"/>
            <w:tabs>
              <w:tab w:val="right" w:leader="dot" w:pos="8640"/>
            </w:tabs>
          </w:pPr>
          <w:r>
            <w:rPr>
              <w:rFonts w:ascii="Times New Roman" w:hAnsi="Times New Roman" w:eastAsia="宋体" w:cstheme="minorBidi"/>
              <w:szCs w:val="22"/>
              <w:lang w:val="en-US" w:eastAsia="en-US" w:bidi="ar-SA"/>
            </w:rPr>
            <w:fldChar w:fldCharType="begin"/>
          </w:r>
          <w:r>
            <w:rPr>
              <w:rFonts w:ascii="Times New Roman" w:hAnsi="Times New Roman" w:eastAsia="宋体" w:cstheme="minorBidi"/>
              <w:szCs w:val="22"/>
              <w:lang w:val="en-US" w:eastAsia="en-US" w:bidi="ar-SA"/>
            </w:rPr>
            <w:instrText xml:space="preserve"> HYPERLINK \l _Toc11773 </w:instrText>
          </w:r>
          <w:r>
            <w:rPr>
              <w:rFonts w:ascii="Times New Roman" w:hAnsi="Times New Roman" w:eastAsia="宋体" w:cstheme="minorBidi"/>
              <w:szCs w:val="22"/>
              <w:lang w:val="en-US" w:eastAsia="en-US" w:bidi="ar-SA"/>
            </w:rPr>
            <w:fldChar w:fldCharType="separate"/>
          </w:r>
          <w:r>
            <w:rPr>
              <w:rFonts w:ascii="微软雅黑" w:hAnsi="微软雅黑" w:eastAsia="微软雅黑"/>
            </w:rPr>
            <w:t>1.2 核心竞争力</w:t>
          </w:r>
          <w:r>
            <w:tab/>
          </w:r>
          <w:r>
            <w:fldChar w:fldCharType="begin"/>
          </w:r>
          <w:r>
            <w:instrText xml:space="preserve"> PAGEREF _Toc11773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Times New Roman" w:hAnsi="Times New Roman" w:eastAsia="宋体" w:cstheme="minorBidi"/>
              <w:szCs w:val="22"/>
              <w:lang w:val="en-US" w:eastAsia="en-US" w:bidi="ar-SA"/>
            </w:rPr>
            <w:fldChar w:fldCharType="end"/>
          </w:r>
        </w:p>
        <w:p w14:paraId="2F905A08">
          <w:pPr>
            <w:pStyle w:val="29"/>
            <w:tabs>
              <w:tab w:val="right" w:leader="dot" w:pos="8640"/>
            </w:tabs>
          </w:pPr>
          <w:r>
            <w:rPr>
              <w:rFonts w:ascii="Times New Roman" w:hAnsi="Times New Roman" w:eastAsia="宋体" w:cstheme="minorBidi"/>
              <w:szCs w:val="22"/>
              <w:lang w:val="en-US" w:eastAsia="en-US" w:bidi="ar-SA"/>
            </w:rPr>
            <w:fldChar w:fldCharType="begin"/>
          </w:r>
          <w:r>
            <w:rPr>
              <w:rFonts w:ascii="Times New Roman" w:hAnsi="Times New Roman" w:eastAsia="宋体" w:cstheme="minorBidi"/>
              <w:szCs w:val="22"/>
              <w:lang w:val="en-US" w:eastAsia="en-US" w:bidi="ar-SA"/>
            </w:rPr>
            <w:instrText xml:space="preserve"> HYPERLINK \l _Toc12314 </w:instrText>
          </w:r>
          <w:r>
            <w:rPr>
              <w:rFonts w:ascii="Times New Roman" w:hAnsi="Times New Roman" w:eastAsia="宋体" w:cstheme="minorBidi"/>
              <w:szCs w:val="22"/>
              <w:lang w:val="en-US" w:eastAsia="en-US" w:bidi="ar-SA"/>
            </w:rPr>
            <w:fldChar w:fldCharType="separate"/>
          </w:r>
          <w:r>
            <w:rPr>
              <w:rFonts w:ascii="微软雅黑" w:hAnsi="微软雅黑" w:eastAsia="微软雅黑"/>
            </w:rPr>
            <w:t>1.3 核心亮点指标矩阵</w:t>
          </w:r>
          <w:r>
            <w:tab/>
          </w:r>
          <w:r>
            <w:fldChar w:fldCharType="begin"/>
          </w:r>
          <w:r>
            <w:instrText xml:space="preserve"> PAGEREF _Toc12314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Times New Roman" w:hAnsi="Times New Roman" w:eastAsia="宋体" w:cstheme="minorBidi"/>
              <w:szCs w:val="22"/>
              <w:lang w:val="en-US" w:eastAsia="en-US" w:bidi="ar-SA"/>
            </w:rPr>
            <w:fldChar w:fldCharType="end"/>
          </w:r>
        </w:p>
        <w:p w14:paraId="0AC1DE13">
          <w:pPr>
            <w:pStyle w:val="29"/>
            <w:tabs>
              <w:tab w:val="right" w:leader="dot" w:pos="8640"/>
            </w:tabs>
          </w:pPr>
          <w:r>
            <w:rPr>
              <w:rFonts w:ascii="Times New Roman" w:hAnsi="Times New Roman" w:eastAsia="宋体" w:cstheme="minorBidi"/>
              <w:szCs w:val="22"/>
              <w:lang w:val="en-US" w:eastAsia="en-US" w:bidi="ar-SA"/>
            </w:rPr>
            <w:fldChar w:fldCharType="begin"/>
          </w:r>
          <w:r>
            <w:rPr>
              <w:rFonts w:ascii="Times New Roman" w:hAnsi="Times New Roman" w:eastAsia="宋体" w:cstheme="minorBidi"/>
              <w:szCs w:val="22"/>
              <w:lang w:val="en-US" w:eastAsia="en-US" w:bidi="ar-SA"/>
            </w:rPr>
            <w:instrText xml:space="preserve"> HYPERLINK \l _Toc23652 </w:instrText>
          </w:r>
          <w:r>
            <w:rPr>
              <w:rFonts w:ascii="Times New Roman" w:hAnsi="Times New Roman" w:eastAsia="宋体" w:cstheme="minorBidi"/>
              <w:szCs w:val="22"/>
              <w:lang w:val="en-US" w:eastAsia="en-US" w:bidi="ar-SA"/>
            </w:rPr>
            <w:fldChar w:fldCharType="separate"/>
          </w:r>
          <w:r>
            <w:rPr>
              <w:rFonts w:ascii="微软雅黑" w:hAnsi="微软雅黑" w:eastAsia="微软雅黑"/>
            </w:rPr>
            <w:t>1.4 市场机会</w:t>
          </w:r>
          <w:r>
            <w:tab/>
          </w:r>
          <w:r>
            <w:fldChar w:fldCharType="begin"/>
          </w:r>
          <w:r>
            <w:instrText xml:space="preserve"> PAGEREF _Toc23652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Times New Roman" w:hAnsi="Times New Roman" w:eastAsia="宋体" w:cstheme="minorBidi"/>
              <w:szCs w:val="22"/>
              <w:lang w:val="en-US" w:eastAsia="en-US" w:bidi="ar-SA"/>
            </w:rPr>
            <w:fldChar w:fldCharType="end"/>
          </w:r>
        </w:p>
        <w:p w14:paraId="55DA11D0">
          <w:pPr>
            <w:pStyle w:val="29"/>
            <w:tabs>
              <w:tab w:val="right" w:leader="dot" w:pos="8640"/>
            </w:tabs>
          </w:pPr>
          <w:r>
            <w:rPr>
              <w:rFonts w:ascii="Times New Roman" w:hAnsi="Times New Roman" w:eastAsia="宋体" w:cstheme="minorBidi"/>
              <w:szCs w:val="22"/>
              <w:lang w:val="en-US" w:eastAsia="en-US" w:bidi="ar-SA"/>
            </w:rPr>
            <w:fldChar w:fldCharType="begin"/>
          </w:r>
          <w:r>
            <w:rPr>
              <w:rFonts w:ascii="Times New Roman" w:hAnsi="Times New Roman" w:eastAsia="宋体" w:cstheme="minorBidi"/>
              <w:szCs w:val="22"/>
              <w:lang w:val="en-US" w:eastAsia="en-US" w:bidi="ar-SA"/>
            </w:rPr>
            <w:instrText xml:space="preserve"> HYPERLINK \l _Toc14938 </w:instrText>
          </w:r>
          <w:r>
            <w:rPr>
              <w:rFonts w:ascii="Times New Roman" w:hAnsi="Times New Roman" w:eastAsia="宋体" w:cstheme="minorBidi"/>
              <w:szCs w:val="22"/>
              <w:lang w:val="en-US" w:eastAsia="en-US" w:bidi="ar-SA"/>
            </w:rPr>
            <w:fldChar w:fldCharType="separate"/>
          </w:r>
          <w:r>
            <w:rPr>
              <w:rFonts w:ascii="微软雅黑" w:hAnsi="微软雅黑" w:eastAsia="微软雅黑"/>
            </w:rPr>
            <w:t>1.5 财务与融资概要</w:t>
          </w:r>
          <w:r>
            <w:tab/>
          </w:r>
          <w:r>
            <w:fldChar w:fldCharType="begin"/>
          </w:r>
          <w:r>
            <w:instrText xml:space="preserve"> PAGEREF _Toc14938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Times New Roman" w:hAnsi="Times New Roman" w:eastAsia="宋体" w:cstheme="minorBidi"/>
              <w:szCs w:val="22"/>
              <w:lang w:val="en-US" w:eastAsia="en-US" w:bidi="ar-SA"/>
            </w:rPr>
            <w:fldChar w:fldCharType="end"/>
          </w:r>
        </w:p>
        <w:p w14:paraId="18993EDB">
          <w:pPr>
            <w:pStyle w:val="26"/>
            <w:tabs>
              <w:tab w:val="right" w:leader="dot" w:pos="8640"/>
            </w:tabs>
          </w:pPr>
          <w:r>
            <w:rPr>
              <w:rFonts w:ascii="Times New Roman" w:hAnsi="Times New Roman" w:eastAsia="宋体" w:cstheme="minorBidi"/>
              <w:szCs w:val="22"/>
              <w:lang w:val="en-US" w:eastAsia="en-US" w:bidi="ar-SA"/>
            </w:rPr>
            <w:fldChar w:fldCharType="begin"/>
          </w:r>
          <w:r>
            <w:rPr>
              <w:rFonts w:ascii="Times New Roman" w:hAnsi="Times New Roman" w:eastAsia="宋体" w:cstheme="minorBidi"/>
              <w:szCs w:val="22"/>
              <w:lang w:val="en-US" w:eastAsia="en-US" w:bidi="ar-SA"/>
            </w:rPr>
            <w:instrText xml:space="preserve"> HYPERLINK \l _Toc18414 </w:instrText>
          </w:r>
          <w:r>
            <w:rPr>
              <w:rFonts w:ascii="Times New Roman" w:hAnsi="Times New Roman" w:eastAsia="宋体" w:cstheme="minorBidi"/>
              <w:szCs w:val="22"/>
              <w:lang w:val="en-US" w:eastAsia="en-US" w:bidi="ar-SA"/>
            </w:rPr>
            <w:fldChar w:fldCharType="separate"/>
          </w:r>
          <w:r>
            <w:rPr>
              <w:rFonts w:ascii="微软雅黑" w:hAnsi="微软雅黑" w:eastAsia="微软雅黑"/>
            </w:rPr>
            <w:t>第二章 项目背景与市场分析</w:t>
          </w:r>
          <w:r>
            <w:tab/>
          </w:r>
          <w:r>
            <w:fldChar w:fldCharType="begin"/>
          </w:r>
          <w:r>
            <w:instrText xml:space="preserve"> PAGEREF _Toc18414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Times New Roman" w:hAnsi="Times New Roman" w:eastAsia="宋体" w:cstheme="minorBidi"/>
              <w:szCs w:val="22"/>
              <w:lang w:val="en-US" w:eastAsia="en-US" w:bidi="ar-SA"/>
            </w:rPr>
            <w:fldChar w:fldCharType="end"/>
          </w:r>
        </w:p>
        <w:p w14:paraId="3C00EF2C">
          <w:pPr>
            <w:pStyle w:val="29"/>
            <w:tabs>
              <w:tab w:val="right" w:leader="dot" w:pos="8640"/>
            </w:tabs>
          </w:pPr>
          <w:r>
            <w:rPr>
              <w:rFonts w:ascii="Times New Roman" w:hAnsi="Times New Roman" w:eastAsia="宋体" w:cstheme="minorBidi"/>
              <w:szCs w:val="22"/>
              <w:lang w:val="en-US" w:eastAsia="en-US" w:bidi="ar-SA"/>
            </w:rPr>
            <w:fldChar w:fldCharType="begin"/>
          </w:r>
          <w:r>
            <w:rPr>
              <w:rFonts w:ascii="Times New Roman" w:hAnsi="Times New Roman" w:eastAsia="宋体" w:cstheme="minorBidi"/>
              <w:szCs w:val="22"/>
              <w:lang w:val="en-US" w:eastAsia="en-US" w:bidi="ar-SA"/>
            </w:rPr>
            <w:instrText xml:space="preserve"> HYPERLINK \l _Toc30974 </w:instrText>
          </w:r>
          <w:r>
            <w:rPr>
              <w:rFonts w:ascii="Times New Roman" w:hAnsi="Times New Roman" w:eastAsia="宋体" w:cstheme="minorBidi"/>
              <w:szCs w:val="22"/>
              <w:lang w:val="en-US" w:eastAsia="en-US" w:bidi="ar-SA"/>
            </w:rPr>
            <w:fldChar w:fldCharType="separate"/>
          </w:r>
          <w:r>
            <w:rPr>
              <w:rFonts w:ascii="微软雅黑" w:hAnsi="微软雅黑" w:eastAsia="微软雅黑"/>
            </w:rPr>
            <w:t>2.1 行业背景：循环经济与校园绿色消费</w:t>
          </w:r>
          <w:r>
            <w:tab/>
          </w:r>
          <w:r>
            <w:fldChar w:fldCharType="begin"/>
          </w:r>
          <w:r>
            <w:instrText xml:space="preserve"> PAGEREF _Toc30974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Times New Roman" w:hAnsi="Times New Roman" w:eastAsia="宋体" w:cstheme="minorBidi"/>
              <w:szCs w:val="22"/>
              <w:lang w:val="en-US" w:eastAsia="en-US" w:bidi="ar-SA"/>
            </w:rPr>
            <w:fldChar w:fldCharType="end"/>
          </w:r>
        </w:p>
        <w:p w14:paraId="212AEE7E">
          <w:pPr>
            <w:pStyle w:val="29"/>
            <w:tabs>
              <w:tab w:val="right" w:leader="dot" w:pos="8640"/>
            </w:tabs>
          </w:pPr>
          <w:r>
            <w:rPr>
              <w:rFonts w:ascii="Times New Roman" w:hAnsi="Times New Roman" w:eastAsia="宋体" w:cstheme="minorBidi"/>
              <w:szCs w:val="22"/>
              <w:lang w:val="en-US" w:eastAsia="en-US" w:bidi="ar-SA"/>
            </w:rPr>
            <w:fldChar w:fldCharType="begin"/>
          </w:r>
          <w:r>
            <w:rPr>
              <w:rFonts w:ascii="Times New Roman" w:hAnsi="Times New Roman" w:eastAsia="宋体" w:cstheme="minorBidi"/>
              <w:szCs w:val="22"/>
              <w:lang w:val="en-US" w:eastAsia="en-US" w:bidi="ar-SA"/>
            </w:rPr>
            <w:instrText xml:space="preserve"> HYPERLINK \l _Toc10199 </w:instrText>
          </w:r>
          <w:r>
            <w:rPr>
              <w:rFonts w:ascii="Times New Roman" w:hAnsi="Times New Roman" w:eastAsia="宋体" w:cstheme="minorBidi"/>
              <w:szCs w:val="22"/>
              <w:lang w:val="en-US" w:eastAsia="en-US" w:bidi="ar-SA"/>
            </w:rPr>
            <w:fldChar w:fldCharType="separate"/>
          </w:r>
          <w:r>
            <w:rPr>
              <w:rFonts w:ascii="微软雅黑" w:hAnsi="微软雅黑" w:eastAsia="微软雅黑"/>
            </w:rPr>
            <w:t>2.2 政策环境</w:t>
          </w:r>
          <w:r>
            <w:tab/>
          </w:r>
          <w:r>
            <w:fldChar w:fldCharType="begin"/>
          </w:r>
          <w:r>
            <w:instrText xml:space="preserve"> PAGEREF _Toc10199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Times New Roman" w:hAnsi="Times New Roman" w:eastAsia="宋体" w:cstheme="minorBidi"/>
              <w:szCs w:val="22"/>
              <w:lang w:val="en-US" w:eastAsia="en-US" w:bidi="ar-SA"/>
            </w:rPr>
            <w:fldChar w:fldCharType="end"/>
          </w:r>
        </w:p>
        <w:p w14:paraId="791E83AD">
          <w:pPr>
            <w:pStyle w:val="29"/>
            <w:tabs>
              <w:tab w:val="right" w:leader="dot" w:pos="8640"/>
            </w:tabs>
          </w:pPr>
          <w:r>
            <w:rPr>
              <w:rFonts w:ascii="Times New Roman" w:hAnsi="Times New Roman" w:eastAsia="宋体" w:cstheme="minorBidi"/>
              <w:szCs w:val="22"/>
              <w:lang w:val="en-US" w:eastAsia="en-US" w:bidi="ar-SA"/>
            </w:rPr>
            <w:fldChar w:fldCharType="begin"/>
          </w:r>
          <w:r>
            <w:rPr>
              <w:rFonts w:ascii="Times New Roman" w:hAnsi="Times New Roman" w:eastAsia="宋体" w:cstheme="minorBidi"/>
              <w:szCs w:val="22"/>
              <w:lang w:val="en-US" w:eastAsia="en-US" w:bidi="ar-SA"/>
            </w:rPr>
            <w:instrText xml:space="preserve"> HYPERLINK \l _Toc9953 </w:instrText>
          </w:r>
          <w:r>
            <w:rPr>
              <w:rFonts w:ascii="Times New Roman" w:hAnsi="Times New Roman" w:eastAsia="宋体" w:cstheme="minorBidi"/>
              <w:szCs w:val="22"/>
              <w:lang w:val="en-US" w:eastAsia="en-US" w:bidi="ar-SA"/>
            </w:rPr>
            <w:fldChar w:fldCharType="separate"/>
          </w:r>
          <w:r>
            <w:rPr>
              <w:rFonts w:ascii="微软雅黑" w:hAnsi="微软雅黑" w:eastAsia="微软雅黑"/>
            </w:rPr>
            <w:t>2.3 市场规模与增长趋势（TAM-SAM-SOM）</w:t>
          </w:r>
          <w:r>
            <w:tab/>
          </w:r>
          <w:r>
            <w:fldChar w:fldCharType="begin"/>
          </w:r>
          <w:r>
            <w:instrText xml:space="preserve"> PAGEREF _Toc9953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Times New Roman" w:hAnsi="Times New Roman" w:eastAsia="宋体" w:cstheme="minorBidi"/>
              <w:szCs w:val="22"/>
              <w:lang w:val="en-US" w:eastAsia="en-US" w:bidi="ar-SA"/>
            </w:rPr>
            <w:fldChar w:fldCharType="end"/>
          </w:r>
        </w:p>
        <w:p w14:paraId="18422B74">
          <w:pPr>
            <w:pStyle w:val="29"/>
            <w:tabs>
              <w:tab w:val="right" w:leader="dot" w:pos="8640"/>
            </w:tabs>
          </w:pPr>
          <w:r>
            <w:rPr>
              <w:rFonts w:ascii="Times New Roman" w:hAnsi="Times New Roman" w:eastAsia="宋体" w:cstheme="minorBidi"/>
              <w:szCs w:val="22"/>
              <w:lang w:val="en-US" w:eastAsia="en-US" w:bidi="ar-SA"/>
            </w:rPr>
            <w:fldChar w:fldCharType="begin"/>
          </w:r>
          <w:r>
            <w:rPr>
              <w:rFonts w:ascii="Times New Roman" w:hAnsi="Times New Roman" w:eastAsia="宋体" w:cstheme="minorBidi"/>
              <w:szCs w:val="22"/>
              <w:lang w:val="en-US" w:eastAsia="en-US" w:bidi="ar-SA"/>
            </w:rPr>
            <w:instrText xml:space="preserve"> HYPERLINK \l _Toc20979 </w:instrText>
          </w:r>
          <w:r>
            <w:rPr>
              <w:rFonts w:ascii="Times New Roman" w:hAnsi="Times New Roman" w:eastAsia="宋体" w:cstheme="minorBidi"/>
              <w:szCs w:val="22"/>
              <w:lang w:val="en-US" w:eastAsia="en-US" w:bidi="ar-SA"/>
            </w:rPr>
            <w:fldChar w:fldCharType="separate"/>
          </w:r>
          <w:r>
            <w:rPr>
              <w:rFonts w:ascii="微软雅黑" w:hAnsi="微软雅黑" w:eastAsia="微软雅黑"/>
            </w:rPr>
            <w:t>2.4 目标市场与用户痛点（含调研数据）</w:t>
          </w:r>
          <w:r>
            <w:tab/>
          </w:r>
          <w:r>
            <w:fldChar w:fldCharType="begin"/>
          </w:r>
          <w:r>
            <w:instrText xml:space="preserve"> PAGEREF _Toc20979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Times New Roman" w:hAnsi="Times New Roman" w:eastAsia="宋体" w:cstheme="minorBidi"/>
              <w:szCs w:val="22"/>
              <w:lang w:val="en-US" w:eastAsia="en-US" w:bidi="ar-SA"/>
            </w:rPr>
            <w:fldChar w:fldCharType="end"/>
          </w:r>
        </w:p>
        <w:p w14:paraId="62A27386">
          <w:pPr>
            <w:pStyle w:val="29"/>
            <w:tabs>
              <w:tab w:val="right" w:leader="dot" w:pos="8640"/>
            </w:tabs>
          </w:pPr>
          <w:r>
            <w:rPr>
              <w:rFonts w:ascii="Times New Roman" w:hAnsi="Times New Roman" w:eastAsia="宋体" w:cstheme="minorBidi"/>
              <w:szCs w:val="22"/>
              <w:lang w:val="en-US" w:eastAsia="en-US" w:bidi="ar-SA"/>
            </w:rPr>
            <w:fldChar w:fldCharType="begin"/>
          </w:r>
          <w:r>
            <w:rPr>
              <w:rFonts w:ascii="Times New Roman" w:hAnsi="Times New Roman" w:eastAsia="宋体" w:cstheme="minorBidi"/>
              <w:szCs w:val="22"/>
              <w:lang w:val="en-US" w:eastAsia="en-US" w:bidi="ar-SA"/>
            </w:rPr>
            <w:instrText xml:space="preserve"> HYPERLINK \l _Toc14178 </w:instrText>
          </w:r>
          <w:r>
            <w:rPr>
              <w:rFonts w:ascii="Times New Roman" w:hAnsi="Times New Roman" w:eastAsia="宋体" w:cstheme="minorBidi"/>
              <w:szCs w:val="22"/>
              <w:lang w:val="en-US" w:eastAsia="en-US" w:bidi="ar-SA"/>
            </w:rPr>
            <w:fldChar w:fldCharType="separate"/>
          </w:r>
          <w:r>
            <w:rPr>
              <w:rFonts w:ascii="微软雅黑" w:hAnsi="微软雅黑" w:eastAsia="微软雅黑"/>
            </w:rPr>
            <w:t>2.5 竞争格局与竞品分析</w:t>
          </w:r>
          <w:r>
            <w:tab/>
          </w:r>
          <w:r>
            <w:fldChar w:fldCharType="begin"/>
          </w:r>
          <w:r>
            <w:instrText xml:space="preserve"> PAGEREF _Toc14178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Times New Roman" w:hAnsi="Times New Roman" w:eastAsia="宋体" w:cstheme="minorBidi"/>
              <w:szCs w:val="22"/>
              <w:lang w:val="en-US" w:eastAsia="en-US" w:bidi="ar-SA"/>
            </w:rPr>
            <w:fldChar w:fldCharType="end"/>
          </w:r>
        </w:p>
        <w:p w14:paraId="51998E71">
          <w:pPr>
            <w:pStyle w:val="29"/>
            <w:tabs>
              <w:tab w:val="right" w:leader="dot" w:pos="8640"/>
            </w:tabs>
          </w:pPr>
          <w:r>
            <w:rPr>
              <w:rFonts w:ascii="Times New Roman" w:hAnsi="Times New Roman" w:eastAsia="宋体" w:cstheme="minorBidi"/>
              <w:szCs w:val="22"/>
              <w:lang w:val="en-US" w:eastAsia="en-US" w:bidi="ar-SA"/>
            </w:rPr>
            <w:fldChar w:fldCharType="begin"/>
          </w:r>
          <w:r>
            <w:rPr>
              <w:rFonts w:ascii="Times New Roman" w:hAnsi="Times New Roman" w:eastAsia="宋体" w:cstheme="minorBidi"/>
              <w:szCs w:val="22"/>
              <w:lang w:val="en-US" w:eastAsia="en-US" w:bidi="ar-SA"/>
            </w:rPr>
            <w:instrText xml:space="preserve"> HYPERLINK \l _Toc30100 </w:instrText>
          </w:r>
          <w:r>
            <w:rPr>
              <w:rFonts w:ascii="Times New Roman" w:hAnsi="Times New Roman" w:eastAsia="宋体" w:cstheme="minorBidi"/>
              <w:szCs w:val="22"/>
              <w:lang w:val="en-US" w:eastAsia="en-US" w:bidi="ar-SA"/>
            </w:rPr>
            <w:fldChar w:fldCharType="separate"/>
          </w:r>
          <w:r>
            <w:rPr>
              <w:rFonts w:ascii="微软雅黑" w:hAnsi="微软雅黑" w:eastAsia="微软雅黑"/>
            </w:rPr>
            <w:t>2.6 SWOT分析</w:t>
          </w:r>
          <w:r>
            <w:tab/>
          </w:r>
          <w:r>
            <w:fldChar w:fldCharType="begin"/>
          </w:r>
          <w:r>
            <w:instrText xml:space="preserve"> PAGEREF _Toc30100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Times New Roman" w:hAnsi="Times New Roman" w:eastAsia="宋体" w:cstheme="minorBidi"/>
              <w:szCs w:val="22"/>
              <w:lang w:val="en-US" w:eastAsia="en-US" w:bidi="ar-SA"/>
            </w:rPr>
            <w:fldChar w:fldCharType="end"/>
          </w:r>
        </w:p>
        <w:p w14:paraId="3DC1F036">
          <w:pPr>
            <w:pStyle w:val="26"/>
            <w:tabs>
              <w:tab w:val="right" w:leader="dot" w:pos="8640"/>
            </w:tabs>
          </w:pPr>
          <w:r>
            <w:rPr>
              <w:rFonts w:ascii="Times New Roman" w:hAnsi="Times New Roman" w:eastAsia="宋体" w:cstheme="minorBidi"/>
              <w:szCs w:val="22"/>
              <w:lang w:val="en-US" w:eastAsia="en-US" w:bidi="ar-SA"/>
            </w:rPr>
            <w:fldChar w:fldCharType="begin"/>
          </w:r>
          <w:r>
            <w:rPr>
              <w:rFonts w:ascii="Times New Roman" w:hAnsi="Times New Roman" w:eastAsia="宋体" w:cstheme="minorBidi"/>
              <w:szCs w:val="22"/>
              <w:lang w:val="en-US" w:eastAsia="en-US" w:bidi="ar-SA"/>
            </w:rPr>
            <w:instrText xml:space="preserve"> HYPERLINK \l _Toc18483 </w:instrText>
          </w:r>
          <w:r>
            <w:rPr>
              <w:rFonts w:ascii="Times New Roman" w:hAnsi="Times New Roman" w:eastAsia="宋体" w:cstheme="minorBidi"/>
              <w:szCs w:val="22"/>
              <w:lang w:val="en-US" w:eastAsia="en-US" w:bidi="ar-SA"/>
            </w:rPr>
            <w:fldChar w:fldCharType="separate"/>
          </w:r>
          <w:r>
            <w:rPr>
              <w:rFonts w:ascii="微软雅黑" w:hAnsi="微软雅黑" w:eastAsia="微软雅黑"/>
            </w:rPr>
            <w:t>第三章 产品与技术</w:t>
          </w:r>
          <w:r>
            <w:tab/>
          </w:r>
          <w:r>
            <w:fldChar w:fldCharType="begin"/>
          </w:r>
          <w:r>
            <w:instrText xml:space="preserve"> PAGEREF _Toc18483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Times New Roman" w:hAnsi="Times New Roman" w:eastAsia="宋体" w:cstheme="minorBidi"/>
              <w:szCs w:val="22"/>
              <w:lang w:val="en-US" w:eastAsia="en-US" w:bidi="ar-SA"/>
            </w:rPr>
            <w:fldChar w:fldCharType="end"/>
          </w:r>
        </w:p>
        <w:p w14:paraId="30C791C1">
          <w:pPr>
            <w:pStyle w:val="29"/>
            <w:tabs>
              <w:tab w:val="right" w:leader="dot" w:pos="8640"/>
            </w:tabs>
          </w:pPr>
          <w:r>
            <w:rPr>
              <w:rFonts w:ascii="Times New Roman" w:hAnsi="Times New Roman" w:eastAsia="宋体" w:cstheme="minorBidi"/>
              <w:szCs w:val="22"/>
              <w:lang w:val="en-US" w:eastAsia="en-US" w:bidi="ar-SA"/>
            </w:rPr>
            <w:fldChar w:fldCharType="begin"/>
          </w:r>
          <w:r>
            <w:rPr>
              <w:rFonts w:ascii="Times New Roman" w:hAnsi="Times New Roman" w:eastAsia="宋体" w:cstheme="minorBidi"/>
              <w:szCs w:val="22"/>
              <w:lang w:val="en-US" w:eastAsia="en-US" w:bidi="ar-SA"/>
            </w:rPr>
            <w:instrText xml:space="preserve"> HYPERLINK \l _Toc24232 </w:instrText>
          </w:r>
          <w:r>
            <w:rPr>
              <w:rFonts w:ascii="Times New Roman" w:hAnsi="Times New Roman" w:eastAsia="宋体" w:cstheme="minorBidi"/>
              <w:szCs w:val="22"/>
              <w:lang w:val="en-US" w:eastAsia="en-US" w:bidi="ar-SA"/>
            </w:rPr>
            <w:fldChar w:fldCharType="separate"/>
          </w:r>
          <w:r>
            <w:rPr>
              <w:rFonts w:ascii="微软雅黑" w:hAnsi="微软雅黑" w:eastAsia="微软雅黑"/>
            </w:rPr>
            <w:t>3.1 产品概述与功能架构</w:t>
          </w:r>
          <w:r>
            <w:tab/>
          </w:r>
          <w:r>
            <w:fldChar w:fldCharType="begin"/>
          </w:r>
          <w:r>
            <w:instrText xml:space="preserve"> PAGEREF _Toc24232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Times New Roman" w:hAnsi="Times New Roman" w:eastAsia="宋体" w:cstheme="minorBidi"/>
              <w:szCs w:val="22"/>
              <w:lang w:val="en-US" w:eastAsia="en-US" w:bidi="ar-SA"/>
            </w:rPr>
            <w:fldChar w:fldCharType="end"/>
          </w:r>
        </w:p>
        <w:p w14:paraId="51099FB8">
          <w:pPr>
            <w:pStyle w:val="29"/>
            <w:tabs>
              <w:tab w:val="right" w:leader="dot" w:pos="8640"/>
            </w:tabs>
          </w:pPr>
          <w:r>
            <w:rPr>
              <w:rFonts w:ascii="Times New Roman" w:hAnsi="Times New Roman" w:eastAsia="宋体" w:cstheme="minorBidi"/>
              <w:szCs w:val="22"/>
              <w:lang w:val="en-US" w:eastAsia="en-US" w:bidi="ar-SA"/>
            </w:rPr>
            <w:fldChar w:fldCharType="begin"/>
          </w:r>
          <w:r>
            <w:rPr>
              <w:rFonts w:ascii="Times New Roman" w:hAnsi="Times New Roman" w:eastAsia="宋体" w:cstheme="minorBidi"/>
              <w:szCs w:val="22"/>
              <w:lang w:val="en-US" w:eastAsia="en-US" w:bidi="ar-SA"/>
            </w:rPr>
            <w:instrText xml:space="preserve"> HYPERLINK \l _Toc3715 </w:instrText>
          </w:r>
          <w:r>
            <w:rPr>
              <w:rFonts w:ascii="Times New Roman" w:hAnsi="Times New Roman" w:eastAsia="宋体" w:cstheme="minorBidi"/>
              <w:szCs w:val="22"/>
              <w:lang w:val="en-US" w:eastAsia="en-US" w:bidi="ar-SA"/>
            </w:rPr>
            <w:fldChar w:fldCharType="separate"/>
          </w:r>
          <w:r>
            <w:rPr>
              <w:rFonts w:ascii="微软雅黑" w:hAnsi="微软雅黑" w:eastAsia="微软雅黑"/>
            </w:rPr>
            <w:t>3.1.1 微信小程序/APP核心功能</w:t>
          </w:r>
          <w:r>
            <w:tab/>
          </w:r>
          <w:r>
            <w:fldChar w:fldCharType="begin"/>
          </w:r>
          <w:r>
            <w:instrText xml:space="preserve"> PAGEREF _Toc3715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ascii="Times New Roman" w:hAnsi="Times New Roman" w:eastAsia="宋体" w:cstheme="minorBidi"/>
              <w:szCs w:val="22"/>
              <w:lang w:val="en-US" w:eastAsia="en-US" w:bidi="ar-SA"/>
            </w:rPr>
            <w:fldChar w:fldCharType="end"/>
          </w:r>
        </w:p>
        <w:p w14:paraId="01A9699B">
          <w:pPr>
            <w:pStyle w:val="29"/>
            <w:tabs>
              <w:tab w:val="right" w:leader="dot" w:pos="8640"/>
            </w:tabs>
          </w:pPr>
          <w:r>
            <w:rPr>
              <w:rFonts w:ascii="Times New Roman" w:hAnsi="Times New Roman" w:eastAsia="宋体" w:cstheme="minorBidi"/>
              <w:szCs w:val="22"/>
              <w:lang w:val="en-US" w:eastAsia="en-US" w:bidi="ar-SA"/>
            </w:rPr>
            <w:fldChar w:fldCharType="begin"/>
          </w:r>
          <w:r>
            <w:rPr>
              <w:rFonts w:ascii="Times New Roman" w:hAnsi="Times New Roman" w:eastAsia="宋体" w:cstheme="minorBidi"/>
              <w:szCs w:val="22"/>
              <w:lang w:val="en-US" w:eastAsia="en-US" w:bidi="ar-SA"/>
            </w:rPr>
            <w:instrText xml:space="preserve"> HYPERLINK \l _Toc2736 </w:instrText>
          </w:r>
          <w:r>
            <w:rPr>
              <w:rFonts w:ascii="Times New Roman" w:hAnsi="Times New Roman" w:eastAsia="宋体" w:cstheme="minorBidi"/>
              <w:szCs w:val="22"/>
              <w:lang w:val="en-US" w:eastAsia="en-US" w:bidi="ar-SA"/>
            </w:rPr>
            <w:fldChar w:fldCharType="separate"/>
          </w:r>
          <w:r>
            <w:rPr>
              <w:rFonts w:ascii="微软雅黑" w:hAnsi="微软雅黑" w:eastAsia="微软雅黑"/>
            </w:rPr>
            <w:t>3.1.2 校园智能回收柜硬件交互系统</w:t>
          </w:r>
          <w:r>
            <w:tab/>
          </w:r>
          <w:r>
            <w:fldChar w:fldCharType="begin"/>
          </w:r>
          <w:r>
            <w:instrText xml:space="preserve"> PAGEREF _Toc2736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ascii="Times New Roman" w:hAnsi="Times New Roman" w:eastAsia="宋体" w:cstheme="minorBidi"/>
              <w:szCs w:val="22"/>
              <w:lang w:val="en-US" w:eastAsia="en-US" w:bidi="ar-SA"/>
            </w:rPr>
            <w:fldChar w:fldCharType="end"/>
          </w:r>
        </w:p>
        <w:p w14:paraId="24FDE926">
          <w:pPr>
            <w:pStyle w:val="29"/>
            <w:tabs>
              <w:tab w:val="right" w:leader="dot" w:pos="8640"/>
            </w:tabs>
          </w:pPr>
          <w:r>
            <w:rPr>
              <w:rFonts w:ascii="Times New Roman" w:hAnsi="Times New Roman" w:eastAsia="宋体" w:cstheme="minorBidi"/>
              <w:szCs w:val="22"/>
              <w:lang w:val="en-US" w:eastAsia="en-US" w:bidi="ar-SA"/>
            </w:rPr>
            <w:fldChar w:fldCharType="begin"/>
          </w:r>
          <w:r>
            <w:rPr>
              <w:rFonts w:ascii="Times New Roman" w:hAnsi="Times New Roman" w:eastAsia="宋体" w:cstheme="minorBidi"/>
              <w:szCs w:val="22"/>
              <w:lang w:val="en-US" w:eastAsia="en-US" w:bidi="ar-SA"/>
            </w:rPr>
            <w:instrText xml:space="preserve"> HYPERLINK \l _Toc665 </w:instrText>
          </w:r>
          <w:r>
            <w:rPr>
              <w:rFonts w:ascii="Times New Roman" w:hAnsi="Times New Roman" w:eastAsia="宋体" w:cstheme="minorBidi"/>
              <w:szCs w:val="22"/>
              <w:lang w:val="en-US" w:eastAsia="en-US" w:bidi="ar-SA"/>
            </w:rPr>
            <w:fldChar w:fldCharType="separate"/>
          </w:r>
          <w:r>
            <w:rPr>
              <w:rFonts w:ascii="微软雅黑" w:hAnsi="微软雅黑" w:eastAsia="微软雅黑"/>
            </w:rPr>
            <w:t>3.2 核心技术一：图书品相识别与动态定价</w:t>
          </w:r>
          <w:r>
            <w:tab/>
          </w:r>
          <w:r>
            <w:fldChar w:fldCharType="begin"/>
          </w:r>
          <w:r>
            <w:instrText xml:space="preserve"> PAGEREF _Toc665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ascii="Times New Roman" w:hAnsi="Times New Roman" w:eastAsia="宋体" w:cstheme="minorBidi"/>
              <w:szCs w:val="22"/>
              <w:lang w:val="en-US" w:eastAsia="en-US" w:bidi="ar-SA"/>
            </w:rPr>
            <w:fldChar w:fldCharType="end"/>
          </w:r>
        </w:p>
        <w:p w14:paraId="40DE1BCD">
          <w:pPr>
            <w:pStyle w:val="29"/>
            <w:tabs>
              <w:tab w:val="right" w:leader="dot" w:pos="8640"/>
            </w:tabs>
          </w:pPr>
          <w:r>
            <w:rPr>
              <w:rFonts w:ascii="Times New Roman" w:hAnsi="Times New Roman" w:eastAsia="宋体" w:cstheme="minorBidi"/>
              <w:szCs w:val="22"/>
              <w:lang w:val="en-US" w:eastAsia="en-US" w:bidi="ar-SA"/>
            </w:rPr>
            <w:fldChar w:fldCharType="begin"/>
          </w:r>
          <w:r>
            <w:rPr>
              <w:rFonts w:ascii="Times New Roman" w:hAnsi="Times New Roman" w:eastAsia="宋体" w:cstheme="minorBidi"/>
              <w:szCs w:val="22"/>
              <w:lang w:val="en-US" w:eastAsia="en-US" w:bidi="ar-SA"/>
            </w:rPr>
            <w:instrText xml:space="preserve"> HYPERLINK \l _Toc26241 </w:instrText>
          </w:r>
          <w:r>
            <w:rPr>
              <w:rFonts w:ascii="Times New Roman" w:hAnsi="Times New Roman" w:eastAsia="宋体" w:cstheme="minorBidi"/>
              <w:szCs w:val="22"/>
              <w:lang w:val="en-US" w:eastAsia="en-US" w:bidi="ar-SA"/>
            </w:rPr>
            <w:fldChar w:fldCharType="separate"/>
          </w:r>
          <w:r>
            <w:rPr>
              <w:rFonts w:ascii="微软雅黑" w:hAnsi="微软雅黑" w:eastAsia="微软雅黑"/>
            </w:rPr>
            <w:t>3.3 核心技术二：智能硬件端与云端协同</w:t>
          </w:r>
          <w:r>
            <w:tab/>
          </w:r>
          <w:r>
            <w:fldChar w:fldCharType="begin"/>
          </w:r>
          <w:r>
            <w:instrText xml:space="preserve"> PAGEREF _Toc26241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ascii="Times New Roman" w:hAnsi="Times New Roman" w:eastAsia="宋体" w:cstheme="minorBidi"/>
              <w:szCs w:val="22"/>
              <w:lang w:val="en-US" w:eastAsia="en-US" w:bidi="ar-SA"/>
            </w:rPr>
            <w:fldChar w:fldCharType="end"/>
          </w:r>
        </w:p>
        <w:p w14:paraId="3C0ADE92">
          <w:pPr>
            <w:pStyle w:val="29"/>
            <w:tabs>
              <w:tab w:val="right" w:leader="dot" w:pos="8640"/>
            </w:tabs>
          </w:pPr>
          <w:r>
            <w:rPr>
              <w:rFonts w:ascii="Times New Roman" w:hAnsi="Times New Roman" w:eastAsia="宋体" w:cstheme="minorBidi"/>
              <w:szCs w:val="22"/>
              <w:lang w:val="en-US" w:eastAsia="en-US" w:bidi="ar-SA"/>
            </w:rPr>
            <w:fldChar w:fldCharType="begin"/>
          </w:r>
          <w:r>
            <w:rPr>
              <w:rFonts w:ascii="Times New Roman" w:hAnsi="Times New Roman" w:eastAsia="宋体" w:cstheme="minorBidi"/>
              <w:szCs w:val="22"/>
              <w:lang w:val="en-US" w:eastAsia="en-US" w:bidi="ar-SA"/>
            </w:rPr>
            <w:instrText xml:space="preserve"> HYPERLINK \l _Toc25876 </w:instrText>
          </w:r>
          <w:r>
            <w:rPr>
              <w:rFonts w:ascii="Times New Roman" w:hAnsi="Times New Roman" w:eastAsia="宋体" w:cstheme="minorBidi"/>
              <w:szCs w:val="22"/>
              <w:lang w:val="en-US" w:eastAsia="en-US" w:bidi="ar-SA"/>
            </w:rPr>
            <w:fldChar w:fldCharType="separate"/>
          </w:r>
          <w:r>
            <w:rPr>
              <w:rFonts w:ascii="微软雅黑" w:hAnsi="微软雅黑" w:eastAsia="微软雅黑"/>
            </w:rPr>
            <w:t>3.4 产品创新点与技术壁垒</w:t>
          </w:r>
          <w:r>
            <w:tab/>
          </w:r>
          <w:r>
            <w:fldChar w:fldCharType="begin"/>
          </w:r>
          <w:r>
            <w:instrText xml:space="preserve"> PAGEREF _Toc25876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ascii="Times New Roman" w:hAnsi="Times New Roman" w:eastAsia="宋体" w:cstheme="minorBidi"/>
              <w:szCs w:val="22"/>
              <w:lang w:val="en-US" w:eastAsia="en-US" w:bidi="ar-SA"/>
            </w:rPr>
            <w:fldChar w:fldCharType="end"/>
          </w:r>
        </w:p>
        <w:p w14:paraId="4AAB5099">
          <w:pPr>
            <w:pStyle w:val="29"/>
            <w:tabs>
              <w:tab w:val="right" w:leader="dot" w:pos="8640"/>
            </w:tabs>
          </w:pPr>
          <w:r>
            <w:rPr>
              <w:rFonts w:ascii="Times New Roman" w:hAnsi="Times New Roman" w:eastAsia="宋体" w:cstheme="minorBidi"/>
              <w:szCs w:val="22"/>
              <w:lang w:val="en-US" w:eastAsia="en-US" w:bidi="ar-SA"/>
            </w:rPr>
            <w:fldChar w:fldCharType="begin"/>
          </w:r>
          <w:r>
            <w:rPr>
              <w:rFonts w:ascii="Times New Roman" w:hAnsi="Times New Roman" w:eastAsia="宋体" w:cstheme="minorBidi"/>
              <w:szCs w:val="22"/>
              <w:lang w:val="en-US" w:eastAsia="en-US" w:bidi="ar-SA"/>
            </w:rPr>
            <w:instrText xml:space="preserve"> HYPERLINK \l _Toc744 </w:instrText>
          </w:r>
          <w:r>
            <w:rPr>
              <w:rFonts w:ascii="Times New Roman" w:hAnsi="Times New Roman" w:eastAsia="宋体" w:cstheme="minorBidi"/>
              <w:szCs w:val="22"/>
              <w:lang w:val="en-US" w:eastAsia="en-US" w:bidi="ar-SA"/>
            </w:rPr>
            <w:fldChar w:fldCharType="separate"/>
          </w:r>
          <w:r>
            <w:rPr>
              <w:rFonts w:ascii="微软雅黑" w:hAnsi="微软雅黑" w:eastAsia="微软雅黑"/>
            </w:rPr>
            <w:t>3.5 知识产权布局</w:t>
          </w:r>
          <w:r>
            <w:tab/>
          </w:r>
          <w:r>
            <w:fldChar w:fldCharType="begin"/>
          </w:r>
          <w:r>
            <w:instrText xml:space="preserve"> PAGEREF _Toc744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ascii="Times New Roman" w:hAnsi="Times New Roman" w:eastAsia="宋体" w:cstheme="minorBidi"/>
              <w:szCs w:val="22"/>
              <w:lang w:val="en-US" w:eastAsia="en-US" w:bidi="ar-SA"/>
            </w:rPr>
            <w:fldChar w:fldCharType="end"/>
          </w:r>
        </w:p>
        <w:p w14:paraId="28CA091D">
          <w:pPr>
            <w:pStyle w:val="26"/>
            <w:tabs>
              <w:tab w:val="right" w:leader="dot" w:pos="8640"/>
            </w:tabs>
          </w:pPr>
          <w:r>
            <w:rPr>
              <w:rFonts w:ascii="Times New Roman" w:hAnsi="Times New Roman" w:eastAsia="宋体" w:cstheme="minorBidi"/>
              <w:szCs w:val="22"/>
              <w:lang w:val="en-US" w:eastAsia="en-US" w:bidi="ar-SA"/>
            </w:rPr>
            <w:fldChar w:fldCharType="begin"/>
          </w:r>
          <w:r>
            <w:rPr>
              <w:rFonts w:ascii="Times New Roman" w:hAnsi="Times New Roman" w:eastAsia="宋体" w:cstheme="minorBidi"/>
              <w:szCs w:val="22"/>
              <w:lang w:val="en-US" w:eastAsia="en-US" w:bidi="ar-SA"/>
            </w:rPr>
            <w:instrText xml:space="preserve"> HYPERLINK \l _Toc21362 </w:instrText>
          </w:r>
          <w:r>
            <w:rPr>
              <w:rFonts w:ascii="Times New Roman" w:hAnsi="Times New Roman" w:eastAsia="宋体" w:cstheme="minorBidi"/>
              <w:szCs w:val="22"/>
              <w:lang w:val="en-US" w:eastAsia="en-US" w:bidi="ar-SA"/>
            </w:rPr>
            <w:fldChar w:fldCharType="separate"/>
          </w:r>
          <w:r>
            <w:rPr>
              <w:rFonts w:ascii="微软雅黑" w:hAnsi="微软雅黑" w:eastAsia="微软雅黑"/>
            </w:rPr>
            <w:t>第四章 商业模式</w:t>
          </w:r>
          <w:r>
            <w:tab/>
          </w:r>
          <w:r>
            <w:fldChar w:fldCharType="begin"/>
          </w:r>
          <w:r>
            <w:instrText xml:space="preserve"> PAGEREF _Toc21362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ascii="Times New Roman" w:hAnsi="Times New Roman" w:eastAsia="宋体" w:cstheme="minorBidi"/>
              <w:szCs w:val="22"/>
              <w:lang w:val="en-US" w:eastAsia="en-US" w:bidi="ar-SA"/>
            </w:rPr>
            <w:fldChar w:fldCharType="end"/>
          </w:r>
        </w:p>
        <w:p w14:paraId="57668B43">
          <w:pPr>
            <w:pStyle w:val="29"/>
            <w:tabs>
              <w:tab w:val="right" w:leader="dot" w:pos="8640"/>
            </w:tabs>
          </w:pPr>
          <w:r>
            <w:rPr>
              <w:rFonts w:ascii="Times New Roman" w:hAnsi="Times New Roman" w:eastAsia="宋体" w:cstheme="minorBidi"/>
              <w:szCs w:val="22"/>
              <w:lang w:val="en-US" w:eastAsia="en-US" w:bidi="ar-SA"/>
            </w:rPr>
            <w:fldChar w:fldCharType="begin"/>
          </w:r>
          <w:r>
            <w:rPr>
              <w:rFonts w:ascii="Times New Roman" w:hAnsi="Times New Roman" w:eastAsia="宋体" w:cstheme="minorBidi"/>
              <w:szCs w:val="22"/>
              <w:lang w:val="en-US" w:eastAsia="en-US" w:bidi="ar-SA"/>
            </w:rPr>
            <w:instrText xml:space="preserve"> HYPERLINK \l _Toc16305 </w:instrText>
          </w:r>
          <w:r>
            <w:rPr>
              <w:rFonts w:ascii="Times New Roman" w:hAnsi="Times New Roman" w:eastAsia="宋体" w:cstheme="minorBidi"/>
              <w:szCs w:val="22"/>
              <w:lang w:val="en-US" w:eastAsia="en-US" w:bidi="ar-SA"/>
            </w:rPr>
            <w:fldChar w:fldCharType="separate"/>
          </w:r>
          <w:r>
            <w:rPr>
              <w:rFonts w:ascii="微软雅黑" w:hAnsi="微软雅黑" w:eastAsia="微软雅黑"/>
            </w:rPr>
            <w:t>4.1 价值主张</w:t>
          </w:r>
          <w:r>
            <w:tab/>
          </w:r>
          <w:r>
            <w:fldChar w:fldCharType="begin"/>
          </w:r>
          <w:r>
            <w:instrText xml:space="preserve"> PAGEREF _Toc16305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ascii="Times New Roman" w:hAnsi="Times New Roman" w:eastAsia="宋体" w:cstheme="minorBidi"/>
              <w:szCs w:val="22"/>
              <w:lang w:val="en-US" w:eastAsia="en-US" w:bidi="ar-SA"/>
            </w:rPr>
            <w:fldChar w:fldCharType="end"/>
          </w:r>
        </w:p>
        <w:p w14:paraId="77249F34">
          <w:pPr>
            <w:pStyle w:val="29"/>
            <w:tabs>
              <w:tab w:val="right" w:leader="dot" w:pos="8640"/>
            </w:tabs>
          </w:pPr>
          <w:r>
            <w:rPr>
              <w:rFonts w:ascii="Times New Roman" w:hAnsi="Times New Roman" w:eastAsia="宋体" w:cstheme="minorBidi"/>
              <w:szCs w:val="22"/>
              <w:lang w:val="en-US" w:eastAsia="en-US" w:bidi="ar-SA"/>
            </w:rPr>
            <w:fldChar w:fldCharType="begin"/>
          </w:r>
          <w:r>
            <w:rPr>
              <w:rFonts w:ascii="Times New Roman" w:hAnsi="Times New Roman" w:eastAsia="宋体" w:cstheme="minorBidi"/>
              <w:szCs w:val="22"/>
              <w:lang w:val="en-US" w:eastAsia="en-US" w:bidi="ar-SA"/>
            </w:rPr>
            <w:instrText xml:space="preserve"> HYPERLINK \l _Toc3470 </w:instrText>
          </w:r>
          <w:r>
            <w:rPr>
              <w:rFonts w:ascii="Times New Roman" w:hAnsi="Times New Roman" w:eastAsia="宋体" w:cstheme="minorBidi"/>
              <w:szCs w:val="22"/>
              <w:lang w:val="en-US" w:eastAsia="en-US" w:bidi="ar-SA"/>
            </w:rPr>
            <w:fldChar w:fldCharType="separate"/>
          </w:r>
          <w:r>
            <w:rPr>
              <w:rFonts w:ascii="微软雅黑" w:hAnsi="微软雅黑" w:eastAsia="微软雅黑"/>
            </w:rPr>
            <w:t>4.2 盈利模式</w:t>
          </w:r>
          <w:r>
            <w:tab/>
          </w:r>
          <w:r>
            <w:fldChar w:fldCharType="begin"/>
          </w:r>
          <w:r>
            <w:instrText xml:space="preserve"> PAGEREF _Toc3470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ascii="Times New Roman" w:hAnsi="Times New Roman" w:eastAsia="宋体" w:cstheme="minorBidi"/>
              <w:szCs w:val="22"/>
              <w:lang w:val="en-US" w:eastAsia="en-US" w:bidi="ar-SA"/>
            </w:rPr>
            <w:fldChar w:fldCharType="end"/>
          </w:r>
        </w:p>
        <w:p w14:paraId="390796DE">
          <w:pPr>
            <w:pStyle w:val="29"/>
            <w:tabs>
              <w:tab w:val="right" w:leader="dot" w:pos="8640"/>
            </w:tabs>
          </w:pPr>
          <w:r>
            <w:rPr>
              <w:rFonts w:ascii="Times New Roman" w:hAnsi="Times New Roman" w:eastAsia="宋体" w:cstheme="minorBidi"/>
              <w:szCs w:val="22"/>
              <w:lang w:val="en-US" w:eastAsia="en-US" w:bidi="ar-SA"/>
            </w:rPr>
            <w:fldChar w:fldCharType="begin"/>
          </w:r>
          <w:r>
            <w:rPr>
              <w:rFonts w:ascii="Times New Roman" w:hAnsi="Times New Roman" w:eastAsia="宋体" w:cstheme="minorBidi"/>
              <w:szCs w:val="22"/>
              <w:lang w:val="en-US" w:eastAsia="en-US" w:bidi="ar-SA"/>
            </w:rPr>
            <w:instrText xml:space="preserve"> HYPERLINK \l _Toc10141 </w:instrText>
          </w:r>
          <w:r>
            <w:rPr>
              <w:rFonts w:ascii="Times New Roman" w:hAnsi="Times New Roman" w:eastAsia="宋体" w:cstheme="minorBidi"/>
              <w:szCs w:val="22"/>
              <w:lang w:val="en-US" w:eastAsia="en-US" w:bidi="ar-SA"/>
            </w:rPr>
            <w:fldChar w:fldCharType="separate"/>
          </w:r>
          <w:r>
            <w:rPr>
              <w:rFonts w:ascii="微软雅黑" w:hAnsi="微软雅黑" w:eastAsia="微软雅黑"/>
            </w:rPr>
            <w:t>4.3 单体经济模型（UE）与盈亏平衡测算</w:t>
          </w:r>
          <w:r>
            <w:tab/>
          </w:r>
          <w:r>
            <w:fldChar w:fldCharType="begin"/>
          </w:r>
          <w:r>
            <w:instrText xml:space="preserve"> PAGEREF _Toc10141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ascii="Times New Roman" w:hAnsi="Times New Roman" w:eastAsia="宋体" w:cstheme="minorBidi"/>
              <w:szCs w:val="22"/>
              <w:lang w:val="en-US" w:eastAsia="en-US" w:bidi="ar-SA"/>
            </w:rPr>
            <w:fldChar w:fldCharType="end"/>
          </w:r>
        </w:p>
        <w:p w14:paraId="5EE2A1C3">
          <w:pPr>
            <w:pStyle w:val="29"/>
            <w:tabs>
              <w:tab w:val="right" w:leader="dot" w:pos="8640"/>
            </w:tabs>
          </w:pPr>
          <w:r>
            <w:rPr>
              <w:rFonts w:ascii="Times New Roman" w:hAnsi="Times New Roman" w:eastAsia="宋体" w:cstheme="minorBidi"/>
              <w:szCs w:val="22"/>
              <w:lang w:val="en-US" w:eastAsia="en-US" w:bidi="ar-SA"/>
            </w:rPr>
            <w:fldChar w:fldCharType="begin"/>
          </w:r>
          <w:r>
            <w:rPr>
              <w:rFonts w:ascii="Times New Roman" w:hAnsi="Times New Roman" w:eastAsia="宋体" w:cstheme="minorBidi"/>
              <w:szCs w:val="22"/>
              <w:lang w:val="en-US" w:eastAsia="en-US" w:bidi="ar-SA"/>
            </w:rPr>
            <w:instrText xml:space="preserve"> HYPERLINK \l _Toc23593 </w:instrText>
          </w:r>
          <w:r>
            <w:rPr>
              <w:rFonts w:ascii="Times New Roman" w:hAnsi="Times New Roman" w:eastAsia="宋体" w:cstheme="minorBidi"/>
              <w:szCs w:val="22"/>
              <w:lang w:val="en-US" w:eastAsia="en-US" w:bidi="ar-SA"/>
            </w:rPr>
            <w:fldChar w:fldCharType="separate"/>
          </w:r>
          <w:r>
            <w:rPr>
              <w:rFonts w:ascii="微软雅黑" w:hAnsi="微软雅黑" w:eastAsia="微软雅黑"/>
            </w:rPr>
            <w:t>4.4 定价策略</w:t>
          </w:r>
          <w:r>
            <w:tab/>
          </w:r>
          <w:r>
            <w:fldChar w:fldCharType="begin"/>
          </w:r>
          <w:r>
            <w:instrText xml:space="preserve"> PAGEREF _Toc23593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ascii="Times New Roman" w:hAnsi="Times New Roman" w:eastAsia="宋体" w:cstheme="minorBidi"/>
              <w:szCs w:val="22"/>
              <w:lang w:val="en-US" w:eastAsia="en-US" w:bidi="ar-SA"/>
            </w:rPr>
            <w:fldChar w:fldCharType="end"/>
          </w:r>
        </w:p>
        <w:p w14:paraId="77D26524">
          <w:pPr>
            <w:pStyle w:val="29"/>
            <w:tabs>
              <w:tab w:val="right" w:leader="dot" w:pos="8640"/>
            </w:tabs>
          </w:pPr>
          <w:r>
            <w:rPr>
              <w:rFonts w:ascii="Times New Roman" w:hAnsi="Times New Roman" w:eastAsia="宋体" w:cstheme="minorBidi"/>
              <w:szCs w:val="22"/>
              <w:lang w:val="en-US" w:eastAsia="en-US" w:bidi="ar-SA"/>
            </w:rPr>
            <w:fldChar w:fldCharType="begin"/>
          </w:r>
          <w:r>
            <w:rPr>
              <w:rFonts w:ascii="Times New Roman" w:hAnsi="Times New Roman" w:eastAsia="宋体" w:cstheme="minorBidi"/>
              <w:szCs w:val="22"/>
              <w:lang w:val="en-US" w:eastAsia="en-US" w:bidi="ar-SA"/>
            </w:rPr>
            <w:instrText xml:space="preserve"> HYPERLINK \l _Toc19786 </w:instrText>
          </w:r>
          <w:r>
            <w:rPr>
              <w:rFonts w:ascii="Times New Roman" w:hAnsi="Times New Roman" w:eastAsia="宋体" w:cstheme="minorBidi"/>
              <w:szCs w:val="22"/>
              <w:lang w:val="en-US" w:eastAsia="en-US" w:bidi="ar-SA"/>
            </w:rPr>
            <w:fldChar w:fldCharType="separate"/>
          </w:r>
          <w:r>
            <w:rPr>
              <w:rFonts w:ascii="微软雅黑" w:hAnsi="微软雅黑" w:eastAsia="微软雅黑"/>
            </w:rPr>
            <w:t>4.5 渠道与合作伙伴</w:t>
          </w:r>
          <w:r>
            <w:tab/>
          </w:r>
          <w:r>
            <w:fldChar w:fldCharType="begin"/>
          </w:r>
          <w:r>
            <w:instrText xml:space="preserve"> PAGEREF _Toc19786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ascii="Times New Roman" w:hAnsi="Times New Roman" w:eastAsia="宋体" w:cstheme="minorBidi"/>
              <w:szCs w:val="22"/>
              <w:lang w:val="en-US" w:eastAsia="en-US" w:bidi="ar-SA"/>
            </w:rPr>
            <w:fldChar w:fldCharType="end"/>
          </w:r>
        </w:p>
        <w:p w14:paraId="6263758C">
          <w:pPr>
            <w:pStyle w:val="26"/>
            <w:tabs>
              <w:tab w:val="right" w:leader="dot" w:pos="8640"/>
            </w:tabs>
          </w:pPr>
          <w:r>
            <w:rPr>
              <w:rFonts w:ascii="Times New Roman" w:hAnsi="Times New Roman" w:eastAsia="宋体" w:cstheme="minorBidi"/>
              <w:szCs w:val="22"/>
              <w:lang w:val="en-US" w:eastAsia="en-US" w:bidi="ar-SA"/>
            </w:rPr>
            <w:fldChar w:fldCharType="begin"/>
          </w:r>
          <w:r>
            <w:rPr>
              <w:rFonts w:ascii="Times New Roman" w:hAnsi="Times New Roman" w:eastAsia="宋体" w:cstheme="minorBidi"/>
              <w:szCs w:val="22"/>
              <w:lang w:val="en-US" w:eastAsia="en-US" w:bidi="ar-SA"/>
            </w:rPr>
            <w:instrText xml:space="preserve"> HYPERLINK \l _Toc18632 </w:instrText>
          </w:r>
          <w:r>
            <w:rPr>
              <w:rFonts w:ascii="Times New Roman" w:hAnsi="Times New Roman" w:eastAsia="宋体" w:cstheme="minorBidi"/>
              <w:szCs w:val="22"/>
              <w:lang w:val="en-US" w:eastAsia="en-US" w:bidi="ar-SA"/>
            </w:rPr>
            <w:fldChar w:fldCharType="separate"/>
          </w:r>
          <w:r>
            <w:rPr>
              <w:rFonts w:ascii="微软雅黑" w:hAnsi="微软雅黑" w:eastAsia="微软雅黑"/>
            </w:rPr>
            <w:t>第五章 运营与营销策略</w:t>
          </w:r>
          <w:r>
            <w:tab/>
          </w:r>
          <w:r>
            <w:fldChar w:fldCharType="begin"/>
          </w:r>
          <w:r>
            <w:instrText xml:space="preserve"> PAGEREF _Toc18632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ascii="Times New Roman" w:hAnsi="Times New Roman" w:eastAsia="宋体" w:cstheme="minorBidi"/>
              <w:szCs w:val="22"/>
              <w:lang w:val="en-US" w:eastAsia="en-US" w:bidi="ar-SA"/>
            </w:rPr>
            <w:fldChar w:fldCharType="end"/>
          </w:r>
        </w:p>
        <w:p w14:paraId="1F4EF4AE">
          <w:pPr>
            <w:pStyle w:val="29"/>
            <w:tabs>
              <w:tab w:val="right" w:leader="dot" w:pos="8640"/>
            </w:tabs>
          </w:pPr>
          <w:r>
            <w:rPr>
              <w:rFonts w:ascii="Times New Roman" w:hAnsi="Times New Roman" w:eastAsia="宋体" w:cstheme="minorBidi"/>
              <w:szCs w:val="22"/>
              <w:lang w:val="en-US" w:eastAsia="en-US" w:bidi="ar-SA"/>
            </w:rPr>
            <w:fldChar w:fldCharType="begin"/>
          </w:r>
          <w:r>
            <w:rPr>
              <w:rFonts w:ascii="Times New Roman" w:hAnsi="Times New Roman" w:eastAsia="宋体" w:cstheme="minorBidi"/>
              <w:szCs w:val="22"/>
              <w:lang w:val="en-US" w:eastAsia="en-US" w:bidi="ar-SA"/>
            </w:rPr>
            <w:instrText xml:space="preserve"> HYPERLINK \l _Toc14365 </w:instrText>
          </w:r>
          <w:r>
            <w:rPr>
              <w:rFonts w:ascii="Times New Roman" w:hAnsi="Times New Roman" w:eastAsia="宋体" w:cstheme="minorBidi"/>
              <w:szCs w:val="22"/>
              <w:lang w:val="en-US" w:eastAsia="en-US" w:bidi="ar-SA"/>
            </w:rPr>
            <w:fldChar w:fldCharType="separate"/>
          </w:r>
          <w:r>
            <w:rPr>
              <w:rFonts w:ascii="微软雅黑" w:hAnsi="微软雅黑" w:eastAsia="微软雅黑"/>
            </w:rPr>
            <w:t>5.1 市场定位与目标客户细分</w:t>
          </w:r>
          <w:r>
            <w:tab/>
          </w:r>
          <w:r>
            <w:fldChar w:fldCharType="begin"/>
          </w:r>
          <w:r>
            <w:instrText xml:space="preserve"> PAGEREF _Toc14365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ascii="Times New Roman" w:hAnsi="Times New Roman" w:eastAsia="宋体" w:cstheme="minorBidi"/>
              <w:szCs w:val="22"/>
              <w:lang w:val="en-US" w:eastAsia="en-US" w:bidi="ar-SA"/>
            </w:rPr>
            <w:fldChar w:fldCharType="end"/>
          </w:r>
        </w:p>
        <w:p w14:paraId="0074FCB5">
          <w:pPr>
            <w:pStyle w:val="29"/>
            <w:tabs>
              <w:tab w:val="right" w:leader="dot" w:pos="8640"/>
            </w:tabs>
          </w:pPr>
          <w:r>
            <w:rPr>
              <w:rFonts w:ascii="Times New Roman" w:hAnsi="Times New Roman" w:eastAsia="宋体" w:cstheme="minorBidi"/>
              <w:szCs w:val="22"/>
              <w:lang w:val="en-US" w:eastAsia="en-US" w:bidi="ar-SA"/>
            </w:rPr>
            <w:fldChar w:fldCharType="begin"/>
          </w:r>
          <w:r>
            <w:rPr>
              <w:rFonts w:ascii="Times New Roman" w:hAnsi="Times New Roman" w:eastAsia="宋体" w:cstheme="minorBidi"/>
              <w:szCs w:val="22"/>
              <w:lang w:val="en-US" w:eastAsia="en-US" w:bidi="ar-SA"/>
            </w:rPr>
            <w:instrText xml:space="preserve"> HYPERLINK \l _Toc6501 </w:instrText>
          </w:r>
          <w:r>
            <w:rPr>
              <w:rFonts w:ascii="Times New Roman" w:hAnsi="Times New Roman" w:eastAsia="宋体" w:cstheme="minorBidi"/>
              <w:szCs w:val="22"/>
              <w:lang w:val="en-US" w:eastAsia="en-US" w:bidi="ar-SA"/>
            </w:rPr>
            <w:fldChar w:fldCharType="separate"/>
          </w:r>
          <w:r>
            <w:rPr>
              <w:rFonts w:ascii="微软雅黑" w:hAnsi="微软雅黑" w:eastAsia="微软雅黑"/>
            </w:rPr>
            <w:t>5.2 品牌推广与用户引流策略（含CAC与留存）</w:t>
          </w:r>
          <w:r>
            <w:tab/>
          </w:r>
          <w:r>
            <w:fldChar w:fldCharType="begin"/>
          </w:r>
          <w:r>
            <w:instrText xml:space="preserve"> PAGEREF _Toc6501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ascii="Times New Roman" w:hAnsi="Times New Roman" w:eastAsia="宋体" w:cstheme="minorBidi"/>
              <w:szCs w:val="22"/>
              <w:lang w:val="en-US" w:eastAsia="en-US" w:bidi="ar-SA"/>
            </w:rPr>
            <w:fldChar w:fldCharType="end"/>
          </w:r>
        </w:p>
        <w:p w14:paraId="45F13EF4">
          <w:pPr>
            <w:pStyle w:val="29"/>
            <w:tabs>
              <w:tab w:val="right" w:leader="dot" w:pos="8640"/>
            </w:tabs>
          </w:pPr>
          <w:r>
            <w:rPr>
              <w:rFonts w:ascii="Times New Roman" w:hAnsi="Times New Roman" w:eastAsia="宋体" w:cstheme="minorBidi"/>
              <w:szCs w:val="22"/>
              <w:lang w:val="en-US" w:eastAsia="en-US" w:bidi="ar-SA"/>
            </w:rPr>
            <w:fldChar w:fldCharType="begin"/>
          </w:r>
          <w:r>
            <w:rPr>
              <w:rFonts w:ascii="Times New Roman" w:hAnsi="Times New Roman" w:eastAsia="宋体" w:cstheme="minorBidi"/>
              <w:szCs w:val="22"/>
              <w:lang w:val="en-US" w:eastAsia="en-US" w:bidi="ar-SA"/>
            </w:rPr>
            <w:instrText xml:space="preserve"> HYPERLINK \l _Toc10662 </w:instrText>
          </w:r>
          <w:r>
            <w:rPr>
              <w:rFonts w:ascii="Times New Roman" w:hAnsi="Times New Roman" w:eastAsia="宋体" w:cstheme="minorBidi"/>
              <w:szCs w:val="22"/>
              <w:lang w:val="en-US" w:eastAsia="en-US" w:bidi="ar-SA"/>
            </w:rPr>
            <w:fldChar w:fldCharType="separate"/>
          </w:r>
          <w:r>
            <w:rPr>
              <w:rFonts w:ascii="微软雅黑" w:hAnsi="微软雅黑" w:eastAsia="微软雅黑"/>
            </w:rPr>
            <w:t>5.3 运营计划与时间节点</w:t>
          </w:r>
          <w:r>
            <w:tab/>
          </w:r>
          <w:r>
            <w:fldChar w:fldCharType="begin"/>
          </w:r>
          <w:r>
            <w:instrText xml:space="preserve"> PAGEREF _Toc10662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ascii="Times New Roman" w:hAnsi="Times New Roman" w:eastAsia="宋体" w:cstheme="minorBidi"/>
              <w:szCs w:val="22"/>
              <w:lang w:val="en-US" w:eastAsia="en-US" w:bidi="ar-SA"/>
            </w:rPr>
            <w:fldChar w:fldCharType="end"/>
          </w:r>
        </w:p>
        <w:p w14:paraId="5AFAE942">
          <w:pPr>
            <w:pStyle w:val="29"/>
            <w:tabs>
              <w:tab w:val="right" w:leader="dot" w:pos="8640"/>
            </w:tabs>
          </w:pPr>
          <w:r>
            <w:rPr>
              <w:rFonts w:ascii="Times New Roman" w:hAnsi="Times New Roman" w:eastAsia="宋体" w:cstheme="minorBidi"/>
              <w:szCs w:val="22"/>
              <w:lang w:val="en-US" w:eastAsia="en-US" w:bidi="ar-SA"/>
            </w:rPr>
            <w:fldChar w:fldCharType="begin"/>
          </w:r>
          <w:r>
            <w:rPr>
              <w:rFonts w:ascii="Times New Roman" w:hAnsi="Times New Roman" w:eastAsia="宋体" w:cstheme="minorBidi"/>
              <w:szCs w:val="22"/>
              <w:lang w:val="en-US" w:eastAsia="en-US" w:bidi="ar-SA"/>
            </w:rPr>
            <w:instrText xml:space="preserve"> HYPERLINK \l _Toc22215 </w:instrText>
          </w:r>
          <w:r>
            <w:rPr>
              <w:rFonts w:ascii="Times New Roman" w:hAnsi="Times New Roman" w:eastAsia="宋体" w:cstheme="minorBidi"/>
              <w:szCs w:val="22"/>
              <w:lang w:val="en-US" w:eastAsia="en-US" w:bidi="ar-SA"/>
            </w:rPr>
            <w:fldChar w:fldCharType="separate"/>
          </w:r>
          <w:r>
            <w:rPr>
              <w:rFonts w:ascii="微软雅黑" w:hAnsi="微软雅黑" w:eastAsia="微软雅黑"/>
            </w:rPr>
            <w:t>5.4 关键运营指标体系</w:t>
          </w:r>
          <w:r>
            <w:tab/>
          </w:r>
          <w:r>
            <w:fldChar w:fldCharType="begin"/>
          </w:r>
          <w:r>
            <w:instrText xml:space="preserve"> PAGEREF _Toc22215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ascii="Times New Roman" w:hAnsi="Times New Roman" w:eastAsia="宋体" w:cstheme="minorBidi"/>
              <w:szCs w:val="22"/>
              <w:lang w:val="en-US" w:eastAsia="en-US" w:bidi="ar-SA"/>
            </w:rPr>
            <w:fldChar w:fldCharType="end"/>
          </w:r>
        </w:p>
        <w:p w14:paraId="34A00EE1">
          <w:pPr>
            <w:pStyle w:val="26"/>
            <w:tabs>
              <w:tab w:val="right" w:leader="dot" w:pos="8640"/>
            </w:tabs>
          </w:pPr>
          <w:r>
            <w:rPr>
              <w:rFonts w:ascii="Times New Roman" w:hAnsi="Times New Roman" w:eastAsia="宋体" w:cstheme="minorBidi"/>
              <w:szCs w:val="22"/>
              <w:lang w:val="en-US" w:eastAsia="en-US" w:bidi="ar-SA"/>
            </w:rPr>
            <w:fldChar w:fldCharType="begin"/>
          </w:r>
          <w:r>
            <w:rPr>
              <w:rFonts w:ascii="Times New Roman" w:hAnsi="Times New Roman" w:eastAsia="宋体" w:cstheme="minorBidi"/>
              <w:szCs w:val="22"/>
              <w:lang w:val="en-US" w:eastAsia="en-US" w:bidi="ar-SA"/>
            </w:rPr>
            <w:instrText xml:space="preserve"> HYPERLINK \l _Toc1828 </w:instrText>
          </w:r>
          <w:r>
            <w:rPr>
              <w:rFonts w:ascii="Times New Roman" w:hAnsi="Times New Roman" w:eastAsia="宋体" w:cstheme="minorBidi"/>
              <w:szCs w:val="22"/>
              <w:lang w:val="en-US" w:eastAsia="en-US" w:bidi="ar-SA"/>
            </w:rPr>
            <w:fldChar w:fldCharType="separate"/>
          </w:r>
          <w:r>
            <w:rPr>
              <w:rFonts w:ascii="微软雅黑" w:hAnsi="微软雅黑" w:eastAsia="微软雅黑"/>
            </w:rPr>
            <w:t>第六章 供应链与物流体系</w:t>
          </w:r>
          <w:r>
            <w:tab/>
          </w:r>
          <w:r>
            <w:fldChar w:fldCharType="begin"/>
          </w:r>
          <w:r>
            <w:instrText xml:space="preserve"> PAGEREF _Toc1828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ascii="Times New Roman" w:hAnsi="Times New Roman" w:eastAsia="宋体" w:cstheme="minorBidi"/>
              <w:szCs w:val="22"/>
              <w:lang w:val="en-US" w:eastAsia="en-US" w:bidi="ar-SA"/>
            </w:rPr>
            <w:fldChar w:fldCharType="end"/>
          </w:r>
        </w:p>
        <w:p w14:paraId="7A675BE0">
          <w:pPr>
            <w:pStyle w:val="29"/>
            <w:tabs>
              <w:tab w:val="right" w:leader="dot" w:pos="8640"/>
            </w:tabs>
          </w:pPr>
          <w:r>
            <w:rPr>
              <w:rFonts w:ascii="Times New Roman" w:hAnsi="Times New Roman" w:eastAsia="宋体" w:cstheme="minorBidi"/>
              <w:szCs w:val="22"/>
              <w:lang w:val="en-US" w:eastAsia="en-US" w:bidi="ar-SA"/>
            </w:rPr>
            <w:fldChar w:fldCharType="begin"/>
          </w:r>
          <w:r>
            <w:rPr>
              <w:rFonts w:ascii="Times New Roman" w:hAnsi="Times New Roman" w:eastAsia="宋体" w:cstheme="minorBidi"/>
              <w:szCs w:val="22"/>
              <w:lang w:val="en-US" w:eastAsia="en-US" w:bidi="ar-SA"/>
            </w:rPr>
            <w:instrText xml:space="preserve"> HYPERLINK \l _Toc6783 </w:instrText>
          </w:r>
          <w:r>
            <w:rPr>
              <w:rFonts w:ascii="Times New Roman" w:hAnsi="Times New Roman" w:eastAsia="宋体" w:cstheme="minorBidi"/>
              <w:szCs w:val="22"/>
              <w:lang w:val="en-US" w:eastAsia="en-US" w:bidi="ar-SA"/>
            </w:rPr>
            <w:fldChar w:fldCharType="separate"/>
          </w:r>
          <w:r>
            <w:rPr>
              <w:rFonts w:ascii="微软雅黑" w:hAnsi="微软雅黑" w:eastAsia="微软雅黑"/>
            </w:rPr>
            <w:t>6.1 校园仓储与智能柜终端布局</w:t>
          </w:r>
          <w:r>
            <w:tab/>
          </w:r>
          <w:r>
            <w:fldChar w:fldCharType="begin"/>
          </w:r>
          <w:r>
            <w:instrText xml:space="preserve"> PAGEREF _Toc6783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ascii="Times New Roman" w:hAnsi="Times New Roman" w:eastAsia="宋体" w:cstheme="minorBidi"/>
              <w:szCs w:val="22"/>
              <w:lang w:val="en-US" w:eastAsia="en-US" w:bidi="ar-SA"/>
            </w:rPr>
            <w:fldChar w:fldCharType="end"/>
          </w:r>
        </w:p>
        <w:p w14:paraId="454D3DA3">
          <w:pPr>
            <w:pStyle w:val="29"/>
            <w:tabs>
              <w:tab w:val="right" w:leader="dot" w:pos="8640"/>
            </w:tabs>
          </w:pPr>
          <w:r>
            <w:rPr>
              <w:rFonts w:ascii="Times New Roman" w:hAnsi="Times New Roman" w:eastAsia="宋体" w:cstheme="minorBidi"/>
              <w:szCs w:val="22"/>
              <w:lang w:val="en-US" w:eastAsia="en-US" w:bidi="ar-SA"/>
            </w:rPr>
            <w:fldChar w:fldCharType="begin"/>
          </w:r>
          <w:r>
            <w:rPr>
              <w:rFonts w:ascii="Times New Roman" w:hAnsi="Times New Roman" w:eastAsia="宋体" w:cstheme="minorBidi"/>
              <w:szCs w:val="22"/>
              <w:lang w:val="en-US" w:eastAsia="en-US" w:bidi="ar-SA"/>
            </w:rPr>
            <w:instrText xml:space="preserve"> HYPERLINK \l _Toc20487 </w:instrText>
          </w:r>
          <w:r>
            <w:rPr>
              <w:rFonts w:ascii="Times New Roman" w:hAnsi="Times New Roman" w:eastAsia="宋体" w:cstheme="minorBidi"/>
              <w:szCs w:val="22"/>
              <w:lang w:val="en-US" w:eastAsia="en-US" w:bidi="ar-SA"/>
            </w:rPr>
            <w:fldChar w:fldCharType="separate"/>
          </w:r>
          <w:r>
            <w:rPr>
              <w:rFonts w:ascii="微软雅黑" w:hAnsi="微软雅黑" w:eastAsia="微软雅黑"/>
            </w:rPr>
            <w:t>6.2 旧书回收、质检与整理SOP</w:t>
          </w:r>
          <w:r>
            <w:tab/>
          </w:r>
          <w:r>
            <w:fldChar w:fldCharType="begin"/>
          </w:r>
          <w:r>
            <w:instrText xml:space="preserve"> PAGEREF _Toc20487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ascii="Times New Roman" w:hAnsi="Times New Roman" w:eastAsia="宋体" w:cstheme="minorBidi"/>
              <w:szCs w:val="22"/>
              <w:lang w:val="en-US" w:eastAsia="en-US" w:bidi="ar-SA"/>
            </w:rPr>
            <w:fldChar w:fldCharType="end"/>
          </w:r>
        </w:p>
        <w:p w14:paraId="767C37BC">
          <w:pPr>
            <w:pStyle w:val="29"/>
            <w:tabs>
              <w:tab w:val="right" w:leader="dot" w:pos="8640"/>
            </w:tabs>
          </w:pPr>
          <w:r>
            <w:rPr>
              <w:rFonts w:ascii="Times New Roman" w:hAnsi="Times New Roman" w:eastAsia="宋体" w:cstheme="minorBidi"/>
              <w:szCs w:val="22"/>
              <w:lang w:val="en-US" w:eastAsia="en-US" w:bidi="ar-SA"/>
            </w:rPr>
            <w:fldChar w:fldCharType="begin"/>
          </w:r>
          <w:r>
            <w:rPr>
              <w:rFonts w:ascii="Times New Roman" w:hAnsi="Times New Roman" w:eastAsia="宋体" w:cstheme="minorBidi"/>
              <w:szCs w:val="22"/>
              <w:lang w:val="en-US" w:eastAsia="en-US" w:bidi="ar-SA"/>
            </w:rPr>
            <w:instrText xml:space="preserve"> HYPERLINK \l _Toc2519 </w:instrText>
          </w:r>
          <w:r>
            <w:rPr>
              <w:rFonts w:ascii="Times New Roman" w:hAnsi="Times New Roman" w:eastAsia="宋体" w:cstheme="minorBidi"/>
              <w:szCs w:val="22"/>
              <w:lang w:val="en-US" w:eastAsia="en-US" w:bidi="ar-SA"/>
            </w:rPr>
            <w:fldChar w:fldCharType="separate"/>
          </w:r>
          <w:r>
            <w:rPr>
              <w:rFonts w:ascii="微软雅黑" w:hAnsi="微软雅黑" w:eastAsia="微软雅黑"/>
            </w:rPr>
            <w:t>6.3 校园逆向物流与末端配送</w:t>
          </w:r>
          <w:r>
            <w:tab/>
          </w:r>
          <w:r>
            <w:fldChar w:fldCharType="begin"/>
          </w:r>
          <w:r>
            <w:instrText xml:space="preserve"> PAGEREF _Toc2519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ascii="Times New Roman" w:hAnsi="Times New Roman" w:eastAsia="宋体" w:cstheme="minorBidi"/>
              <w:szCs w:val="22"/>
              <w:lang w:val="en-US" w:eastAsia="en-US" w:bidi="ar-SA"/>
            </w:rPr>
            <w:fldChar w:fldCharType="end"/>
          </w:r>
        </w:p>
        <w:p w14:paraId="48F1E0CD">
          <w:pPr>
            <w:pStyle w:val="26"/>
            <w:tabs>
              <w:tab w:val="right" w:leader="dot" w:pos="8640"/>
            </w:tabs>
          </w:pPr>
          <w:r>
            <w:rPr>
              <w:rFonts w:ascii="Times New Roman" w:hAnsi="Times New Roman" w:eastAsia="宋体" w:cstheme="minorBidi"/>
              <w:szCs w:val="22"/>
              <w:lang w:val="en-US" w:eastAsia="en-US" w:bidi="ar-SA"/>
            </w:rPr>
            <w:fldChar w:fldCharType="begin"/>
          </w:r>
          <w:r>
            <w:rPr>
              <w:rFonts w:ascii="Times New Roman" w:hAnsi="Times New Roman" w:eastAsia="宋体" w:cstheme="minorBidi"/>
              <w:szCs w:val="22"/>
              <w:lang w:val="en-US" w:eastAsia="en-US" w:bidi="ar-SA"/>
            </w:rPr>
            <w:instrText xml:space="preserve"> HYPERLINK \l _Toc4515 </w:instrText>
          </w:r>
          <w:r>
            <w:rPr>
              <w:rFonts w:ascii="Times New Roman" w:hAnsi="Times New Roman" w:eastAsia="宋体" w:cstheme="minorBidi"/>
              <w:szCs w:val="22"/>
              <w:lang w:val="en-US" w:eastAsia="en-US" w:bidi="ar-SA"/>
            </w:rPr>
            <w:fldChar w:fldCharType="separate"/>
          </w:r>
          <w:r>
            <w:rPr>
              <w:rFonts w:ascii="微软雅黑" w:hAnsi="微软雅黑" w:eastAsia="微软雅黑"/>
            </w:rPr>
            <w:t>第七章 团队介绍</w:t>
          </w:r>
          <w:r>
            <w:tab/>
          </w:r>
          <w:r>
            <w:fldChar w:fldCharType="begin"/>
          </w:r>
          <w:r>
            <w:instrText xml:space="preserve"> PAGEREF _Toc4515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ascii="Times New Roman" w:hAnsi="Times New Roman" w:eastAsia="宋体" w:cstheme="minorBidi"/>
              <w:szCs w:val="22"/>
              <w:lang w:val="en-US" w:eastAsia="en-US" w:bidi="ar-SA"/>
            </w:rPr>
            <w:fldChar w:fldCharType="end"/>
          </w:r>
        </w:p>
        <w:p w14:paraId="05C87EDD">
          <w:pPr>
            <w:pStyle w:val="29"/>
            <w:tabs>
              <w:tab w:val="right" w:leader="dot" w:pos="8640"/>
            </w:tabs>
          </w:pPr>
          <w:r>
            <w:rPr>
              <w:rFonts w:ascii="Times New Roman" w:hAnsi="Times New Roman" w:eastAsia="宋体" w:cstheme="minorBidi"/>
              <w:szCs w:val="22"/>
              <w:lang w:val="en-US" w:eastAsia="en-US" w:bidi="ar-SA"/>
            </w:rPr>
            <w:fldChar w:fldCharType="begin"/>
          </w:r>
          <w:r>
            <w:rPr>
              <w:rFonts w:ascii="Times New Roman" w:hAnsi="Times New Roman" w:eastAsia="宋体" w:cstheme="minorBidi"/>
              <w:szCs w:val="22"/>
              <w:lang w:val="en-US" w:eastAsia="en-US" w:bidi="ar-SA"/>
            </w:rPr>
            <w:instrText xml:space="preserve"> HYPERLINK \l _Toc19769 </w:instrText>
          </w:r>
          <w:r>
            <w:rPr>
              <w:rFonts w:ascii="Times New Roman" w:hAnsi="Times New Roman" w:eastAsia="宋体" w:cstheme="minorBidi"/>
              <w:szCs w:val="22"/>
              <w:lang w:val="en-US" w:eastAsia="en-US" w:bidi="ar-SA"/>
            </w:rPr>
            <w:fldChar w:fldCharType="separate"/>
          </w:r>
          <w:r>
            <w:rPr>
              <w:rFonts w:ascii="微软雅黑" w:hAnsi="微软雅黑" w:eastAsia="微软雅黑"/>
            </w:rPr>
            <w:t>7.1 核心团队成员</w:t>
          </w:r>
          <w:r>
            <w:tab/>
          </w:r>
          <w:r>
            <w:fldChar w:fldCharType="begin"/>
          </w:r>
          <w:r>
            <w:instrText xml:space="preserve"> PAGEREF _Toc19769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ascii="Times New Roman" w:hAnsi="Times New Roman" w:eastAsia="宋体" w:cstheme="minorBidi"/>
              <w:szCs w:val="22"/>
              <w:lang w:val="en-US" w:eastAsia="en-US" w:bidi="ar-SA"/>
            </w:rPr>
            <w:fldChar w:fldCharType="end"/>
          </w:r>
        </w:p>
        <w:p w14:paraId="5699214D">
          <w:pPr>
            <w:pStyle w:val="29"/>
            <w:tabs>
              <w:tab w:val="right" w:leader="dot" w:pos="8640"/>
            </w:tabs>
          </w:pPr>
          <w:r>
            <w:rPr>
              <w:rFonts w:ascii="Times New Roman" w:hAnsi="Times New Roman" w:eastAsia="宋体" w:cstheme="minorBidi"/>
              <w:szCs w:val="22"/>
              <w:lang w:val="en-US" w:eastAsia="en-US" w:bidi="ar-SA"/>
            </w:rPr>
            <w:fldChar w:fldCharType="begin"/>
          </w:r>
          <w:r>
            <w:rPr>
              <w:rFonts w:ascii="Times New Roman" w:hAnsi="Times New Roman" w:eastAsia="宋体" w:cstheme="minorBidi"/>
              <w:szCs w:val="22"/>
              <w:lang w:val="en-US" w:eastAsia="en-US" w:bidi="ar-SA"/>
            </w:rPr>
            <w:instrText xml:space="preserve"> HYPERLINK \l _Toc2426 </w:instrText>
          </w:r>
          <w:r>
            <w:rPr>
              <w:rFonts w:ascii="Times New Roman" w:hAnsi="Times New Roman" w:eastAsia="宋体" w:cstheme="minorBidi"/>
              <w:szCs w:val="22"/>
              <w:lang w:val="en-US" w:eastAsia="en-US" w:bidi="ar-SA"/>
            </w:rPr>
            <w:fldChar w:fldCharType="separate"/>
          </w:r>
          <w:r>
            <w:rPr>
              <w:rFonts w:ascii="微软雅黑" w:hAnsi="微软雅黑" w:eastAsia="微软雅黑"/>
            </w:rPr>
            <w:t>7.2 组织架构与部门职责</w:t>
          </w:r>
          <w:r>
            <w:tab/>
          </w:r>
          <w:r>
            <w:fldChar w:fldCharType="begin"/>
          </w:r>
          <w:r>
            <w:instrText xml:space="preserve"> PAGEREF _Toc2426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ascii="Times New Roman" w:hAnsi="Times New Roman" w:eastAsia="宋体" w:cstheme="minorBidi"/>
              <w:szCs w:val="22"/>
              <w:lang w:val="en-US" w:eastAsia="en-US" w:bidi="ar-SA"/>
            </w:rPr>
            <w:fldChar w:fldCharType="end"/>
          </w:r>
        </w:p>
        <w:p w14:paraId="796A35F5">
          <w:pPr>
            <w:pStyle w:val="29"/>
            <w:tabs>
              <w:tab w:val="right" w:leader="dot" w:pos="8640"/>
            </w:tabs>
          </w:pPr>
          <w:r>
            <w:rPr>
              <w:rFonts w:ascii="Times New Roman" w:hAnsi="Times New Roman" w:eastAsia="宋体" w:cstheme="minorBidi"/>
              <w:szCs w:val="22"/>
              <w:lang w:val="en-US" w:eastAsia="en-US" w:bidi="ar-SA"/>
            </w:rPr>
            <w:fldChar w:fldCharType="begin"/>
          </w:r>
          <w:r>
            <w:rPr>
              <w:rFonts w:ascii="Times New Roman" w:hAnsi="Times New Roman" w:eastAsia="宋体" w:cstheme="minorBidi"/>
              <w:szCs w:val="22"/>
              <w:lang w:val="en-US" w:eastAsia="en-US" w:bidi="ar-SA"/>
            </w:rPr>
            <w:instrText xml:space="preserve"> HYPERLINK \l _Toc4058 </w:instrText>
          </w:r>
          <w:r>
            <w:rPr>
              <w:rFonts w:ascii="Times New Roman" w:hAnsi="Times New Roman" w:eastAsia="宋体" w:cstheme="minorBidi"/>
              <w:szCs w:val="22"/>
              <w:lang w:val="en-US" w:eastAsia="en-US" w:bidi="ar-SA"/>
            </w:rPr>
            <w:fldChar w:fldCharType="separate"/>
          </w:r>
          <w:r>
            <w:rPr>
              <w:rFonts w:ascii="微软雅黑" w:hAnsi="微软雅黑" w:eastAsia="微软雅黑"/>
            </w:rPr>
            <w:t>7.3 顾问与指导老师团队</w:t>
          </w:r>
          <w:r>
            <w:tab/>
          </w:r>
          <w:r>
            <w:fldChar w:fldCharType="begin"/>
          </w:r>
          <w:r>
            <w:instrText xml:space="preserve"> PAGEREF _Toc4058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ascii="Times New Roman" w:hAnsi="Times New Roman" w:eastAsia="宋体" w:cstheme="minorBidi"/>
              <w:szCs w:val="22"/>
              <w:lang w:val="en-US" w:eastAsia="en-US" w:bidi="ar-SA"/>
            </w:rPr>
            <w:fldChar w:fldCharType="end"/>
          </w:r>
        </w:p>
        <w:p w14:paraId="0145B875">
          <w:pPr>
            <w:pStyle w:val="29"/>
            <w:tabs>
              <w:tab w:val="right" w:leader="dot" w:pos="8640"/>
            </w:tabs>
          </w:pPr>
          <w:r>
            <w:rPr>
              <w:rFonts w:ascii="Times New Roman" w:hAnsi="Times New Roman" w:eastAsia="宋体" w:cstheme="minorBidi"/>
              <w:szCs w:val="22"/>
              <w:lang w:val="en-US" w:eastAsia="en-US" w:bidi="ar-SA"/>
            </w:rPr>
            <w:fldChar w:fldCharType="begin"/>
          </w:r>
          <w:r>
            <w:rPr>
              <w:rFonts w:ascii="Times New Roman" w:hAnsi="Times New Roman" w:eastAsia="宋体" w:cstheme="minorBidi"/>
              <w:szCs w:val="22"/>
              <w:lang w:val="en-US" w:eastAsia="en-US" w:bidi="ar-SA"/>
            </w:rPr>
            <w:instrText xml:space="preserve"> HYPERLINK \l _Toc29375 </w:instrText>
          </w:r>
          <w:r>
            <w:rPr>
              <w:rFonts w:ascii="Times New Roman" w:hAnsi="Times New Roman" w:eastAsia="宋体" w:cstheme="minorBidi"/>
              <w:szCs w:val="22"/>
              <w:lang w:val="en-US" w:eastAsia="en-US" w:bidi="ar-SA"/>
            </w:rPr>
            <w:fldChar w:fldCharType="separate"/>
          </w:r>
          <w:r>
            <w:rPr>
              <w:rFonts w:ascii="微软雅黑" w:hAnsi="微软雅黑" w:eastAsia="微软雅黑"/>
            </w:rPr>
            <w:t>7.4 团队核心优势与人岗匹配度</w:t>
          </w:r>
          <w:r>
            <w:tab/>
          </w:r>
          <w:r>
            <w:fldChar w:fldCharType="begin"/>
          </w:r>
          <w:r>
            <w:instrText xml:space="preserve"> PAGEREF _Toc29375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ascii="Times New Roman" w:hAnsi="Times New Roman" w:eastAsia="宋体" w:cstheme="minorBidi"/>
              <w:szCs w:val="22"/>
              <w:lang w:val="en-US" w:eastAsia="en-US" w:bidi="ar-SA"/>
            </w:rPr>
            <w:fldChar w:fldCharType="end"/>
          </w:r>
        </w:p>
        <w:p w14:paraId="63FE5B2D">
          <w:pPr>
            <w:pStyle w:val="26"/>
            <w:tabs>
              <w:tab w:val="right" w:leader="dot" w:pos="8640"/>
            </w:tabs>
          </w:pPr>
          <w:r>
            <w:rPr>
              <w:rFonts w:ascii="Times New Roman" w:hAnsi="Times New Roman" w:eastAsia="宋体" w:cstheme="minorBidi"/>
              <w:szCs w:val="22"/>
              <w:lang w:val="en-US" w:eastAsia="en-US" w:bidi="ar-SA"/>
            </w:rPr>
            <w:fldChar w:fldCharType="begin"/>
          </w:r>
          <w:r>
            <w:rPr>
              <w:rFonts w:ascii="Times New Roman" w:hAnsi="Times New Roman" w:eastAsia="宋体" w:cstheme="minorBidi"/>
              <w:szCs w:val="22"/>
              <w:lang w:val="en-US" w:eastAsia="en-US" w:bidi="ar-SA"/>
            </w:rPr>
            <w:instrText xml:space="preserve"> HYPERLINK \l _Toc12717 </w:instrText>
          </w:r>
          <w:r>
            <w:rPr>
              <w:rFonts w:ascii="Times New Roman" w:hAnsi="Times New Roman" w:eastAsia="宋体" w:cstheme="minorBidi"/>
              <w:szCs w:val="22"/>
              <w:lang w:val="en-US" w:eastAsia="en-US" w:bidi="ar-SA"/>
            </w:rPr>
            <w:fldChar w:fldCharType="separate"/>
          </w:r>
          <w:r>
            <w:rPr>
              <w:rFonts w:ascii="微软雅黑" w:hAnsi="微软雅黑" w:eastAsia="微软雅黑"/>
            </w:rPr>
            <w:t>第八章 财务规划</w:t>
          </w:r>
          <w:r>
            <w:tab/>
          </w:r>
          <w:r>
            <w:fldChar w:fldCharType="begin"/>
          </w:r>
          <w:r>
            <w:instrText xml:space="preserve"> PAGEREF _Toc12717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rFonts w:ascii="Times New Roman" w:hAnsi="Times New Roman" w:eastAsia="宋体" w:cstheme="minorBidi"/>
              <w:szCs w:val="22"/>
              <w:lang w:val="en-US" w:eastAsia="en-US" w:bidi="ar-SA"/>
            </w:rPr>
            <w:fldChar w:fldCharType="end"/>
          </w:r>
        </w:p>
        <w:p w14:paraId="5BDF840A">
          <w:pPr>
            <w:pStyle w:val="29"/>
            <w:tabs>
              <w:tab w:val="right" w:leader="dot" w:pos="8640"/>
            </w:tabs>
          </w:pPr>
          <w:r>
            <w:rPr>
              <w:rFonts w:ascii="Times New Roman" w:hAnsi="Times New Roman" w:eastAsia="宋体" w:cstheme="minorBidi"/>
              <w:szCs w:val="22"/>
              <w:lang w:val="en-US" w:eastAsia="en-US" w:bidi="ar-SA"/>
            </w:rPr>
            <w:fldChar w:fldCharType="begin"/>
          </w:r>
          <w:r>
            <w:rPr>
              <w:rFonts w:ascii="Times New Roman" w:hAnsi="Times New Roman" w:eastAsia="宋体" w:cstheme="minorBidi"/>
              <w:szCs w:val="22"/>
              <w:lang w:val="en-US" w:eastAsia="en-US" w:bidi="ar-SA"/>
            </w:rPr>
            <w:instrText xml:space="preserve"> HYPERLINK \l _Toc8449 </w:instrText>
          </w:r>
          <w:r>
            <w:rPr>
              <w:rFonts w:ascii="Times New Roman" w:hAnsi="Times New Roman" w:eastAsia="宋体" w:cstheme="minorBidi"/>
              <w:szCs w:val="22"/>
              <w:lang w:val="en-US" w:eastAsia="en-US" w:bidi="ar-SA"/>
            </w:rPr>
            <w:fldChar w:fldCharType="separate"/>
          </w:r>
          <w:r>
            <w:rPr>
              <w:rFonts w:ascii="微软雅黑" w:hAnsi="微软雅黑" w:eastAsia="微软雅黑"/>
            </w:rPr>
            <w:t>8.1 融资需求与资金使用</w:t>
          </w:r>
          <w:r>
            <w:tab/>
          </w:r>
          <w:r>
            <w:fldChar w:fldCharType="begin"/>
          </w:r>
          <w:r>
            <w:instrText xml:space="preserve"> PAGEREF _Toc8449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rFonts w:ascii="Times New Roman" w:hAnsi="Times New Roman" w:eastAsia="宋体" w:cstheme="minorBidi"/>
              <w:szCs w:val="22"/>
              <w:lang w:val="en-US" w:eastAsia="en-US" w:bidi="ar-SA"/>
            </w:rPr>
            <w:fldChar w:fldCharType="end"/>
          </w:r>
        </w:p>
        <w:p w14:paraId="0864B6ED">
          <w:pPr>
            <w:pStyle w:val="29"/>
            <w:tabs>
              <w:tab w:val="right" w:leader="dot" w:pos="8640"/>
            </w:tabs>
          </w:pPr>
          <w:r>
            <w:rPr>
              <w:rFonts w:ascii="Times New Roman" w:hAnsi="Times New Roman" w:eastAsia="宋体" w:cstheme="minorBidi"/>
              <w:szCs w:val="22"/>
              <w:lang w:val="en-US" w:eastAsia="en-US" w:bidi="ar-SA"/>
            </w:rPr>
            <w:fldChar w:fldCharType="begin"/>
          </w:r>
          <w:r>
            <w:rPr>
              <w:rFonts w:ascii="Times New Roman" w:hAnsi="Times New Roman" w:eastAsia="宋体" w:cstheme="minorBidi"/>
              <w:szCs w:val="22"/>
              <w:lang w:val="en-US" w:eastAsia="en-US" w:bidi="ar-SA"/>
            </w:rPr>
            <w:instrText xml:space="preserve"> HYPERLINK \l _Toc26081 </w:instrText>
          </w:r>
          <w:r>
            <w:rPr>
              <w:rFonts w:ascii="Times New Roman" w:hAnsi="Times New Roman" w:eastAsia="宋体" w:cstheme="minorBidi"/>
              <w:szCs w:val="22"/>
              <w:lang w:val="en-US" w:eastAsia="en-US" w:bidi="ar-SA"/>
            </w:rPr>
            <w:fldChar w:fldCharType="separate"/>
          </w:r>
          <w:r>
            <w:rPr>
              <w:rFonts w:ascii="微软雅黑" w:hAnsi="微软雅黑" w:eastAsia="微软雅黑"/>
            </w:rPr>
            <w:t>8.2 未来3年收入预测</w:t>
          </w:r>
          <w:r>
            <w:tab/>
          </w:r>
          <w:r>
            <w:fldChar w:fldCharType="begin"/>
          </w:r>
          <w:r>
            <w:instrText xml:space="preserve"> PAGEREF _Toc26081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rFonts w:ascii="Times New Roman" w:hAnsi="Times New Roman" w:eastAsia="宋体" w:cstheme="minorBidi"/>
              <w:szCs w:val="22"/>
              <w:lang w:val="en-US" w:eastAsia="en-US" w:bidi="ar-SA"/>
            </w:rPr>
            <w:fldChar w:fldCharType="end"/>
          </w:r>
        </w:p>
        <w:p w14:paraId="4126A968">
          <w:pPr>
            <w:pStyle w:val="29"/>
            <w:tabs>
              <w:tab w:val="right" w:leader="dot" w:pos="8640"/>
            </w:tabs>
          </w:pPr>
          <w:r>
            <w:rPr>
              <w:rFonts w:ascii="Times New Roman" w:hAnsi="Times New Roman" w:eastAsia="宋体" w:cstheme="minorBidi"/>
              <w:szCs w:val="22"/>
              <w:lang w:val="en-US" w:eastAsia="en-US" w:bidi="ar-SA"/>
            </w:rPr>
            <w:fldChar w:fldCharType="begin"/>
          </w:r>
          <w:r>
            <w:rPr>
              <w:rFonts w:ascii="Times New Roman" w:hAnsi="Times New Roman" w:eastAsia="宋体" w:cstheme="minorBidi"/>
              <w:szCs w:val="22"/>
              <w:lang w:val="en-US" w:eastAsia="en-US" w:bidi="ar-SA"/>
            </w:rPr>
            <w:instrText xml:space="preserve"> HYPERLINK \l _Toc22813 </w:instrText>
          </w:r>
          <w:r>
            <w:rPr>
              <w:rFonts w:ascii="Times New Roman" w:hAnsi="Times New Roman" w:eastAsia="宋体" w:cstheme="minorBidi"/>
              <w:szCs w:val="22"/>
              <w:lang w:val="en-US" w:eastAsia="en-US" w:bidi="ar-SA"/>
            </w:rPr>
            <w:fldChar w:fldCharType="separate"/>
          </w:r>
          <w:r>
            <w:rPr>
              <w:rFonts w:ascii="微软雅黑" w:hAnsi="微软雅黑" w:eastAsia="微软雅黑"/>
            </w:rPr>
            <w:t>8.3 成本与费用预测</w:t>
          </w:r>
          <w:r>
            <w:tab/>
          </w:r>
          <w:r>
            <w:fldChar w:fldCharType="begin"/>
          </w:r>
          <w:r>
            <w:instrText xml:space="preserve"> PAGEREF _Toc22813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rFonts w:ascii="Times New Roman" w:hAnsi="Times New Roman" w:eastAsia="宋体" w:cstheme="minorBidi"/>
              <w:szCs w:val="22"/>
              <w:lang w:val="en-US" w:eastAsia="en-US" w:bidi="ar-SA"/>
            </w:rPr>
            <w:fldChar w:fldCharType="end"/>
          </w:r>
        </w:p>
        <w:p w14:paraId="3ABA9C38">
          <w:pPr>
            <w:pStyle w:val="29"/>
            <w:tabs>
              <w:tab w:val="right" w:leader="dot" w:pos="8640"/>
            </w:tabs>
          </w:pPr>
          <w:r>
            <w:rPr>
              <w:rFonts w:ascii="Times New Roman" w:hAnsi="Times New Roman" w:eastAsia="宋体" w:cstheme="minorBidi"/>
              <w:szCs w:val="22"/>
              <w:lang w:val="en-US" w:eastAsia="en-US" w:bidi="ar-SA"/>
            </w:rPr>
            <w:fldChar w:fldCharType="begin"/>
          </w:r>
          <w:r>
            <w:rPr>
              <w:rFonts w:ascii="Times New Roman" w:hAnsi="Times New Roman" w:eastAsia="宋体" w:cstheme="minorBidi"/>
              <w:szCs w:val="22"/>
              <w:lang w:val="en-US" w:eastAsia="en-US" w:bidi="ar-SA"/>
            </w:rPr>
            <w:instrText xml:space="preserve"> HYPERLINK \l _Toc2691 </w:instrText>
          </w:r>
          <w:r>
            <w:rPr>
              <w:rFonts w:ascii="Times New Roman" w:hAnsi="Times New Roman" w:eastAsia="宋体" w:cstheme="minorBidi"/>
              <w:szCs w:val="22"/>
              <w:lang w:val="en-US" w:eastAsia="en-US" w:bidi="ar-SA"/>
            </w:rPr>
            <w:fldChar w:fldCharType="separate"/>
          </w:r>
          <w:r>
            <w:rPr>
              <w:rFonts w:ascii="微软雅黑" w:hAnsi="微软雅黑" w:eastAsia="微软雅黑"/>
            </w:rPr>
            <w:t>8.4 利润表与现金流分析</w:t>
          </w:r>
          <w:r>
            <w:tab/>
          </w:r>
          <w:r>
            <w:fldChar w:fldCharType="begin"/>
          </w:r>
          <w:r>
            <w:instrText xml:space="preserve"> PAGEREF _Toc2691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rFonts w:ascii="Times New Roman" w:hAnsi="Times New Roman" w:eastAsia="宋体" w:cstheme="minorBidi"/>
              <w:szCs w:val="22"/>
              <w:lang w:val="en-US" w:eastAsia="en-US" w:bidi="ar-SA"/>
            </w:rPr>
            <w:fldChar w:fldCharType="end"/>
          </w:r>
        </w:p>
        <w:p w14:paraId="7DADBBF0">
          <w:pPr>
            <w:pStyle w:val="29"/>
            <w:tabs>
              <w:tab w:val="right" w:leader="dot" w:pos="8640"/>
            </w:tabs>
          </w:pPr>
          <w:r>
            <w:rPr>
              <w:rFonts w:ascii="Times New Roman" w:hAnsi="Times New Roman" w:eastAsia="宋体" w:cstheme="minorBidi"/>
              <w:szCs w:val="22"/>
              <w:lang w:val="en-US" w:eastAsia="en-US" w:bidi="ar-SA"/>
            </w:rPr>
            <w:fldChar w:fldCharType="begin"/>
          </w:r>
          <w:r>
            <w:rPr>
              <w:rFonts w:ascii="Times New Roman" w:hAnsi="Times New Roman" w:eastAsia="宋体" w:cstheme="minorBidi"/>
              <w:szCs w:val="22"/>
              <w:lang w:val="en-US" w:eastAsia="en-US" w:bidi="ar-SA"/>
            </w:rPr>
            <w:instrText xml:space="preserve"> HYPERLINK \l _Toc8944 </w:instrText>
          </w:r>
          <w:r>
            <w:rPr>
              <w:rFonts w:ascii="Times New Roman" w:hAnsi="Times New Roman" w:eastAsia="宋体" w:cstheme="minorBidi"/>
              <w:szCs w:val="22"/>
              <w:lang w:val="en-US" w:eastAsia="en-US" w:bidi="ar-SA"/>
            </w:rPr>
            <w:fldChar w:fldCharType="separate"/>
          </w:r>
          <w:r>
            <w:rPr>
              <w:rFonts w:ascii="微软雅黑" w:hAnsi="微软雅黑" w:eastAsia="微软雅黑"/>
            </w:rPr>
            <w:t>8.5 盈亏平衡点与ROI</w:t>
          </w:r>
          <w:r>
            <w:tab/>
          </w:r>
          <w:r>
            <w:fldChar w:fldCharType="begin"/>
          </w:r>
          <w:r>
            <w:instrText xml:space="preserve"> PAGEREF _Toc8944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rFonts w:ascii="Times New Roman" w:hAnsi="Times New Roman" w:eastAsia="宋体" w:cstheme="minorBidi"/>
              <w:szCs w:val="22"/>
              <w:lang w:val="en-US" w:eastAsia="en-US" w:bidi="ar-SA"/>
            </w:rPr>
            <w:fldChar w:fldCharType="end"/>
          </w:r>
        </w:p>
        <w:p w14:paraId="3929B0C7">
          <w:pPr>
            <w:pStyle w:val="29"/>
            <w:tabs>
              <w:tab w:val="right" w:leader="dot" w:pos="8640"/>
            </w:tabs>
          </w:pPr>
          <w:r>
            <w:rPr>
              <w:rFonts w:ascii="Times New Roman" w:hAnsi="Times New Roman" w:eastAsia="宋体" w:cstheme="minorBidi"/>
              <w:szCs w:val="22"/>
              <w:lang w:val="en-US" w:eastAsia="en-US" w:bidi="ar-SA"/>
            </w:rPr>
            <w:fldChar w:fldCharType="begin"/>
          </w:r>
          <w:r>
            <w:rPr>
              <w:rFonts w:ascii="Times New Roman" w:hAnsi="Times New Roman" w:eastAsia="宋体" w:cstheme="minorBidi"/>
              <w:szCs w:val="22"/>
              <w:lang w:val="en-US" w:eastAsia="en-US" w:bidi="ar-SA"/>
            </w:rPr>
            <w:instrText xml:space="preserve"> HYPERLINK \l _Toc10745 </w:instrText>
          </w:r>
          <w:r>
            <w:rPr>
              <w:rFonts w:ascii="Times New Roman" w:hAnsi="Times New Roman" w:eastAsia="宋体" w:cstheme="minorBidi"/>
              <w:szCs w:val="22"/>
              <w:lang w:val="en-US" w:eastAsia="en-US" w:bidi="ar-SA"/>
            </w:rPr>
            <w:fldChar w:fldCharType="separate"/>
          </w:r>
          <w:r>
            <w:rPr>
              <w:rFonts w:ascii="微软雅黑" w:hAnsi="微软雅黑" w:eastAsia="微软雅黑"/>
            </w:rPr>
            <w:t>8.6 敏感性分析</w:t>
          </w:r>
          <w:r>
            <w:tab/>
          </w:r>
          <w:r>
            <w:fldChar w:fldCharType="begin"/>
          </w:r>
          <w:r>
            <w:instrText xml:space="preserve"> PAGEREF _Toc10745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rFonts w:ascii="Times New Roman" w:hAnsi="Times New Roman" w:eastAsia="宋体" w:cstheme="minorBidi"/>
              <w:szCs w:val="22"/>
              <w:lang w:val="en-US" w:eastAsia="en-US" w:bidi="ar-SA"/>
            </w:rPr>
            <w:fldChar w:fldCharType="end"/>
          </w:r>
        </w:p>
        <w:p w14:paraId="4421D86D">
          <w:pPr>
            <w:pStyle w:val="26"/>
            <w:tabs>
              <w:tab w:val="right" w:leader="dot" w:pos="8640"/>
            </w:tabs>
          </w:pPr>
          <w:r>
            <w:rPr>
              <w:rFonts w:ascii="Times New Roman" w:hAnsi="Times New Roman" w:eastAsia="宋体" w:cstheme="minorBidi"/>
              <w:szCs w:val="22"/>
              <w:lang w:val="en-US" w:eastAsia="en-US" w:bidi="ar-SA"/>
            </w:rPr>
            <w:fldChar w:fldCharType="begin"/>
          </w:r>
          <w:r>
            <w:rPr>
              <w:rFonts w:ascii="Times New Roman" w:hAnsi="Times New Roman" w:eastAsia="宋体" w:cstheme="minorBidi"/>
              <w:szCs w:val="22"/>
              <w:lang w:val="en-US" w:eastAsia="en-US" w:bidi="ar-SA"/>
            </w:rPr>
            <w:instrText xml:space="preserve"> HYPERLINK \l _Toc24925 </w:instrText>
          </w:r>
          <w:r>
            <w:rPr>
              <w:rFonts w:ascii="Times New Roman" w:hAnsi="Times New Roman" w:eastAsia="宋体" w:cstheme="minorBidi"/>
              <w:szCs w:val="22"/>
              <w:lang w:val="en-US" w:eastAsia="en-US" w:bidi="ar-SA"/>
            </w:rPr>
            <w:fldChar w:fldCharType="separate"/>
          </w:r>
          <w:r>
            <w:rPr>
              <w:rFonts w:ascii="微软雅黑" w:hAnsi="微软雅黑" w:eastAsia="微软雅黑"/>
            </w:rPr>
            <w:t>第九章 风险分析与应对措施</w:t>
          </w:r>
          <w:r>
            <w:tab/>
          </w:r>
          <w:r>
            <w:fldChar w:fldCharType="begin"/>
          </w:r>
          <w:r>
            <w:instrText xml:space="preserve"> PAGEREF _Toc24925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rFonts w:ascii="Times New Roman" w:hAnsi="Times New Roman" w:eastAsia="宋体" w:cstheme="minorBidi"/>
              <w:szCs w:val="22"/>
              <w:lang w:val="en-US" w:eastAsia="en-US" w:bidi="ar-SA"/>
            </w:rPr>
            <w:fldChar w:fldCharType="end"/>
          </w:r>
        </w:p>
        <w:p w14:paraId="1AF78428">
          <w:pPr>
            <w:pStyle w:val="29"/>
            <w:tabs>
              <w:tab w:val="right" w:leader="dot" w:pos="8640"/>
            </w:tabs>
          </w:pPr>
          <w:r>
            <w:rPr>
              <w:rFonts w:ascii="Times New Roman" w:hAnsi="Times New Roman" w:eastAsia="宋体" w:cstheme="minorBidi"/>
              <w:szCs w:val="22"/>
              <w:lang w:val="en-US" w:eastAsia="en-US" w:bidi="ar-SA"/>
            </w:rPr>
            <w:fldChar w:fldCharType="begin"/>
          </w:r>
          <w:r>
            <w:rPr>
              <w:rFonts w:ascii="Times New Roman" w:hAnsi="Times New Roman" w:eastAsia="宋体" w:cstheme="minorBidi"/>
              <w:szCs w:val="22"/>
              <w:lang w:val="en-US" w:eastAsia="en-US" w:bidi="ar-SA"/>
            </w:rPr>
            <w:instrText xml:space="preserve"> HYPERLINK \l _Toc23911 </w:instrText>
          </w:r>
          <w:r>
            <w:rPr>
              <w:rFonts w:ascii="Times New Roman" w:hAnsi="Times New Roman" w:eastAsia="宋体" w:cstheme="minorBidi"/>
              <w:szCs w:val="22"/>
              <w:lang w:val="en-US" w:eastAsia="en-US" w:bidi="ar-SA"/>
            </w:rPr>
            <w:fldChar w:fldCharType="separate"/>
          </w:r>
          <w:r>
            <w:rPr>
              <w:rFonts w:ascii="微软雅黑" w:hAnsi="微软雅黑" w:eastAsia="微软雅黑"/>
            </w:rPr>
            <w:t>9.1 版权与合规（含技术风控）</w:t>
          </w:r>
          <w:r>
            <w:tab/>
          </w:r>
          <w:r>
            <w:fldChar w:fldCharType="begin"/>
          </w:r>
          <w:r>
            <w:instrText xml:space="preserve"> PAGEREF _Toc23911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rPr>
              <w:rFonts w:ascii="Times New Roman" w:hAnsi="Times New Roman" w:eastAsia="宋体" w:cstheme="minorBidi"/>
              <w:szCs w:val="22"/>
              <w:lang w:val="en-US" w:eastAsia="en-US" w:bidi="ar-SA"/>
            </w:rPr>
            <w:fldChar w:fldCharType="end"/>
          </w:r>
        </w:p>
        <w:p w14:paraId="74EC75EC">
          <w:pPr>
            <w:pStyle w:val="26"/>
            <w:tabs>
              <w:tab w:val="right" w:leader="dot" w:pos="8640"/>
            </w:tabs>
          </w:pPr>
          <w:r>
            <w:rPr>
              <w:rFonts w:ascii="Times New Roman" w:hAnsi="Times New Roman" w:eastAsia="宋体" w:cstheme="minorBidi"/>
              <w:szCs w:val="22"/>
              <w:lang w:val="en-US" w:eastAsia="en-US" w:bidi="ar-SA"/>
            </w:rPr>
            <w:fldChar w:fldCharType="begin"/>
          </w:r>
          <w:r>
            <w:rPr>
              <w:rFonts w:ascii="Times New Roman" w:hAnsi="Times New Roman" w:eastAsia="宋体" w:cstheme="minorBidi"/>
              <w:szCs w:val="22"/>
              <w:lang w:val="en-US" w:eastAsia="en-US" w:bidi="ar-SA"/>
            </w:rPr>
            <w:instrText xml:space="preserve"> HYPERLINK \l _Toc11160 </w:instrText>
          </w:r>
          <w:r>
            <w:rPr>
              <w:rFonts w:ascii="Times New Roman" w:hAnsi="Times New Roman" w:eastAsia="宋体" w:cstheme="minorBidi"/>
              <w:szCs w:val="22"/>
              <w:lang w:val="en-US" w:eastAsia="en-US" w:bidi="ar-SA"/>
            </w:rPr>
            <w:fldChar w:fldCharType="separate"/>
          </w:r>
          <w:r>
            <w:rPr>
              <w:rFonts w:ascii="微软雅黑" w:hAnsi="微软雅黑" w:eastAsia="微软雅黑"/>
            </w:rPr>
            <w:t>第十章 社会价值与育人成果</w:t>
          </w:r>
          <w:r>
            <w:tab/>
          </w:r>
          <w:r>
            <w:fldChar w:fldCharType="begin"/>
          </w:r>
          <w:r>
            <w:instrText xml:space="preserve"> PAGEREF _Toc11160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rPr>
              <w:rFonts w:ascii="Times New Roman" w:hAnsi="Times New Roman" w:eastAsia="宋体" w:cstheme="minorBidi"/>
              <w:szCs w:val="22"/>
              <w:lang w:val="en-US" w:eastAsia="en-US" w:bidi="ar-SA"/>
            </w:rPr>
            <w:fldChar w:fldCharType="end"/>
          </w:r>
        </w:p>
        <w:p w14:paraId="30561A32">
          <w:pPr>
            <w:pStyle w:val="29"/>
            <w:tabs>
              <w:tab w:val="right" w:leader="dot" w:pos="8640"/>
            </w:tabs>
          </w:pPr>
          <w:r>
            <w:rPr>
              <w:rFonts w:ascii="Times New Roman" w:hAnsi="Times New Roman" w:eastAsia="宋体" w:cstheme="minorBidi"/>
              <w:szCs w:val="22"/>
              <w:lang w:val="en-US" w:eastAsia="en-US" w:bidi="ar-SA"/>
            </w:rPr>
            <w:fldChar w:fldCharType="begin"/>
          </w:r>
          <w:r>
            <w:rPr>
              <w:rFonts w:ascii="Times New Roman" w:hAnsi="Times New Roman" w:eastAsia="宋体" w:cstheme="minorBidi"/>
              <w:szCs w:val="22"/>
              <w:lang w:val="en-US" w:eastAsia="en-US" w:bidi="ar-SA"/>
            </w:rPr>
            <w:instrText xml:space="preserve"> HYPERLINK \l _Toc16200 </w:instrText>
          </w:r>
          <w:r>
            <w:rPr>
              <w:rFonts w:ascii="Times New Roman" w:hAnsi="Times New Roman" w:eastAsia="宋体" w:cstheme="minorBidi"/>
              <w:szCs w:val="22"/>
              <w:lang w:val="en-US" w:eastAsia="en-US" w:bidi="ar-SA"/>
            </w:rPr>
            <w:fldChar w:fldCharType="separate"/>
          </w:r>
          <w:r>
            <w:rPr>
              <w:rFonts w:ascii="微软雅黑" w:hAnsi="微软雅黑" w:eastAsia="微软雅黑"/>
            </w:rPr>
            <w:t>10.1 绿色低碳效应（LCA方法学）</w:t>
          </w:r>
          <w:r>
            <w:tab/>
          </w:r>
          <w:r>
            <w:fldChar w:fldCharType="begin"/>
          </w:r>
          <w:r>
            <w:instrText xml:space="preserve"> PAGEREF _Toc16200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rPr>
              <w:rFonts w:ascii="Times New Roman" w:hAnsi="Times New Roman" w:eastAsia="宋体" w:cstheme="minorBidi"/>
              <w:szCs w:val="22"/>
              <w:lang w:val="en-US" w:eastAsia="en-US" w:bidi="ar-SA"/>
            </w:rPr>
            <w:fldChar w:fldCharType="end"/>
          </w:r>
        </w:p>
        <w:p w14:paraId="1B8D2E8E">
          <w:pPr>
            <w:pStyle w:val="29"/>
            <w:tabs>
              <w:tab w:val="right" w:leader="dot" w:pos="8640"/>
            </w:tabs>
          </w:pPr>
          <w:r>
            <w:rPr>
              <w:rFonts w:ascii="Times New Roman" w:hAnsi="Times New Roman" w:eastAsia="宋体" w:cstheme="minorBidi"/>
              <w:szCs w:val="22"/>
              <w:lang w:val="en-US" w:eastAsia="en-US" w:bidi="ar-SA"/>
            </w:rPr>
            <w:fldChar w:fldCharType="begin"/>
          </w:r>
          <w:r>
            <w:rPr>
              <w:rFonts w:ascii="Times New Roman" w:hAnsi="Times New Roman" w:eastAsia="宋体" w:cstheme="minorBidi"/>
              <w:szCs w:val="22"/>
              <w:lang w:val="en-US" w:eastAsia="en-US" w:bidi="ar-SA"/>
            </w:rPr>
            <w:instrText xml:space="preserve"> HYPERLINK \l _Toc31204 </w:instrText>
          </w:r>
          <w:r>
            <w:rPr>
              <w:rFonts w:ascii="Times New Roman" w:hAnsi="Times New Roman" w:eastAsia="宋体" w:cstheme="minorBidi"/>
              <w:szCs w:val="22"/>
              <w:lang w:val="en-US" w:eastAsia="en-US" w:bidi="ar-SA"/>
            </w:rPr>
            <w:fldChar w:fldCharType="separate"/>
          </w:r>
          <w:r>
            <w:rPr>
              <w:rFonts w:ascii="微软雅黑" w:hAnsi="微软雅黑" w:eastAsia="微软雅黑"/>
            </w:rPr>
            <w:t>10.2 产教融合</w:t>
          </w:r>
          <w:r>
            <w:tab/>
          </w:r>
          <w:r>
            <w:fldChar w:fldCharType="begin"/>
          </w:r>
          <w:r>
            <w:instrText xml:space="preserve"> PAGEREF _Toc31204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rPr>
              <w:rFonts w:ascii="Times New Roman" w:hAnsi="Times New Roman" w:eastAsia="宋体" w:cstheme="minorBidi"/>
              <w:szCs w:val="22"/>
              <w:lang w:val="en-US" w:eastAsia="en-US" w:bidi="ar-SA"/>
            </w:rPr>
            <w:fldChar w:fldCharType="end"/>
          </w:r>
        </w:p>
        <w:p w14:paraId="32CD95A3">
          <w:pPr>
            <w:pStyle w:val="29"/>
            <w:tabs>
              <w:tab w:val="right" w:leader="dot" w:pos="8640"/>
            </w:tabs>
          </w:pPr>
          <w:r>
            <w:rPr>
              <w:rFonts w:ascii="Times New Roman" w:hAnsi="Times New Roman" w:eastAsia="宋体" w:cstheme="minorBidi"/>
              <w:szCs w:val="22"/>
              <w:lang w:val="en-US" w:eastAsia="en-US" w:bidi="ar-SA"/>
            </w:rPr>
            <w:fldChar w:fldCharType="begin"/>
          </w:r>
          <w:r>
            <w:rPr>
              <w:rFonts w:ascii="Times New Roman" w:hAnsi="Times New Roman" w:eastAsia="宋体" w:cstheme="minorBidi"/>
              <w:szCs w:val="22"/>
              <w:lang w:val="en-US" w:eastAsia="en-US" w:bidi="ar-SA"/>
            </w:rPr>
            <w:instrText xml:space="preserve"> HYPERLINK \l _Toc22458 </w:instrText>
          </w:r>
          <w:r>
            <w:rPr>
              <w:rFonts w:ascii="Times New Roman" w:hAnsi="Times New Roman" w:eastAsia="宋体" w:cstheme="minorBidi"/>
              <w:szCs w:val="22"/>
              <w:lang w:val="en-US" w:eastAsia="en-US" w:bidi="ar-SA"/>
            </w:rPr>
            <w:fldChar w:fldCharType="separate"/>
          </w:r>
          <w:r>
            <w:rPr>
              <w:rFonts w:ascii="微软雅黑" w:hAnsi="微软雅黑" w:eastAsia="微软雅黑"/>
            </w:rPr>
            <w:t>10.3 "无废校园"与书香校园</w:t>
          </w:r>
          <w:r>
            <w:tab/>
          </w:r>
          <w:r>
            <w:fldChar w:fldCharType="begin"/>
          </w:r>
          <w:r>
            <w:instrText xml:space="preserve"> PAGEREF _Toc22458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rPr>
              <w:rFonts w:ascii="Times New Roman" w:hAnsi="Times New Roman" w:eastAsia="宋体" w:cstheme="minorBidi"/>
              <w:szCs w:val="22"/>
              <w:lang w:val="en-US" w:eastAsia="en-US" w:bidi="ar-SA"/>
            </w:rPr>
            <w:fldChar w:fldCharType="end"/>
          </w:r>
        </w:p>
        <w:p w14:paraId="75EC5659">
          <w:pPr>
            <w:pStyle w:val="26"/>
            <w:tabs>
              <w:tab w:val="right" w:leader="dot" w:pos="8640"/>
            </w:tabs>
          </w:pPr>
          <w:r>
            <w:rPr>
              <w:rFonts w:ascii="Times New Roman" w:hAnsi="Times New Roman" w:eastAsia="宋体" w:cstheme="minorBidi"/>
              <w:szCs w:val="22"/>
              <w:lang w:val="en-US" w:eastAsia="en-US" w:bidi="ar-SA"/>
            </w:rPr>
            <w:fldChar w:fldCharType="begin"/>
          </w:r>
          <w:r>
            <w:rPr>
              <w:rFonts w:ascii="Times New Roman" w:hAnsi="Times New Roman" w:eastAsia="宋体" w:cstheme="minorBidi"/>
              <w:szCs w:val="22"/>
              <w:lang w:val="en-US" w:eastAsia="en-US" w:bidi="ar-SA"/>
            </w:rPr>
            <w:instrText xml:space="preserve"> HYPERLINK \l _Toc2339 </w:instrText>
          </w:r>
          <w:r>
            <w:rPr>
              <w:rFonts w:ascii="Times New Roman" w:hAnsi="Times New Roman" w:eastAsia="宋体" w:cstheme="minorBidi"/>
              <w:szCs w:val="22"/>
              <w:lang w:val="en-US" w:eastAsia="en-US" w:bidi="ar-SA"/>
            </w:rPr>
            <w:fldChar w:fldCharType="separate"/>
          </w:r>
          <w:r>
            <w:rPr>
              <w:rFonts w:ascii="微软雅黑" w:hAnsi="微软雅黑" w:eastAsia="微软雅黑"/>
            </w:rPr>
            <w:t>附录</w:t>
          </w:r>
          <w:r>
            <w:tab/>
          </w:r>
          <w:r>
            <w:fldChar w:fldCharType="begin"/>
          </w:r>
          <w:r>
            <w:instrText xml:space="preserve"> PAGEREF _Toc2339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rPr>
              <w:rFonts w:ascii="Times New Roman" w:hAnsi="Times New Roman" w:eastAsia="宋体" w:cstheme="minorBidi"/>
              <w:szCs w:val="22"/>
              <w:lang w:val="en-US" w:eastAsia="en-US" w:bidi="ar-SA"/>
            </w:rPr>
            <w:fldChar w:fldCharType="end"/>
          </w:r>
        </w:p>
        <w:p w14:paraId="1A41F2BE">
          <w:pPr>
            <w:pStyle w:val="29"/>
            <w:tabs>
              <w:tab w:val="right" w:leader="dot" w:pos="8640"/>
            </w:tabs>
          </w:pPr>
          <w:r>
            <w:rPr>
              <w:rFonts w:ascii="Times New Roman" w:hAnsi="Times New Roman" w:eastAsia="宋体" w:cstheme="minorBidi"/>
              <w:szCs w:val="22"/>
              <w:lang w:val="en-US" w:eastAsia="en-US" w:bidi="ar-SA"/>
            </w:rPr>
            <w:fldChar w:fldCharType="begin"/>
          </w:r>
          <w:r>
            <w:rPr>
              <w:rFonts w:ascii="Times New Roman" w:hAnsi="Times New Roman" w:eastAsia="宋体" w:cstheme="minorBidi"/>
              <w:szCs w:val="22"/>
              <w:lang w:val="en-US" w:eastAsia="en-US" w:bidi="ar-SA"/>
            </w:rPr>
            <w:instrText xml:space="preserve"> HYPERLINK \l _Toc30808 </w:instrText>
          </w:r>
          <w:r>
            <w:rPr>
              <w:rFonts w:ascii="Times New Roman" w:hAnsi="Times New Roman" w:eastAsia="宋体" w:cstheme="minorBidi"/>
              <w:szCs w:val="22"/>
              <w:lang w:val="en-US" w:eastAsia="en-US" w:bidi="ar-SA"/>
            </w:rPr>
            <w:fldChar w:fldCharType="separate"/>
          </w:r>
          <w:r>
            <w:rPr>
              <w:rFonts w:ascii="微软雅黑" w:hAnsi="微软雅黑" w:eastAsia="微软雅黑"/>
            </w:rPr>
            <w:t>附录A 专利证书及软件著作权列表</w:t>
          </w:r>
          <w:r>
            <w:tab/>
          </w:r>
          <w:r>
            <w:fldChar w:fldCharType="begin"/>
          </w:r>
          <w:r>
            <w:instrText xml:space="preserve"> PAGEREF _Toc30808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rPr>
              <w:rFonts w:ascii="Times New Roman" w:hAnsi="Times New Roman" w:eastAsia="宋体" w:cstheme="minorBidi"/>
              <w:szCs w:val="22"/>
              <w:lang w:val="en-US" w:eastAsia="en-US" w:bidi="ar-SA"/>
            </w:rPr>
            <w:fldChar w:fldCharType="end"/>
          </w:r>
        </w:p>
        <w:p w14:paraId="26B8283C">
          <w:pPr>
            <w:pStyle w:val="29"/>
            <w:tabs>
              <w:tab w:val="right" w:leader="dot" w:pos="8640"/>
            </w:tabs>
          </w:pPr>
          <w:r>
            <w:rPr>
              <w:rFonts w:ascii="Times New Roman" w:hAnsi="Times New Roman" w:eastAsia="宋体" w:cstheme="minorBidi"/>
              <w:szCs w:val="22"/>
              <w:lang w:val="en-US" w:eastAsia="en-US" w:bidi="ar-SA"/>
            </w:rPr>
            <w:fldChar w:fldCharType="begin"/>
          </w:r>
          <w:r>
            <w:rPr>
              <w:rFonts w:ascii="Times New Roman" w:hAnsi="Times New Roman" w:eastAsia="宋体" w:cstheme="minorBidi"/>
              <w:szCs w:val="22"/>
              <w:lang w:val="en-US" w:eastAsia="en-US" w:bidi="ar-SA"/>
            </w:rPr>
            <w:instrText xml:space="preserve"> HYPERLINK \l _Toc13279 </w:instrText>
          </w:r>
          <w:r>
            <w:rPr>
              <w:rFonts w:ascii="Times New Roman" w:hAnsi="Times New Roman" w:eastAsia="宋体" w:cstheme="minorBidi"/>
              <w:szCs w:val="22"/>
              <w:lang w:val="en-US" w:eastAsia="en-US" w:bidi="ar-SA"/>
            </w:rPr>
            <w:fldChar w:fldCharType="separate"/>
          </w:r>
          <w:r>
            <w:rPr>
              <w:rFonts w:ascii="微软雅黑" w:hAnsi="微软雅黑" w:eastAsia="微软雅黑"/>
            </w:rPr>
            <w:t>附录B 团队荣誉与资质证书</w:t>
          </w:r>
          <w:r>
            <w:tab/>
          </w:r>
          <w:r>
            <w:fldChar w:fldCharType="begin"/>
          </w:r>
          <w:r>
            <w:instrText xml:space="preserve"> PAGEREF _Toc13279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rPr>
              <w:rFonts w:ascii="Times New Roman" w:hAnsi="Times New Roman" w:eastAsia="宋体" w:cstheme="minorBidi"/>
              <w:szCs w:val="22"/>
              <w:lang w:val="en-US" w:eastAsia="en-US" w:bidi="ar-SA"/>
            </w:rPr>
            <w:fldChar w:fldCharType="end"/>
          </w:r>
        </w:p>
        <w:p w14:paraId="0EAC6BD2">
          <w:pPr>
            <w:pStyle w:val="29"/>
            <w:tabs>
              <w:tab w:val="right" w:leader="dot" w:pos="8640"/>
            </w:tabs>
          </w:pPr>
          <w:r>
            <w:rPr>
              <w:rFonts w:ascii="Times New Roman" w:hAnsi="Times New Roman" w:eastAsia="宋体" w:cstheme="minorBidi"/>
              <w:szCs w:val="22"/>
              <w:lang w:val="en-US" w:eastAsia="en-US" w:bidi="ar-SA"/>
            </w:rPr>
            <w:fldChar w:fldCharType="begin"/>
          </w:r>
          <w:r>
            <w:rPr>
              <w:rFonts w:ascii="Times New Roman" w:hAnsi="Times New Roman" w:eastAsia="宋体" w:cstheme="minorBidi"/>
              <w:szCs w:val="22"/>
              <w:lang w:val="en-US" w:eastAsia="en-US" w:bidi="ar-SA"/>
            </w:rPr>
            <w:instrText xml:space="preserve"> HYPERLINK \l _Toc27528 </w:instrText>
          </w:r>
          <w:r>
            <w:rPr>
              <w:rFonts w:ascii="Times New Roman" w:hAnsi="Times New Roman" w:eastAsia="宋体" w:cstheme="minorBidi"/>
              <w:szCs w:val="22"/>
              <w:lang w:val="en-US" w:eastAsia="en-US" w:bidi="ar-SA"/>
            </w:rPr>
            <w:fldChar w:fldCharType="separate"/>
          </w:r>
          <w:r>
            <w:rPr>
              <w:rFonts w:ascii="微软雅黑" w:hAnsi="微软雅黑" w:eastAsia="微软雅黑"/>
            </w:rPr>
            <w:t>附录C 校企合作与后勤合作意向书</w:t>
          </w:r>
          <w:r>
            <w:tab/>
          </w:r>
          <w:r>
            <w:fldChar w:fldCharType="begin"/>
          </w:r>
          <w:r>
            <w:instrText xml:space="preserve"> PAGEREF _Toc27528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rPr>
              <w:rFonts w:ascii="Times New Roman" w:hAnsi="Times New Roman" w:eastAsia="宋体" w:cstheme="minorBidi"/>
              <w:szCs w:val="22"/>
              <w:lang w:val="en-US" w:eastAsia="en-US" w:bidi="ar-SA"/>
            </w:rPr>
            <w:fldChar w:fldCharType="end"/>
          </w:r>
        </w:p>
        <w:p w14:paraId="7FD2FD51">
          <w:pPr>
            <w:pStyle w:val="29"/>
            <w:tabs>
              <w:tab w:val="right" w:leader="dot" w:pos="8640"/>
            </w:tabs>
          </w:pPr>
          <w:r>
            <w:rPr>
              <w:rFonts w:ascii="Times New Roman" w:hAnsi="Times New Roman" w:eastAsia="宋体" w:cstheme="minorBidi"/>
              <w:szCs w:val="22"/>
              <w:lang w:val="en-US" w:eastAsia="en-US" w:bidi="ar-SA"/>
            </w:rPr>
            <w:fldChar w:fldCharType="begin"/>
          </w:r>
          <w:r>
            <w:rPr>
              <w:rFonts w:ascii="Times New Roman" w:hAnsi="Times New Roman" w:eastAsia="宋体" w:cstheme="minorBidi"/>
              <w:szCs w:val="22"/>
              <w:lang w:val="en-US" w:eastAsia="en-US" w:bidi="ar-SA"/>
            </w:rPr>
            <w:instrText xml:space="preserve"> HYPERLINK \l _Toc13503 </w:instrText>
          </w:r>
          <w:r>
            <w:rPr>
              <w:rFonts w:ascii="Times New Roman" w:hAnsi="Times New Roman" w:eastAsia="宋体" w:cstheme="minorBidi"/>
              <w:szCs w:val="22"/>
              <w:lang w:val="en-US" w:eastAsia="en-US" w:bidi="ar-SA"/>
            </w:rPr>
            <w:fldChar w:fldCharType="separate"/>
          </w:r>
          <w:r>
            <w:rPr>
              <w:rFonts w:ascii="微软雅黑" w:hAnsi="微软雅黑" w:eastAsia="微软雅黑"/>
            </w:rPr>
            <w:t>附录D 校园市场调研报告与问卷分析</w:t>
          </w:r>
          <w:r>
            <w:tab/>
          </w:r>
          <w:r>
            <w:fldChar w:fldCharType="begin"/>
          </w:r>
          <w:r>
            <w:instrText xml:space="preserve"> PAGEREF _Toc13503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rPr>
              <w:rFonts w:ascii="Times New Roman" w:hAnsi="Times New Roman" w:eastAsia="宋体" w:cstheme="minorBidi"/>
              <w:szCs w:val="22"/>
              <w:lang w:val="en-US" w:eastAsia="en-US" w:bidi="ar-SA"/>
            </w:rPr>
            <w:fldChar w:fldCharType="end"/>
          </w:r>
        </w:p>
        <w:p w14:paraId="181D48C5">
          <w:pPr>
            <w:pStyle w:val="26"/>
            <w:tabs>
              <w:tab w:val="right" w:leader="dot" w:pos="8640"/>
            </w:tabs>
          </w:pPr>
          <w:r>
            <w:rPr>
              <w:rFonts w:ascii="Times New Roman" w:hAnsi="Times New Roman" w:eastAsia="宋体" w:cstheme="minorBidi"/>
              <w:szCs w:val="22"/>
              <w:lang w:val="en-US" w:eastAsia="en-US" w:bidi="ar-SA"/>
            </w:rPr>
            <w:fldChar w:fldCharType="begin"/>
          </w:r>
          <w:r>
            <w:rPr>
              <w:rFonts w:ascii="Times New Roman" w:hAnsi="Times New Roman" w:eastAsia="宋体" w:cstheme="minorBidi"/>
              <w:szCs w:val="22"/>
              <w:lang w:val="en-US" w:eastAsia="en-US" w:bidi="ar-SA"/>
            </w:rPr>
            <w:instrText xml:space="preserve"> HYPERLINK \l _Toc15282 </w:instrText>
          </w:r>
          <w:r>
            <w:rPr>
              <w:rFonts w:ascii="Times New Roman" w:hAnsi="Times New Roman" w:eastAsia="宋体" w:cstheme="minorBidi"/>
              <w:szCs w:val="22"/>
              <w:lang w:val="en-US" w:eastAsia="en-US" w:bidi="ar-SA"/>
            </w:rPr>
            <w:fldChar w:fldCharType="separate"/>
          </w:r>
          <w:r>
            <w:rPr>
              <w:rFonts w:ascii="微软雅黑" w:hAnsi="微软雅黑" w:eastAsia="微软雅黑"/>
            </w:rPr>
            <w:t>项目一句话总结</w:t>
          </w:r>
          <w:r>
            <w:tab/>
          </w:r>
          <w:r>
            <w:fldChar w:fldCharType="begin"/>
          </w:r>
          <w:r>
            <w:instrText xml:space="preserve"> PAGEREF _Toc15282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rPr>
              <w:rFonts w:ascii="Times New Roman" w:hAnsi="Times New Roman" w:eastAsia="宋体" w:cstheme="minorBidi"/>
              <w:szCs w:val="22"/>
              <w:lang w:val="en-US" w:eastAsia="en-US" w:bidi="ar-SA"/>
            </w:rPr>
            <w:fldChar w:fldCharType="end"/>
          </w:r>
        </w:p>
        <w:p w14:paraId="5EDB01B7">
          <w:pPr>
            <w:rPr>
              <w:rFonts w:ascii="Times New Roman" w:hAnsi="Times New Roman" w:eastAsia="宋体" w:cstheme="minorBidi"/>
              <w:sz w:val="22"/>
              <w:szCs w:val="22"/>
              <w:lang w:val="en-US" w:eastAsia="en-US" w:bidi="ar-SA"/>
            </w:rPr>
          </w:pPr>
          <w:r>
            <w:rPr>
              <w:rFonts w:ascii="Times New Roman" w:hAnsi="Times New Roman" w:eastAsia="宋体" w:cstheme="minorBidi"/>
              <w:szCs w:val="22"/>
              <w:lang w:val="en-US" w:eastAsia="en-US" w:bidi="ar-SA"/>
            </w:rPr>
            <w:fldChar w:fldCharType="end"/>
          </w:r>
          <w:bookmarkStart w:id="61" w:name="_GoBack"/>
          <w:bookmarkEnd w:id="61"/>
        </w:p>
      </w:sdtContent>
    </w:sdt>
    <w:p w14:paraId="531B2828">
      <w:pPr>
        <w:pStyle w:val="3"/>
      </w:pPr>
      <w:bookmarkStart w:id="0" w:name="_Toc15065"/>
      <w:r>
        <w:rPr>
          <w:rFonts w:ascii="微软雅黑" w:hAnsi="微软雅黑" w:eastAsia="微软雅黑"/>
          <w:b/>
          <w:color w:val="1F3B63"/>
          <w:sz w:val="32"/>
        </w:rPr>
        <w:t>编写说明</w:t>
      </w:r>
      <w:bookmarkEnd w:id="0"/>
    </w:p>
    <w:p w14:paraId="7220A24B">
      <w:pPr>
        <w:spacing w:after="120"/>
        <w:rPr>
          <w:rFonts w:ascii="宋体" w:hAnsi="宋体" w:eastAsia="宋体"/>
          <w:b w:val="0"/>
          <w:sz w:val="22"/>
        </w:rPr>
      </w:pPr>
      <w:r>
        <w:rPr>
          <w:rFonts w:ascii="宋体" w:hAnsi="宋体" w:eastAsia="宋体"/>
          <w:b w:val="0"/>
          <w:sz w:val="22"/>
        </w:rPr>
        <w:t>本版本依据评审意见完成六大深度优化：</w:t>
      </w:r>
    </w:p>
    <w:p w14:paraId="091FF36D">
      <w:pPr>
        <w:spacing w:after="120"/>
        <w:rPr>
          <w:rFonts w:ascii="宋体" w:hAnsi="宋体" w:eastAsia="宋体"/>
          <w:b w:val="0"/>
          <w:sz w:val="22"/>
        </w:rPr>
      </w:pPr>
      <w:r>
        <w:rPr>
          <w:rFonts w:ascii="宋体" w:hAnsi="宋体" w:eastAsia="宋体"/>
          <w:b/>
          <w:sz w:val="22"/>
        </w:rPr>
        <w:t>（1）补齐数据与证据链</w:t>
      </w:r>
      <w:r>
        <w:rPr>
          <w:rFonts w:ascii="宋体" w:hAnsi="宋体" w:eastAsia="宋体"/>
          <w:b w:val="0"/>
          <w:sz w:val="22"/>
        </w:rPr>
        <w:t>，新增问卷调研数据、试点运营数据与三级市场测算；</w:t>
      </w:r>
    </w:p>
    <w:p w14:paraId="080D3B0A">
      <w:pPr>
        <w:spacing w:after="120"/>
        <w:rPr>
          <w:rFonts w:ascii="宋体" w:hAnsi="宋体" w:eastAsia="宋体"/>
          <w:b w:val="0"/>
          <w:sz w:val="22"/>
        </w:rPr>
      </w:pPr>
      <w:r>
        <w:rPr>
          <w:rFonts w:ascii="宋体" w:hAnsi="宋体" w:eastAsia="宋体"/>
          <w:b w:val="0"/>
          <w:sz w:val="22"/>
        </w:rPr>
        <w:t>（</w:t>
      </w:r>
      <w:r>
        <w:rPr>
          <w:rFonts w:ascii="宋体" w:hAnsi="宋体" w:eastAsia="宋体"/>
          <w:b/>
          <w:sz w:val="22"/>
        </w:rPr>
        <w:t>2</w:t>
      </w:r>
      <w:r>
        <w:rPr>
          <w:rFonts w:ascii="宋体" w:hAnsi="宋体" w:eastAsia="宋体"/>
          <w:b w:val="0"/>
          <w:sz w:val="22"/>
        </w:rPr>
        <w:t>）技术从"未来规划"升级为"MVP 原型展示"，明确算法选型、数据集规模与测试指标；</w:t>
      </w:r>
    </w:p>
    <w:p w14:paraId="5E41CA54">
      <w:pPr>
        <w:spacing w:after="120"/>
        <w:rPr>
          <w:rFonts w:ascii="宋体" w:hAnsi="宋体" w:eastAsia="宋体"/>
          <w:b w:val="0"/>
          <w:sz w:val="22"/>
        </w:rPr>
      </w:pPr>
      <w:r>
        <w:rPr>
          <w:rFonts w:ascii="宋体" w:hAnsi="宋体" w:eastAsia="宋体"/>
          <w:b w:val="0"/>
          <w:sz w:val="22"/>
        </w:rPr>
        <w:t>（</w:t>
      </w:r>
      <w:r>
        <w:rPr>
          <w:rFonts w:ascii="宋体" w:hAnsi="宋体" w:eastAsia="宋体"/>
          <w:b/>
          <w:sz w:val="22"/>
        </w:rPr>
        <w:t>3</w:t>
      </w:r>
      <w:r>
        <w:rPr>
          <w:rFonts w:ascii="宋体" w:hAnsi="宋体" w:eastAsia="宋体"/>
          <w:b w:val="0"/>
          <w:sz w:val="22"/>
        </w:rPr>
        <w:t>）新增单体经济模型（UE）与单柜回本周期测算；</w:t>
      </w:r>
    </w:p>
    <w:p w14:paraId="4B63727A">
      <w:pPr>
        <w:spacing w:after="120"/>
        <w:rPr>
          <w:rFonts w:ascii="宋体" w:hAnsi="宋体" w:eastAsia="宋体"/>
          <w:b w:val="0"/>
          <w:sz w:val="22"/>
        </w:rPr>
      </w:pPr>
      <w:r>
        <w:rPr>
          <w:rFonts w:ascii="宋体" w:hAnsi="宋体" w:eastAsia="宋体"/>
          <w:b w:val="0"/>
          <w:sz w:val="22"/>
        </w:rPr>
        <w:t>（</w:t>
      </w:r>
      <w:r>
        <w:rPr>
          <w:rFonts w:ascii="宋体" w:hAnsi="宋体" w:eastAsia="宋体"/>
          <w:b/>
          <w:sz w:val="22"/>
        </w:rPr>
        <w:t>4</w:t>
      </w:r>
      <w:r>
        <w:rPr>
          <w:rFonts w:ascii="宋体" w:hAnsi="宋体" w:eastAsia="宋体"/>
          <w:b w:val="0"/>
          <w:sz w:val="22"/>
        </w:rPr>
        <w:t>）强化校园进驻路径与合作凭证要求；</w:t>
      </w:r>
    </w:p>
    <w:p w14:paraId="3F914991">
      <w:pPr>
        <w:spacing w:after="120"/>
        <w:rPr>
          <w:rFonts w:ascii="宋体" w:hAnsi="宋体" w:eastAsia="宋体"/>
          <w:b w:val="0"/>
          <w:sz w:val="22"/>
        </w:rPr>
      </w:pPr>
      <w:r>
        <w:rPr>
          <w:rFonts w:ascii="宋体" w:hAnsi="宋体" w:eastAsia="宋体"/>
          <w:b w:val="0"/>
          <w:sz w:val="22"/>
        </w:rPr>
        <w:t>（</w:t>
      </w:r>
      <w:r>
        <w:rPr>
          <w:rFonts w:ascii="宋体" w:hAnsi="宋体" w:eastAsia="宋体"/>
          <w:b/>
          <w:sz w:val="22"/>
        </w:rPr>
        <w:t>5</w:t>
      </w:r>
      <w:r>
        <w:rPr>
          <w:rFonts w:ascii="宋体" w:hAnsi="宋体" w:eastAsia="宋体"/>
          <w:b w:val="0"/>
          <w:sz w:val="22"/>
        </w:rPr>
        <w:t>）完善版权合规与技术风控机制；</w:t>
      </w:r>
    </w:p>
    <w:p w14:paraId="2D2B9881">
      <w:pPr>
        <w:spacing w:after="120"/>
      </w:pPr>
      <w:r>
        <w:rPr>
          <w:rFonts w:ascii="宋体" w:hAnsi="宋体" w:eastAsia="宋体"/>
          <w:b w:val="0"/>
          <w:sz w:val="22"/>
        </w:rPr>
        <w:t>（</w:t>
      </w:r>
      <w:r>
        <w:rPr>
          <w:rFonts w:ascii="宋体" w:hAnsi="宋体" w:eastAsia="宋体"/>
          <w:b/>
          <w:sz w:val="22"/>
        </w:rPr>
        <w:t>6</w:t>
      </w:r>
      <w:r>
        <w:rPr>
          <w:rFonts w:ascii="宋体" w:hAnsi="宋体" w:eastAsia="宋体"/>
          <w:b w:val="0"/>
          <w:sz w:val="22"/>
        </w:rPr>
        <w:t>）规范碳减排计算方法，引入生命周期评价（LCA）方法学。</w:t>
      </w:r>
    </w:p>
    <w:p w14:paraId="1406BF69">
      <w:pPr>
        <w:spacing w:after="120"/>
      </w:pPr>
      <w:r>
        <w:rPr>
          <w:rFonts w:ascii="宋体" w:hAnsi="宋体" w:eastAsia="宋体"/>
          <w:b/>
          <w:sz w:val="22"/>
        </w:rPr>
        <w:t>重要提示：</w:t>
      </w:r>
      <w:r>
        <w:rPr>
          <w:rFonts w:ascii="宋体" w:hAnsi="宋体" w:eastAsia="宋体"/>
          <w:b w:val="0"/>
          <w:sz w:val="22"/>
        </w:rPr>
        <w:t>文中标注"（示例数据）"的数字为基于行业经验的测算演示，用于展示测算方法与呈现格式；正式参赛前，必须以团队真实问卷数据、试点运营数据、合作意向书及权威公开统计替换，确保全部数据真实可核验。</w:t>
      </w:r>
    </w:p>
    <w:p w14:paraId="1E952AD5">
      <w:r>
        <w:br w:type="page"/>
      </w:r>
    </w:p>
    <w:p w14:paraId="7D98FE5A">
      <w:pPr>
        <w:pStyle w:val="3"/>
      </w:pPr>
      <w:bookmarkStart w:id="1" w:name="_Toc6912"/>
      <w:r>
        <w:rPr>
          <w:rFonts w:ascii="微软雅黑" w:hAnsi="微软雅黑" w:eastAsia="微软雅黑"/>
          <w:b/>
          <w:color w:val="1F3B63"/>
          <w:sz w:val="32"/>
        </w:rPr>
        <w:t>第一章 执行摘要</w:t>
      </w:r>
      <w:bookmarkEnd w:id="1"/>
    </w:p>
    <w:p w14:paraId="5E3284FF">
      <w:pPr>
        <w:pStyle w:val="4"/>
      </w:pPr>
      <w:bookmarkStart w:id="2" w:name="_Toc17591"/>
      <w:r>
        <w:rPr>
          <w:rFonts w:ascii="微软雅黑" w:hAnsi="微软雅黑" w:eastAsia="微软雅黑"/>
          <w:b/>
          <w:color w:val="000000"/>
          <w:sz w:val="28"/>
        </w:rPr>
        <w:t>1.1 项目概述</w:t>
      </w:r>
      <w:bookmarkEnd w:id="2"/>
    </w:p>
    <w:p w14:paraId="37612C14">
      <w:pPr>
        <w:spacing w:after="120"/>
      </w:pPr>
      <w:r>
        <w:rPr>
          <w:rFonts w:ascii="宋体" w:hAnsi="宋体" w:eastAsia="宋体"/>
          <w:b w:val="0"/>
          <w:sz w:val="22"/>
        </w:rPr>
        <w:t>"书环智循环"是一项面向高校校园的二手图书智能循环与生态服务项目。项目以学生闲置教材、专业书籍、考试辅导书和课外读物为主要资源，通过"线上平台+线下回收终端+校园仓储与配送"的方式，打通旧书回收、品相评估、分类整理、二手交易、以书换书和公益捐赠等环节，形成校园图书循环利用闭环。</w:t>
      </w:r>
    </w:p>
    <w:p w14:paraId="2407C4C5">
      <w:pPr>
        <w:spacing w:after="120"/>
      </w:pPr>
      <w:r>
        <w:rPr>
          <w:rFonts w:ascii="宋体" w:hAnsi="宋体" w:eastAsia="宋体"/>
          <w:b w:val="0"/>
          <w:sz w:val="22"/>
        </w:rPr>
        <w:t>项目重点解决毕业季旧书处理麻烦、传统废纸回收价值低、二手教材信息分散、学生购买新教材成本较高等问题。平台以 ISBN 识别、规则化品相评价、专业与课程标签匹配为基础，引入基于深度学习的视觉品相识别与数据驱动的动态定价能力；线下根据试点规模配置回收点与智能回收柜，降低用户交付图书的时间成本。</w:t>
      </w:r>
    </w:p>
    <w:p w14:paraId="2F24C908">
      <w:pPr>
        <w:pStyle w:val="4"/>
      </w:pPr>
      <w:bookmarkStart w:id="3" w:name="_Toc11773"/>
      <w:r>
        <w:rPr>
          <w:rFonts w:ascii="微软雅黑" w:hAnsi="微软雅黑" w:eastAsia="微软雅黑"/>
          <w:b/>
          <w:color w:val="000000"/>
          <w:sz w:val="28"/>
        </w:rPr>
        <w:t>1.2 核心竞争力</w:t>
      </w:r>
      <w:bookmarkEnd w:id="3"/>
    </w:p>
    <w:p w14:paraId="509AEDBF">
      <w:pPr>
        <w:spacing w:after="60"/>
      </w:pPr>
      <w:r>
        <w:rPr>
          <w:rFonts w:ascii="宋体" w:hAnsi="宋体" w:eastAsia="宋体"/>
          <w:b/>
          <w:sz w:val="22"/>
        </w:rPr>
        <w:t>校园垂直场景</w:t>
      </w:r>
      <w:r>
        <w:rPr>
          <w:rFonts w:ascii="宋体" w:hAnsi="宋体" w:eastAsia="宋体"/>
          <w:b w:val="0"/>
          <w:sz w:val="22"/>
        </w:rPr>
        <w:t>：围绕学校、学院、专业、年级和课程建立图书供需匹配关系，降低综合二手平台的信息筛选成本。</w:t>
      </w:r>
    </w:p>
    <w:p w14:paraId="3D3295CB">
      <w:pPr>
        <w:spacing w:after="60"/>
      </w:pPr>
      <w:r>
        <w:rPr>
          <w:rFonts w:ascii="宋体" w:hAnsi="宋体" w:eastAsia="宋体"/>
          <w:b/>
          <w:sz w:val="22"/>
        </w:rPr>
        <w:t>线上线下一体化</w:t>
      </w:r>
      <w:r>
        <w:rPr>
          <w:rFonts w:ascii="宋体" w:hAnsi="宋体" w:eastAsia="宋体"/>
          <w:b w:val="0"/>
          <w:sz w:val="22"/>
        </w:rPr>
        <w:t>：线上完成发布、估价、搜索、预约和交易，线下完成回收、质检、仓储与交付。</w:t>
      </w:r>
    </w:p>
    <w:p w14:paraId="53DD0187">
      <w:pPr>
        <w:spacing w:after="60"/>
      </w:pPr>
      <w:r>
        <w:rPr>
          <w:rFonts w:ascii="宋体" w:hAnsi="宋体" w:eastAsia="宋体"/>
          <w:b/>
          <w:sz w:val="22"/>
        </w:rPr>
        <w:t>标准化品相评价 + AI 视觉识别</w:t>
      </w:r>
      <w:r>
        <w:rPr>
          <w:rFonts w:ascii="宋体" w:hAnsi="宋体" w:eastAsia="宋体"/>
          <w:b w:val="0"/>
          <w:sz w:val="22"/>
        </w:rPr>
        <w:t>：建立封面、内页、书写痕迹、缺页、破损等维度的统一评价规则，并以 YOLOv8 视觉模型辅助识别，为动态定价提供数据基础。</w:t>
      </w:r>
    </w:p>
    <w:p w14:paraId="73AE2A4C">
      <w:pPr>
        <w:spacing w:after="60"/>
      </w:pPr>
      <w:r>
        <w:rPr>
          <w:rFonts w:ascii="宋体" w:hAnsi="宋体" w:eastAsia="宋体"/>
          <w:b/>
          <w:sz w:val="22"/>
        </w:rPr>
        <w:t>循环利用机制</w:t>
      </w:r>
      <w:r>
        <w:rPr>
          <w:rFonts w:ascii="宋体" w:hAnsi="宋体" w:eastAsia="宋体"/>
          <w:b w:val="0"/>
          <w:sz w:val="22"/>
        </w:rPr>
        <w:t>：出售、交换、租赁和公益捐赠多路径并行，提高图书再次流通的概率。</w:t>
      </w:r>
    </w:p>
    <w:p w14:paraId="361B3E9A">
      <w:pPr>
        <w:spacing w:after="60"/>
      </w:pPr>
      <w:r>
        <w:rPr>
          <w:rFonts w:ascii="宋体" w:hAnsi="宋体" w:eastAsia="宋体"/>
          <w:b/>
          <w:sz w:val="22"/>
        </w:rPr>
        <w:t>数据与生态壁垒</w:t>
      </w:r>
      <w:r>
        <w:rPr>
          <w:rFonts w:ascii="宋体" w:hAnsi="宋体" w:eastAsia="宋体"/>
          <w:b w:val="0"/>
          <w:sz w:val="22"/>
        </w:rPr>
        <w:t>：沉淀"学校—专业—课程—教材—学期"供需数据库，形成难以复制的校园图书需求图谱。</w:t>
      </w:r>
    </w:p>
    <w:p w14:paraId="15623A29">
      <w:pPr>
        <w:spacing w:after="60"/>
      </w:pPr>
      <w:r>
        <w:rPr>
          <w:rFonts w:ascii="宋体" w:hAnsi="宋体" w:eastAsia="宋体"/>
          <w:b/>
          <w:sz w:val="22"/>
        </w:rPr>
        <w:t>校园进驻壁垒</w:t>
      </w:r>
      <w:r>
        <w:rPr>
          <w:rFonts w:ascii="宋体" w:hAnsi="宋体" w:eastAsia="宋体"/>
          <w:b w:val="0"/>
          <w:sz w:val="22"/>
        </w:rPr>
        <w:t>：通过与校团委、后勤、青协的官方合作建立线下网络，形成先发渠道优势。</w:t>
      </w:r>
    </w:p>
    <w:p w14:paraId="6D6DEF7F">
      <w:pPr>
        <w:pStyle w:val="4"/>
      </w:pPr>
      <w:bookmarkStart w:id="4" w:name="_Toc12314"/>
      <w:r>
        <w:rPr>
          <w:rFonts w:ascii="微软雅黑" w:hAnsi="微软雅黑" w:eastAsia="微软雅黑"/>
          <w:b/>
          <w:color w:val="000000"/>
          <w:sz w:val="28"/>
        </w:rPr>
        <w:t>1.3 核心亮点指标矩阵</w:t>
      </w:r>
      <w:bookmarkEnd w:id="4"/>
    </w:p>
    <w:p w14:paraId="40462FE9">
      <w:pPr>
        <w:spacing w:after="120"/>
      </w:pPr>
      <w:r>
        <w:rPr>
          <w:rFonts w:ascii="楷体" w:hAnsi="楷体" w:eastAsia="楷体"/>
          <w:b w:val="0"/>
          <w:color w:val="804000"/>
          <w:sz w:val="19"/>
        </w:rPr>
        <w:t>注：以下为示例数据，正式提交前替换为团队真实数据。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2B6077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347C98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核心指标</w:t>
            </w:r>
          </w:p>
        </w:tc>
        <w:tc>
          <w:tcPr>
            <w:tcW w:w="2880" w:type="dxa"/>
          </w:tcPr>
          <w:p w14:paraId="3DA68C9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数值（示例）</w:t>
            </w:r>
          </w:p>
        </w:tc>
        <w:tc>
          <w:tcPr>
            <w:tcW w:w="2880" w:type="dxa"/>
          </w:tcPr>
          <w:p w14:paraId="379D455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说明</w:t>
            </w:r>
          </w:p>
        </w:tc>
      </w:tr>
      <w:tr w14:paraId="6D6E9F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98B173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试点运营数据</w:t>
            </w:r>
          </w:p>
        </w:tc>
        <w:tc>
          <w:tcPr>
            <w:tcW w:w="2880" w:type="dxa"/>
          </w:tcPr>
          <w:p w14:paraId="24E0605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2周回收1,186册，成交率62.6%，复购率34.2%</w:t>
            </w:r>
          </w:p>
        </w:tc>
        <w:tc>
          <w:tcPr>
            <w:tcW w:w="2880" w:type="dxa"/>
          </w:tcPr>
          <w:p w14:paraId="050386E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本校宿舍区+2个学院试运营</w:t>
            </w:r>
          </w:p>
        </w:tc>
      </w:tr>
      <w:tr w14:paraId="3DD01D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D3578A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用户调研</w:t>
            </w:r>
          </w:p>
        </w:tc>
        <w:tc>
          <w:tcPr>
            <w:tcW w:w="2880" w:type="dxa"/>
          </w:tcPr>
          <w:p w14:paraId="1F2F270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有效问卷821份，76.1%有二手教材购买意愿</w:t>
            </w:r>
          </w:p>
        </w:tc>
        <w:tc>
          <w:tcPr>
            <w:tcW w:w="2880" w:type="dxa"/>
          </w:tcPr>
          <w:p w14:paraId="4226FF6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覆盖本校及周边2所高校</w:t>
            </w:r>
          </w:p>
        </w:tc>
      </w:tr>
      <w:tr w14:paraId="57E872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546D6AC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单本毛利率</w:t>
            </w:r>
          </w:p>
        </w:tc>
        <w:tc>
          <w:tcPr>
            <w:tcW w:w="2880" w:type="dxa"/>
          </w:tcPr>
          <w:p w14:paraId="46020B1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58.3%</w:t>
            </w:r>
          </w:p>
        </w:tc>
        <w:tc>
          <w:tcPr>
            <w:tcW w:w="2880" w:type="dxa"/>
          </w:tcPr>
          <w:p w14:paraId="477A149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回收2.5+质检仓储1.0+配送1.5=成本5.0元，售价12元</w:t>
            </w:r>
          </w:p>
        </w:tc>
      </w:tr>
      <w:tr w14:paraId="0A32AC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096A46B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单柜回本周期</w:t>
            </w:r>
          </w:p>
        </w:tc>
        <w:tc>
          <w:tcPr>
            <w:tcW w:w="2880" w:type="dxa"/>
          </w:tcPr>
          <w:p w14:paraId="3C3193D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约6.7个月</w:t>
            </w:r>
          </w:p>
        </w:tc>
        <w:tc>
          <w:tcPr>
            <w:tcW w:w="2880" w:type="dxa"/>
          </w:tcPr>
          <w:p w14:paraId="581F9AD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单柜硬件+安装2.0万元，月净贡献约2,987元</w:t>
            </w:r>
          </w:p>
        </w:tc>
      </w:tr>
      <w:tr w14:paraId="08E56D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051561B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单校盈亏平衡</w:t>
            </w:r>
          </w:p>
        </w:tc>
        <w:tc>
          <w:tcPr>
            <w:tcW w:w="2880" w:type="dxa"/>
          </w:tcPr>
          <w:p w14:paraId="32302A5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月成交约1,858册（日均62册）</w:t>
            </w:r>
          </w:p>
        </w:tc>
        <w:tc>
          <w:tcPr>
            <w:tcW w:w="2880" w:type="dxa"/>
          </w:tcPr>
          <w:p w14:paraId="099743F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月固定成本约1.3万元</w:t>
            </w:r>
          </w:p>
        </w:tc>
      </w:tr>
      <w:tr w14:paraId="005ECB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07F81A9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知识产权</w:t>
            </w:r>
          </w:p>
        </w:tc>
        <w:tc>
          <w:tcPr>
            <w:tcW w:w="2880" w:type="dxa"/>
          </w:tcPr>
          <w:p w14:paraId="25C23BF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规划申请软著2项、实用新型专利1项</w:t>
            </w:r>
          </w:p>
        </w:tc>
        <w:tc>
          <w:tcPr>
            <w:tcW w:w="2880" w:type="dxa"/>
          </w:tcPr>
          <w:p w14:paraId="2094923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以实际受理通知书为准</w:t>
            </w:r>
          </w:p>
        </w:tc>
      </w:tr>
      <w:tr w14:paraId="549F84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0ED765E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首轮融资</w:t>
            </w:r>
          </w:p>
        </w:tc>
        <w:tc>
          <w:tcPr>
            <w:tcW w:w="2880" w:type="dxa"/>
          </w:tcPr>
          <w:p w14:paraId="78DA4DB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30万元</w:t>
            </w:r>
          </w:p>
        </w:tc>
        <w:tc>
          <w:tcPr>
            <w:tcW w:w="2880" w:type="dxa"/>
          </w:tcPr>
          <w:p w14:paraId="3C8ABB0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支撑18个月以上运营（目标情景）</w:t>
            </w:r>
          </w:p>
        </w:tc>
      </w:tr>
    </w:tbl>
    <w:p w14:paraId="6C605C12">
      <w:pPr>
        <w:spacing w:after="40"/>
      </w:pPr>
    </w:p>
    <w:p w14:paraId="6FF1B28F">
      <w:pPr>
        <w:pStyle w:val="4"/>
      </w:pPr>
      <w:bookmarkStart w:id="5" w:name="_Toc23652"/>
      <w:r>
        <w:rPr>
          <w:rFonts w:ascii="微软雅黑" w:hAnsi="微软雅黑" w:eastAsia="微软雅黑"/>
          <w:b/>
          <w:color w:val="000000"/>
          <w:sz w:val="28"/>
        </w:rPr>
        <w:t>1.4 市场机会</w:t>
      </w:r>
      <w:bookmarkEnd w:id="5"/>
    </w:p>
    <w:p w14:paraId="23B1533E">
      <w:pPr>
        <w:spacing w:after="120"/>
      </w:pPr>
      <w:r>
        <w:rPr>
          <w:rFonts w:ascii="宋体" w:hAnsi="宋体" w:eastAsia="宋体"/>
          <w:b w:val="0"/>
          <w:sz w:val="22"/>
        </w:rPr>
        <w:t>高校教材具有明显的周期性和专业性：同一课程在不同年级持续产生教材需求，而毕业生、转专业学生和课程结束后的学生又会形成稳定的闲置图书供给。团队调研显示（示例数据），受访学生人均闲置图书6.8册，82.4%的毕业生曾因"搬运沉重/售价过低"放弃卖书——供给端被严重压抑。现有综合二手平台能够完成交易，但缺少围绕校园专业课程、线下交付和集中回收的深度优化。项目选择"校园旧书循环"作为切入口，先验证单校商业闭环，再向同城及区域高校复制。</w:t>
      </w:r>
    </w:p>
    <w:p w14:paraId="2C7F3477">
      <w:pPr>
        <w:pStyle w:val="4"/>
      </w:pPr>
      <w:bookmarkStart w:id="6" w:name="_Toc14938"/>
      <w:r>
        <w:rPr>
          <w:rFonts w:ascii="微软雅黑" w:hAnsi="微软雅黑" w:eastAsia="微软雅黑"/>
          <w:b/>
          <w:color w:val="000000"/>
          <w:sz w:val="28"/>
        </w:rPr>
        <w:t>1.5 财务与融资概要</w:t>
      </w:r>
      <w:bookmarkEnd w:id="6"/>
    </w:p>
    <w:p w14:paraId="544DA00E">
      <w:pPr>
        <w:spacing w:after="120"/>
      </w:pPr>
      <w:r>
        <w:rPr>
          <w:rFonts w:ascii="宋体" w:hAnsi="宋体" w:eastAsia="宋体"/>
          <w:b w:val="0"/>
          <w:sz w:val="22"/>
        </w:rPr>
        <w:t>项目采用"轻资产验证、硬件逐步投入"策略：第一阶段以小程序原型、人工回收点验证需求；单校回收量、复购率和库存周转达到预设阈值后再扩大硬件投入。首轮融资金额30万元，股权比例与估值结合试点数据确定（详见第八章）。目标情景下，项目在第18个月前后实现单校月度盈亏平衡，第三年净利润105万元；首轮资金在目标情景下可支撑18个月以上运营。正式参赛时以月度现金流、单位经济模型和敏感性分析（8.6节）作为支撑。</w:t>
      </w:r>
    </w:p>
    <w:p w14:paraId="02068778">
      <w:pPr>
        <w:pStyle w:val="3"/>
      </w:pPr>
      <w:bookmarkStart w:id="7" w:name="_Toc18414"/>
      <w:r>
        <w:rPr>
          <w:rFonts w:ascii="微软雅黑" w:hAnsi="微软雅黑" w:eastAsia="微软雅黑"/>
          <w:b/>
          <w:color w:val="1F3B63"/>
          <w:sz w:val="32"/>
        </w:rPr>
        <w:t>第二章 项目背景与市场分析</w:t>
      </w:r>
      <w:bookmarkEnd w:id="7"/>
    </w:p>
    <w:p w14:paraId="646F5AB8">
      <w:pPr>
        <w:pStyle w:val="4"/>
      </w:pPr>
      <w:bookmarkStart w:id="8" w:name="_Toc30974"/>
      <w:r>
        <w:rPr>
          <w:rFonts w:ascii="微软雅黑" w:hAnsi="微软雅黑" w:eastAsia="微软雅黑"/>
          <w:b/>
          <w:color w:val="000000"/>
          <w:sz w:val="28"/>
        </w:rPr>
        <w:t>2.1 行业背景：循环经济与校园绿色消费</w:t>
      </w:r>
      <w:bookmarkEnd w:id="8"/>
    </w:p>
    <w:p w14:paraId="7595FD90">
      <w:pPr>
        <w:spacing w:after="120"/>
      </w:pPr>
      <w:r>
        <w:rPr>
          <w:rFonts w:ascii="宋体" w:hAnsi="宋体" w:eastAsia="宋体"/>
          <w:b w:val="0"/>
          <w:sz w:val="22"/>
        </w:rPr>
        <w:t>高校校园具有人员集中、图书需求周期明显、专业课程体系稳定等特点，为二手教材循环提供了天然场景。每年毕业、转专业、课程更替和考试阶段都会产生阶段性图书供给与需求。当前部分学生仍采用闲置、低价出售或按废纸处理等方式处置图书，图书的剩余使用价值没有得到充分释放。"书环智循环"将图书视为可持续流转的校园资源，通过数字化平台提升供需匹配效率，并以标准化质检和线下交付提升二手图书交易的确定性。</w:t>
      </w:r>
    </w:p>
    <w:p w14:paraId="45F2650B">
      <w:pPr>
        <w:pStyle w:val="4"/>
      </w:pPr>
      <w:bookmarkStart w:id="9" w:name="_Toc10199"/>
      <w:r>
        <w:rPr>
          <w:rFonts w:ascii="微软雅黑" w:hAnsi="微软雅黑" w:eastAsia="微软雅黑"/>
          <w:b/>
          <w:color w:val="000000"/>
          <w:sz w:val="28"/>
        </w:rPr>
        <w:t>2.2 政策环境</w:t>
      </w:r>
      <w:bookmarkEnd w:id="9"/>
    </w:p>
    <w:p w14:paraId="1D7EE3E0">
      <w:pPr>
        <w:spacing w:after="120"/>
      </w:pPr>
      <w:r>
        <w:rPr>
          <w:rFonts w:ascii="宋体" w:hAnsi="宋体" w:eastAsia="宋体"/>
          <w:b w:val="0"/>
          <w:sz w:val="22"/>
        </w:rPr>
        <w:t>项目契合"双碳"目标、资源循环利用、绿色校园和"无废城市/无废校园"等政策方向。正式参赛时，建议引用以下类型文件的原文并注明发布部门、文号与条款：国家发展改革委《循环经济发展规划》相关文件、教育部《绿色学校创建行动方案》、生态环境部"无废城市"建设相关文件及本校绿色校园建设实施方案，避免口号式政策表述。</w:t>
      </w:r>
    </w:p>
    <w:p w14:paraId="085C8A2F">
      <w:pPr>
        <w:pStyle w:val="4"/>
      </w:pPr>
      <w:bookmarkStart w:id="10" w:name="_Toc9953"/>
      <w:r>
        <w:rPr>
          <w:rFonts w:ascii="微软雅黑" w:hAnsi="微软雅黑" w:eastAsia="微软雅黑"/>
          <w:b/>
          <w:color w:val="000000"/>
          <w:sz w:val="28"/>
        </w:rPr>
        <w:t>2.3 市场规模与增长趋势（TAM-SAM-SOM）</w:t>
      </w:r>
      <w:bookmarkEnd w:id="10"/>
    </w:p>
    <w:p w14:paraId="7E1E90DA">
      <w:pPr>
        <w:spacing w:after="120"/>
      </w:pPr>
      <w:r>
        <w:rPr>
          <w:rFonts w:ascii="宋体" w:hAnsi="宋体" w:eastAsia="宋体"/>
          <w:b w:val="0"/>
          <w:sz w:val="22"/>
        </w:rPr>
        <w:t>本计划书采用"全国市场—目标区域市场—可获得市场"三级测算方法，公式为：目标高校学生数 × 年均可流转图书数量 × 平均二手交易金额 × 可服务渗透率 = 可服务市场规模（SAM）。</w:t>
      </w:r>
    </w:p>
    <w:p w14:paraId="31A0B5A7">
      <w:pPr>
        <w:spacing w:after="120"/>
      </w:pPr>
      <w:r>
        <w:rPr>
          <w:rFonts w:ascii="楷体" w:hAnsi="楷体" w:eastAsia="楷体"/>
          <w:b w:val="0"/>
          <w:color w:val="804000"/>
          <w:sz w:val="19"/>
        </w:rPr>
        <w:t>注：以下测算中全国及省份在校生数为示例口径，正式版本须替换为教育部最新教育统计公报及省级统计数据，并注明来源。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56E242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</w:tcPr>
          <w:p w14:paraId="0091715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层级</w:t>
            </w:r>
          </w:p>
        </w:tc>
        <w:tc>
          <w:tcPr>
            <w:tcW w:w="2880" w:type="dxa"/>
          </w:tcPr>
          <w:p w14:paraId="62906CD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测算公式</w:t>
            </w:r>
          </w:p>
        </w:tc>
        <w:tc>
          <w:tcPr>
            <w:tcW w:w="2880" w:type="dxa"/>
          </w:tcPr>
          <w:p w14:paraId="3C3A762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测算结果（示例）</w:t>
            </w:r>
          </w:p>
        </w:tc>
      </w:tr>
      <w:tr w14:paraId="2D1320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572F041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TAM 全国市场</w:t>
            </w:r>
          </w:p>
        </w:tc>
        <w:tc>
          <w:tcPr>
            <w:tcW w:w="2880" w:type="dxa"/>
          </w:tcPr>
          <w:p w14:paraId="52A0CC7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全国本专科在校生约3,700万 × 年流转2册 × 均价12元</w:t>
            </w:r>
          </w:p>
        </w:tc>
        <w:tc>
          <w:tcPr>
            <w:tcW w:w="2880" w:type="dxa"/>
          </w:tcPr>
          <w:p w14:paraId="5523CA4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约8.9亿元/年</w:t>
            </w:r>
          </w:p>
        </w:tc>
      </w:tr>
      <w:tr w14:paraId="5472EE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7E854E5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SAM 目标区域市场</w:t>
            </w:r>
          </w:p>
        </w:tc>
        <w:tc>
          <w:tcPr>
            <w:tcW w:w="2880" w:type="dxa"/>
          </w:tcPr>
          <w:p w14:paraId="1927535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目标省份高校在校生约68万 × 年流转2.5册 × 均价12元 × 渗透率15%</w:t>
            </w:r>
          </w:p>
        </w:tc>
        <w:tc>
          <w:tcPr>
            <w:tcW w:w="2880" w:type="dxa"/>
          </w:tcPr>
          <w:p w14:paraId="28F1E62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约3,060万元/年</w:t>
            </w:r>
          </w:p>
        </w:tc>
      </w:tr>
      <w:tr w14:paraId="3C0B4F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58C8F6B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SOM 可获得市场</w:t>
            </w:r>
          </w:p>
        </w:tc>
        <w:tc>
          <w:tcPr>
            <w:tcW w:w="2880" w:type="dxa"/>
          </w:tcPr>
          <w:p w14:paraId="3EFC362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3年覆盖35所高校，单校年交易额约6.9万元</w:t>
            </w:r>
          </w:p>
        </w:tc>
        <w:tc>
          <w:tcPr>
            <w:tcW w:w="2880" w:type="dxa"/>
          </w:tcPr>
          <w:p w14:paraId="0EC1262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约240万元/年（占SAM约7.8%）</w:t>
            </w:r>
          </w:p>
        </w:tc>
      </w:tr>
    </w:tbl>
    <w:p w14:paraId="5A7DB03F">
      <w:pPr>
        <w:spacing w:after="40"/>
      </w:pPr>
    </w:p>
    <w:p w14:paraId="3A0F530E">
      <w:pPr>
        <w:spacing w:after="120"/>
      </w:pPr>
      <w:r>
        <w:rPr>
          <w:rFonts w:ascii="宋体" w:hAnsi="宋体" w:eastAsia="宋体"/>
          <w:b w:val="0"/>
          <w:sz w:val="22"/>
        </w:rPr>
        <w:t>增长逻辑：覆盖高校数量扩张（2所→10所→35所）× 单校渗透率提升（自然增长+毕业季/开学季运营驱动）× 单客价值提升（买卖+租赁+换书多业务叠加）。</w:t>
      </w:r>
    </w:p>
    <w:p w14:paraId="17E3B423">
      <w:pPr>
        <w:pStyle w:val="4"/>
      </w:pPr>
      <w:bookmarkStart w:id="11" w:name="_Toc20979"/>
      <w:r>
        <w:rPr>
          <w:rFonts w:ascii="微软雅黑" w:hAnsi="微软雅黑" w:eastAsia="微软雅黑"/>
          <w:b/>
          <w:color w:val="000000"/>
          <w:sz w:val="28"/>
        </w:rPr>
        <w:t>2.4 目标市场与用户痛点（含调研数据）</w:t>
      </w:r>
      <w:bookmarkEnd w:id="11"/>
    </w:p>
    <w:p w14:paraId="488D99C4">
      <w:pPr>
        <w:spacing w:after="120"/>
      </w:pPr>
      <w:r>
        <w:rPr>
          <w:rFonts w:ascii="宋体" w:hAnsi="宋体" w:eastAsia="宋体"/>
          <w:b/>
          <w:sz w:val="22"/>
        </w:rPr>
        <w:t>调研概况（示例数据，正式版替换为真实调研）：</w:t>
      </w:r>
      <w:r>
        <w:rPr>
          <w:rFonts w:ascii="宋体" w:hAnsi="宋体" w:eastAsia="宋体"/>
          <w:b w:val="0"/>
          <w:sz w:val="22"/>
        </w:rPr>
        <w:t>2026年X月，团队面向本校及周边2所高校发放问卷872份，回收有效问卷821份，样本覆盖四个年级、理工/文管/艺术等主要学科。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0B6A3C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D0A8FA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关键发现</w:t>
            </w:r>
          </w:p>
        </w:tc>
        <w:tc>
          <w:tcPr>
            <w:tcW w:w="2880" w:type="dxa"/>
          </w:tcPr>
          <w:p w14:paraId="669AC59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占比/数值</w:t>
            </w:r>
          </w:p>
        </w:tc>
        <w:tc>
          <w:tcPr>
            <w:tcW w:w="2880" w:type="dxa"/>
          </w:tcPr>
          <w:p w14:paraId="6A5EAF1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业务启示</w:t>
            </w:r>
          </w:p>
        </w:tc>
      </w:tr>
      <w:tr w14:paraId="2F6230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463857C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毕业生因"搬运沉重/售价过低"放弃或贱卖旧书</w:t>
            </w:r>
          </w:p>
        </w:tc>
        <w:tc>
          <w:tcPr>
            <w:tcW w:w="2880" w:type="dxa"/>
          </w:tcPr>
          <w:p w14:paraId="623402A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82.4%</w:t>
            </w:r>
          </w:p>
        </w:tc>
        <w:tc>
          <w:tcPr>
            <w:tcW w:w="2880" w:type="dxa"/>
          </w:tcPr>
          <w:p w14:paraId="102839E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集中回收+预约上门是核心入口</w:t>
            </w:r>
          </w:p>
        </w:tc>
      </w:tr>
      <w:tr w14:paraId="46EDF6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4D0B794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低年级学生有明确的二手教材购买意愿</w:t>
            </w:r>
          </w:p>
        </w:tc>
        <w:tc>
          <w:tcPr>
            <w:tcW w:w="2880" w:type="dxa"/>
          </w:tcPr>
          <w:p w14:paraId="57BB7F7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76.1%</w:t>
            </w:r>
          </w:p>
        </w:tc>
        <w:tc>
          <w:tcPr>
            <w:tcW w:w="2880" w:type="dxa"/>
          </w:tcPr>
          <w:p w14:paraId="5C7C57A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开学季教材组合包有稳定需求</w:t>
            </w:r>
          </w:p>
        </w:tc>
      </w:tr>
      <w:tr w14:paraId="02E06E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757BE62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可接受的二手教材价格区间为新书3-5折</w:t>
            </w:r>
          </w:p>
        </w:tc>
        <w:tc>
          <w:tcPr>
            <w:tcW w:w="2880" w:type="dxa"/>
          </w:tcPr>
          <w:p w14:paraId="0EDA92A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65.8%</w:t>
            </w:r>
          </w:p>
        </w:tc>
        <w:tc>
          <w:tcPr>
            <w:tcW w:w="2880" w:type="dxa"/>
          </w:tcPr>
          <w:p w14:paraId="48927F7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定价策略锚定新书折扣</w:t>
            </w:r>
          </w:p>
        </w:tc>
      </w:tr>
      <w:tr w14:paraId="5A70C0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7BD2F60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愿意使用校园垂直二手书平台</w:t>
            </w:r>
          </w:p>
        </w:tc>
        <w:tc>
          <w:tcPr>
            <w:tcW w:w="2880" w:type="dxa"/>
          </w:tcPr>
          <w:p w14:paraId="4460AD2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58.3%</w:t>
            </w:r>
          </w:p>
        </w:tc>
        <w:tc>
          <w:tcPr>
            <w:tcW w:w="2880" w:type="dxa"/>
          </w:tcPr>
          <w:p w14:paraId="552D8DD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垂直场景存在真实用户需求</w:t>
            </w:r>
          </w:p>
        </w:tc>
      </w:tr>
      <w:tr w14:paraId="641721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58ACCD3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受访学生人均闲置图书</w:t>
            </w:r>
          </w:p>
        </w:tc>
        <w:tc>
          <w:tcPr>
            <w:tcW w:w="2880" w:type="dxa"/>
          </w:tcPr>
          <w:p w14:paraId="6827BEE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6.8册</w:t>
            </w:r>
          </w:p>
        </w:tc>
        <w:tc>
          <w:tcPr>
            <w:tcW w:w="2880" w:type="dxa"/>
          </w:tcPr>
          <w:p w14:paraId="0E3054D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单校年理论回收量可观</w:t>
            </w:r>
          </w:p>
        </w:tc>
      </w:tr>
    </w:tbl>
    <w:p w14:paraId="3F968D58">
      <w:pPr>
        <w:spacing w:after="40"/>
      </w:pPr>
    </w:p>
    <w:p w14:paraId="1954C9DA">
      <w:pPr>
        <w:spacing w:after="120"/>
      </w:pPr>
      <w:r>
        <w:rPr>
          <w:rFonts w:ascii="宋体" w:hAnsi="宋体" w:eastAsia="宋体"/>
          <w:b/>
          <w:sz w:val="22"/>
        </w:rPr>
        <w:t>分用户群体痛点与解决方案：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22D258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4D17EC8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用户群体</w:t>
            </w:r>
          </w:p>
        </w:tc>
        <w:tc>
          <w:tcPr>
            <w:tcW w:w="2880" w:type="dxa"/>
          </w:tcPr>
          <w:p w14:paraId="03BAA0F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主要痛点</w:t>
            </w:r>
          </w:p>
        </w:tc>
        <w:tc>
          <w:tcPr>
            <w:tcW w:w="2880" w:type="dxa"/>
          </w:tcPr>
          <w:p w14:paraId="79E37F7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项目解决方案</w:t>
            </w:r>
          </w:p>
        </w:tc>
      </w:tr>
      <w:tr w14:paraId="551E5B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3442C0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毕业生/闲置图书卖方</w:t>
            </w:r>
          </w:p>
        </w:tc>
        <w:tc>
          <w:tcPr>
            <w:tcW w:w="2880" w:type="dxa"/>
          </w:tcPr>
          <w:p w14:paraId="0BE0767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图书多且重、发布麻烦、交易沟通成本高、废纸回收价格低</w:t>
            </w:r>
          </w:p>
        </w:tc>
        <w:tc>
          <w:tcPr>
            <w:tcW w:w="2880" w:type="dxa"/>
          </w:tcPr>
          <w:p w14:paraId="65E7F03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集中回收、预约上门/投柜、标准化估价</w:t>
            </w:r>
          </w:p>
        </w:tc>
      </w:tr>
      <w:tr w14:paraId="7146EE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C52113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低年级教材买方</w:t>
            </w:r>
          </w:p>
        </w:tc>
        <w:tc>
          <w:tcPr>
            <w:tcW w:w="2880" w:type="dxa"/>
          </w:tcPr>
          <w:p w14:paraId="556B7F5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新书价格高、同专业二手书难找、信息分散</w:t>
            </w:r>
          </w:p>
        </w:tc>
        <w:tc>
          <w:tcPr>
            <w:tcW w:w="2880" w:type="dxa"/>
          </w:tcPr>
          <w:p w14:paraId="3EBB6D2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按学校/专业/课程精准筛选</w:t>
            </w:r>
          </w:p>
        </w:tc>
      </w:tr>
      <w:tr w14:paraId="157593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49B221A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考研/考证用户</w:t>
            </w:r>
          </w:p>
        </w:tc>
        <w:tc>
          <w:tcPr>
            <w:tcW w:w="2880" w:type="dxa"/>
          </w:tcPr>
          <w:p w14:paraId="0B5EA2C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资料阶段性需求明显，使用周期短</w:t>
            </w:r>
          </w:p>
        </w:tc>
        <w:tc>
          <w:tcPr>
            <w:tcW w:w="2880" w:type="dxa"/>
          </w:tcPr>
          <w:p w14:paraId="721A785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二手销售+租赁服务</w:t>
            </w:r>
          </w:p>
        </w:tc>
      </w:tr>
      <w:tr w14:paraId="7F71C9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FE64D5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学校/学院/社团</w:t>
            </w:r>
          </w:p>
        </w:tc>
        <w:tc>
          <w:tcPr>
            <w:tcW w:w="2880" w:type="dxa"/>
          </w:tcPr>
          <w:p w14:paraId="04A1E2C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毕业季回收组织成本高、环保活动缺少数字化工具</w:t>
            </w:r>
          </w:p>
        </w:tc>
        <w:tc>
          <w:tcPr>
            <w:tcW w:w="2880" w:type="dxa"/>
          </w:tcPr>
          <w:p w14:paraId="76B1230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提供集中回收、数据统计和公益活动支持</w:t>
            </w:r>
          </w:p>
        </w:tc>
      </w:tr>
    </w:tbl>
    <w:p w14:paraId="65371758">
      <w:pPr>
        <w:spacing w:after="40"/>
      </w:pPr>
    </w:p>
    <w:p w14:paraId="0EFE8B96">
      <w:pPr>
        <w:pStyle w:val="4"/>
      </w:pPr>
      <w:bookmarkStart w:id="12" w:name="_Toc14178"/>
      <w:r>
        <w:rPr>
          <w:rFonts w:ascii="微软雅黑" w:hAnsi="微软雅黑" w:eastAsia="微软雅黑"/>
          <w:b/>
          <w:color w:val="000000"/>
          <w:sz w:val="28"/>
        </w:rPr>
        <w:t>2.5 竞争格局与竞品分析</w:t>
      </w:r>
      <w:bookmarkEnd w:id="12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029BA1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62DF2E3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竞品类型</w:t>
            </w:r>
          </w:p>
        </w:tc>
        <w:tc>
          <w:tcPr>
            <w:tcW w:w="2160" w:type="dxa"/>
          </w:tcPr>
          <w:p w14:paraId="28641B8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优势</w:t>
            </w:r>
          </w:p>
        </w:tc>
        <w:tc>
          <w:tcPr>
            <w:tcW w:w="2160" w:type="dxa"/>
          </w:tcPr>
          <w:p w14:paraId="3439E03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局限</w:t>
            </w:r>
          </w:p>
        </w:tc>
        <w:tc>
          <w:tcPr>
            <w:tcW w:w="2160" w:type="dxa"/>
          </w:tcPr>
          <w:p w14:paraId="450DF8A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本项目切入点</w:t>
            </w:r>
          </w:p>
        </w:tc>
      </w:tr>
      <w:tr w14:paraId="608884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180CCE5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综合二手平台</w:t>
            </w:r>
          </w:p>
        </w:tc>
        <w:tc>
          <w:tcPr>
            <w:tcW w:w="2160" w:type="dxa"/>
          </w:tcPr>
          <w:p w14:paraId="61749C5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用户规模大、交易机制成熟</w:t>
            </w:r>
          </w:p>
        </w:tc>
        <w:tc>
          <w:tcPr>
            <w:tcW w:w="2160" w:type="dxa"/>
          </w:tcPr>
          <w:p w14:paraId="6810B5E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校园专业课程匹配弱，线下交付成本较高</w:t>
            </w:r>
          </w:p>
        </w:tc>
        <w:tc>
          <w:tcPr>
            <w:tcW w:w="2160" w:type="dxa"/>
          </w:tcPr>
          <w:p w14:paraId="454A01F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校园垂直、专业/课程匹配、线下回收</w:t>
            </w:r>
          </w:p>
        </w:tc>
      </w:tr>
      <w:tr w14:paraId="201AB3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47CDC8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二手图书平台</w:t>
            </w:r>
          </w:p>
        </w:tc>
        <w:tc>
          <w:tcPr>
            <w:tcW w:w="2160" w:type="dxa"/>
          </w:tcPr>
          <w:p w14:paraId="78DCD27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图书分类和供应链能力较强</w:t>
            </w:r>
          </w:p>
        </w:tc>
        <w:tc>
          <w:tcPr>
            <w:tcW w:w="2160" w:type="dxa"/>
          </w:tcPr>
          <w:p w14:paraId="7478448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全国物流模式不适合校园即时需求</w:t>
            </w:r>
          </w:p>
        </w:tc>
        <w:tc>
          <w:tcPr>
            <w:tcW w:w="2160" w:type="dxa"/>
          </w:tcPr>
          <w:p w14:paraId="38650F2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同校即时流转、集中回收</w:t>
            </w:r>
          </w:p>
        </w:tc>
      </w:tr>
      <w:tr w14:paraId="710F23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788787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传统废品回收</w:t>
            </w:r>
          </w:p>
        </w:tc>
        <w:tc>
          <w:tcPr>
            <w:tcW w:w="2160" w:type="dxa"/>
          </w:tcPr>
          <w:p w14:paraId="2D78813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回收方便、处理链条成熟</w:t>
            </w:r>
          </w:p>
        </w:tc>
        <w:tc>
          <w:tcPr>
            <w:tcW w:w="2160" w:type="dxa"/>
          </w:tcPr>
          <w:p w14:paraId="3E2ECF1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按重量计价，无法体现教材剩余使用价值</w:t>
            </w:r>
          </w:p>
        </w:tc>
        <w:tc>
          <w:tcPr>
            <w:tcW w:w="2160" w:type="dxa"/>
          </w:tcPr>
          <w:p w14:paraId="17A991B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按书籍使用价值和需求进行分级</w:t>
            </w:r>
          </w:p>
        </w:tc>
      </w:tr>
      <w:tr w14:paraId="04900A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24712D7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校园社群/个人交易</w:t>
            </w:r>
          </w:p>
        </w:tc>
        <w:tc>
          <w:tcPr>
            <w:tcW w:w="2160" w:type="dxa"/>
          </w:tcPr>
          <w:p w14:paraId="141CE6B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距离近、沟通直接</w:t>
            </w:r>
          </w:p>
        </w:tc>
        <w:tc>
          <w:tcPr>
            <w:tcW w:w="2160" w:type="dxa"/>
          </w:tcPr>
          <w:p w14:paraId="79BC9BE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信息碎片化、缺少统一质检和售后</w:t>
            </w:r>
          </w:p>
        </w:tc>
        <w:tc>
          <w:tcPr>
            <w:tcW w:w="2160" w:type="dxa"/>
          </w:tcPr>
          <w:p w14:paraId="344519F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平台化信息管理与标准化服务</w:t>
            </w:r>
          </w:p>
        </w:tc>
      </w:tr>
    </w:tbl>
    <w:p w14:paraId="35A34BC0">
      <w:pPr>
        <w:spacing w:after="40"/>
      </w:pPr>
    </w:p>
    <w:p w14:paraId="76D3C0D2">
      <w:pPr>
        <w:pStyle w:val="4"/>
      </w:pPr>
      <w:bookmarkStart w:id="13" w:name="_Toc30100"/>
      <w:r>
        <w:rPr>
          <w:rFonts w:ascii="微软雅黑" w:hAnsi="微软雅黑" w:eastAsia="微软雅黑"/>
          <w:b/>
          <w:color w:val="000000"/>
          <w:sz w:val="28"/>
        </w:rPr>
        <w:t>2.6 SWOT分析</w:t>
      </w:r>
      <w:bookmarkEnd w:id="13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2E40E2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1F5DEEF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维度</w:t>
            </w:r>
          </w:p>
        </w:tc>
        <w:tc>
          <w:tcPr>
            <w:tcW w:w="4320" w:type="dxa"/>
          </w:tcPr>
          <w:p w14:paraId="1956E44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主要内容</w:t>
            </w:r>
          </w:p>
        </w:tc>
      </w:tr>
      <w:tr w14:paraId="29A12A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1E49964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S 优势</w:t>
            </w:r>
          </w:p>
        </w:tc>
        <w:tc>
          <w:tcPr>
            <w:tcW w:w="4320" w:type="dxa"/>
          </w:tcPr>
          <w:p w14:paraId="5B950B6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校园场景聚焦；线上线下一体化；专业/课程图书数据库；校园官方合作渠道；团队具备学生场景理解能力</w:t>
            </w:r>
          </w:p>
        </w:tc>
      </w:tr>
      <w:tr w14:paraId="02E131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5B0546F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W 劣势</w:t>
            </w:r>
          </w:p>
        </w:tc>
        <w:tc>
          <w:tcPr>
            <w:tcW w:w="4320" w:type="dxa"/>
          </w:tcPr>
          <w:p w14:paraId="4A07CBD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前期需建立图书库存；智能柜和仓储存在投入；淡旺季明显；品牌知名度较低</w:t>
            </w:r>
          </w:p>
        </w:tc>
      </w:tr>
      <w:tr w14:paraId="15CB5C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37DD819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O 机会</w:t>
            </w:r>
          </w:p>
        </w:tc>
        <w:tc>
          <w:tcPr>
            <w:tcW w:w="4320" w:type="dxa"/>
          </w:tcPr>
          <w:p w14:paraId="2A6DA9F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绿色校园和资源循环政策持续加持；高校二手教材需求场景稳定；校园数字化服务不断发展</w:t>
            </w:r>
          </w:p>
        </w:tc>
      </w:tr>
      <w:tr w14:paraId="37F5FE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44E2771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T 威胁</w:t>
            </w:r>
          </w:p>
        </w:tc>
        <w:tc>
          <w:tcPr>
            <w:tcW w:w="4320" w:type="dxa"/>
          </w:tcPr>
          <w:p w14:paraId="507888D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综合二手平台竞争；电子教材和数字阅读发展；校园准入和场地管理要求；盗版资料及版权合规风险</w:t>
            </w:r>
          </w:p>
        </w:tc>
      </w:tr>
    </w:tbl>
    <w:p w14:paraId="7A8C65CD">
      <w:pPr>
        <w:spacing w:after="40"/>
      </w:pPr>
    </w:p>
    <w:p w14:paraId="669907A2">
      <w:pPr>
        <w:pStyle w:val="3"/>
      </w:pPr>
      <w:bookmarkStart w:id="14" w:name="_Toc18483"/>
      <w:r>
        <w:rPr>
          <w:rFonts w:ascii="微软雅黑" w:hAnsi="微软雅黑" w:eastAsia="微软雅黑"/>
          <w:b/>
          <w:color w:val="1F3B63"/>
          <w:sz w:val="32"/>
        </w:rPr>
        <w:t>第三章 产品与技术</w:t>
      </w:r>
      <w:bookmarkEnd w:id="14"/>
    </w:p>
    <w:p w14:paraId="05FC888F">
      <w:pPr>
        <w:pStyle w:val="4"/>
      </w:pPr>
      <w:bookmarkStart w:id="15" w:name="_Toc24232"/>
      <w:r>
        <w:rPr>
          <w:rFonts w:ascii="微软雅黑" w:hAnsi="微软雅黑" w:eastAsia="微软雅黑"/>
          <w:b/>
          <w:color w:val="000000"/>
          <w:sz w:val="28"/>
        </w:rPr>
        <w:t>3.1 产品概述与功能架构</w:t>
      </w:r>
      <w:bookmarkEnd w:id="15"/>
    </w:p>
    <w:p w14:paraId="6DD78A57">
      <w:pPr>
        <w:spacing w:after="120"/>
      </w:pPr>
      <w:r>
        <w:rPr>
          <w:rFonts w:ascii="宋体" w:hAnsi="宋体" w:eastAsia="宋体"/>
          <w:b w:val="0"/>
          <w:sz w:val="22"/>
        </w:rPr>
        <w:t>项目采用"一个用户平台、一个运营后台、多个线下回收终端"的产品架构。用户端负责图书发布与交易，运营后台负责库存、订单、质检和数据分析，线下终端负责低成本收书和交付。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533F29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  <w:shd w:val="clear" w:color="auto" w:fill="F2F6FC"/>
          </w:tcPr>
          <w:p w14:paraId="780490D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1F3B63"/>
                <w:sz w:val="20"/>
              </w:rPr>
              <w:t>【图3-1 系统总体架构（正式版建议绘制为高清架构图）】</w:t>
            </w:r>
          </w:p>
          <w:p w14:paraId="0E5FAFD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用户层：微信小程序（C端：买书/卖书/换书/租赁/碳账户）＋ 校园智能回收柜交互屏</w:t>
            </w:r>
          </w:p>
          <w:p w14:paraId="2085BDC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服务层：云端 API 网关 → 订单服务 / 图书信息服务（ISBN库）/ 估价定价引擎 / 库存服务 / 用户与积分服务</w:t>
            </w:r>
          </w:p>
          <w:p w14:paraId="52B23EF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数据层：供需数据库、品相图像数据集、交易价格库、运营分析看板</w:t>
            </w:r>
          </w:p>
          <w:p w14:paraId="3BDA019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硬件层：智能柜（工控板+摄像头+电控锁+格口传感器）经 MQTT/HTTPS 接入云端设备管理服务</w:t>
            </w:r>
          </w:p>
          <w:p w14:paraId="4C65C57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运营层：质检SOP管理、仓储WMS、校园大使调度、财务对账</w:t>
            </w:r>
          </w:p>
        </w:tc>
      </w:tr>
    </w:tbl>
    <w:p w14:paraId="65E0A0DA">
      <w:pPr>
        <w:spacing w:after="40"/>
      </w:pPr>
    </w:p>
    <w:p w14:paraId="25B6D072">
      <w:pPr>
        <w:pStyle w:val="4"/>
      </w:pPr>
      <w:bookmarkStart w:id="16" w:name="_Toc3715"/>
      <w:r>
        <w:rPr>
          <w:rFonts w:ascii="微软雅黑" w:hAnsi="微软雅黑" w:eastAsia="微软雅黑"/>
          <w:b/>
          <w:color w:val="000000"/>
          <w:sz w:val="28"/>
        </w:rPr>
        <w:t>3.1.1 微信小程序/APP核心功能</w:t>
      </w:r>
      <w:bookmarkEnd w:id="16"/>
    </w:p>
    <w:p w14:paraId="1CD181ED">
      <w:pPr>
        <w:spacing w:after="60"/>
      </w:pPr>
      <w:r>
        <w:rPr>
          <w:rFonts w:ascii="宋体" w:hAnsi="宋体" w:eastAsia="宋体"/>
          <w:b/>
          <w:sz w:val="22"/>
        </w:rPr>
        <w:t>ISBN/书名识别</w:t>
      </w:r>
      <w:r>
        <w:rPr>
          <w:rFonts w:ascii="宋体" w:hAnsi="宋体" w:eastAsia="宋体"/>
          <w:b w:val="0"/>
          <w:sz w:val="22"/>
        </w:rPr>
        <w:t>：扫码或输入ISBN，OCR自动识别并对接图书数据库补全基础信息。</w:t>
      </w:r>
    </w:p>
    <w:p w14:paraId="533ED09A">
      <w:pPr>
        <w:spacing w:after="60"/>
      </w:pPr>
      <w:r>
        <w:rPr>
          <w:rFonts w:ascii="宋体" w:hAnsi="宋体" w:eastAsia="宋体"/>
          <w:b/>
          <w:sz w:val="22"/>
        </w:rPr>
        <w:t>图书发布</w:t>
      </w:r>
      <w:r>
        <w:rPr>
          <w:rFonts w:ascii="宋体" w:hAnsi="宋体" w:eastAsia="宋体"/>
          <w:b w:val="0"/>
          <w:sz w:val="22"/>
        </w:rPr>
        <w:t>：上传封面、内页和品相信息，选择出售、交换、租赁或捐赠。</w:t>
      </w:r>
    </w:p>
    <w:p w14:paraId="0B1D1581">
      <w:pPr>
        <w:spacing w:after="60"/>
      </w:pPr>
      <w:r>
        <w:rPr>
          <w:rFonts w:ascii="宋体" w:hAnsi="宋体" w:eastAsia="宋体"/>
          <w:b/>
          <w:sz w:val="22"/>
        </w:rPr>
        <w:t>专业/课程筛选</w:t>
      </w:r>
      <w:r>
        <w:rPr>
          <w:rFonts w:ascii="宋体" w:hAnsi="宋体" w:eastAsia="宋体"/>
          <w:b w:val="0"/>
          <w:sz w:val="22"/>
        </w:rPr>
        <w:t>：按照学校、学院、专业、年级和课程进行检索。</w:t>
      </w:r>
    </w:p>
    <w:p w14:paraId="5476AE15">
      <w:pPr>
        <w:spacing w:after="60"/>
      </w:pPr>
      <w:r>
        <w:rPr>
          <w:rFonts w:ascii="宋体" w:hAnsi="宋体" w:eastAsia="宋体"/>
          <w:b/>
          <w:sz w:val="22"/>
        </w:rPr>
        <w:t>回收预约</w:t>
      </w:r>
      <w:r>
        <w:rPr>
          <w:rFonts w:ascii="宋体" w:hAnsi="宋体" w:eastAsia="宋体"/>
          <w:b w:val="0"/>
          <w:sz w:val="22"/>
        </w:rPr>
        <w:t>：预约上门回收或选择校园回收点/智能柜。</w:t>
      </w:r>
    </w:p>
    <w:p w14:paraId="5FF6092D">
      <w:pPr>
        <w:spacing w:after="60"/>
      </w:pPr>
      <w:r>
        <w:rPr>
          <w:rFonts w:ascii="宋体" w:hAnsi="宋体" w:eastAsia="宋体"/>
          <w:b/>
          <w:sz w:val="22"/>
        </w:rPr>
        <w:t>订单管理</w:t>
      </w:r>
      <w:r>
        <w:rPr>
          <w:rFonts w:ascii="宋体" w:hAnsi="宋体" w:eastAsia="宋体"/>
          <w:b w:val="0"/>
          <w:sz w:val="22"/>
        </w:rPr>
        <w:t>：支持购买、回收、换书、租赁等订单状态管理。</w:t>
      </w:r>
    </w:p>
    <w:p w14:paraId="7F38E57B">
      <w:pPr>
        <w:spacing w:after="60"/>
      </w:pPr>
      <w:r>
        <w:rPr>
          <w:rFonts w:ascii="宋体" w:hAnsi="宋体" w:eastAsia="宋体"/>
          <w:b/>
          <w:sz w:val="22"/>
        </w:rPr>
        <w:t>积分与碳账户</w:t>
      </w:r>
      <w:r>
        <w:rPr>
          <w:rFonts w:ascii="宋体" w:hAnsi="宋体" w:eastAsia="宋体"/>
          <w:b w:val="0"/>
          <w:sz w:val="22"/>
        </w:rPr>
        <w:t>：记录回收、捐赠和循环行为，展示个人"碳账簿"（减排量依据10.1节LCA方法学计算）。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4F1B4A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  <w:shd w:val="clear" w:color="auto" w:fill="F2F6FC"/>
          </w:tcPr>
          <w:p w14:paraId="4D229AE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1F3B63"/>
                <w:sz w:val="20"/>
              </w:rPr>
              <w:t>【UI界面清单（正式版建议附高保真设计图）】</w:t>
            </w:r>
          </w:p>
          <w:p w14:paraId="1790D41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① 首页：课程教材推荐位+搜索+分类导航；② 卖书页：扫码识别→品相自评→估价确认；③ 搜索页：按专业/课程/ISBN筛选；④ 订单页：买卖/回收/租赁/换书tab；⑤ 我的：积分、碳账户、提现。</w:t>
            </w:r>
          </w:p>
        </w:tc>
      </w:tr>
    </w:tbl>
    <w:p w14:paraId="3E94BE94">
      <w:pPr>
        <w:spacing w:after="40"/>
      </w:pPr>
    </w:p>
    <w:p w14:paraId="4EC855CF">
      <w:pPr>
        <w:pStyle w:val="4"/>
      </w:pPr>
      <w:bookmarkStart w:id="17" w:name="_Toc2736"/>
      <w:r>
        <w:rPr>
          <w:rFonts w:ascii="微软雅黑" w:hAnsi="微软雅黑" w:eastAsia="微软雅黑"/>
          <w:b/>
          <w:color w:val="000000"/>
          <w:sz w:val="28"/>
        </w:rPr>
        <w:t>3.1.2 校园智能回收柜硬件交互系统</w:t>
      </w:r>
      <w:bookmarkEnd w:id="17"/>
    </w:p>
    <w:p w14:paraId="0EACFAFA">
      <w:pPr>
        <w:spacing w:after="120"/>
      </w:pPr>
      <w:r>
        <w:rPr>
          <w:rFonts w:ascii="宋体" w:hAnsi="宋体" w:eastAsia="宋体"/>
          <w:b w:val="0"/>
          <w:sz w:val="22"/>
        </w:rPr>
        <w:t>智能回收柜是线下增强模块而非启动前置条件。试点阶段以人工回收点验证需求；当单校日订单量达到预设阈值（建议≥30单/日）后，在宿舍区、图书馆等高频位置部署小型智能回收柜。硬件包含身份/二维码识别、柜门控制、摄像头采集、库存状态监测、远程故障报警等功能。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3E6700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  <w:shd w:val="clear" w:color="auto" w:fill="F2F6FC"/>
          </w:tcPr>
          <w:p w14:paraId="11D10C8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1F3B63"/>
                <w:sz w:val="20"/>
              </w:rPr>
              <w:t>【智能柜存书交互流程】</w:t>
            </w:r>
          </w:p>
          <w:p w14:paraId="731BF85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用户小程序下单→获得取件码→柜端扫码/输码→系统分配格口并弹门→用户放入图书→摄像头采集图像上传云端→估价模型初步定价→用户小程序确认→入柜并同步库存→超时可人工接管。</w:t>
            </w:r>
          </w:p>
        </w:tc>
      </w:tr>
    </w:tbl>
    <w:p w14:paraId="52080C70">
      <w:pPr>
        <w:spacing w:after="40"/>
      </w:pPr>
    </w:p>
    <w:p w14:paraId="7433E9AF">
      <w:pPr>
        <w:pStyle w:val="4"/>
      </w:pPr>
      <w:bookmarkStart w:id="18" w:name="_Toc665"/>
      <w:r>
        <w:rPr>
          <w:rFonts w:ascii="微软雅黑" w:hAnsi="微软雅黑" w:eastAsia="微软雅黑"/>
          <w:b/>
          <w:color w:val="000000"/>
          <w:sz w:val="28"/>
        </w:rPr>
        <w:t>3.2 核心技术一：图书品相识别与动态定价</w:t>
      </w:r>
      <w:bookmarkEnd w:id="18"/>
    </w:p>
    <w:p w14:paraId="4EFCF525">
      <w:pPr>
        <w:spacing w:after="120"/>
      </w:pPr>
      <w:r>
        <w:rPr>
          <w:rFonts w:ascii="宋体" w:hAnsi="宋体" w:eastAsia="宋体"/>
          <w:b w:val="0"/>
          <w:sz w:val="22"/>
        </w:rPr>
        <w:t>项目建立"规则模型 + 视觉识别模型 + 动态定价引擎"的三层技术体系，目前已完成可演示的原型系统（MVP）：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161BA7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47117B2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技术模块</w:t>
            </w:r>
          </w:p>
        </w:tc>
        <w:tc>
          <w:tcPr>
            <w:tcW w:w="2880" w:type="dxa"/>
          </w:tcPr>
          <w:p w14:paraId="39B73C5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技术选型</w:t>
            </w:r>
          </w:p>
        </w:tc>
        <w:tc>
          <w:tcPr>
            <w:tcW w:w="2880" w:type="dxa"/>
          </w:tcPr>
          <w:p w14:paraId="34EBC70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当前进展（示例，正式版附测试报告）</w:t>
            </w:r>
          </w:p>
        </w:tc>
      </w:tr>
      <w:tr w14:paraId="10CD7E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FE7DAC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ISBN识别</w:t>
            </w:r>
          </w:p>
        </w:tc>
        <w:tc>
          <w:tcPr>
            <w:tcW w:w="2880" w:type="dxa"/>
          </w:tcPr>
          <w:p w14:paraId="2B6207B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PaddleOCR + ISBN权威图书数据库</w:t>
            </w:r>
          </w:p>
        </w:tc>
        <w:tc>
          <w:tcPr>
            <w:tcW w:w="2880" w:type="dxa"/>
          </w:tcPr>
          <w:p w14:paraId="6A31BA2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1,000册样本测试识别准确率97.8%</w:t>
            </w:r>
          </w:p>
        </w:tc>
      </w:tr>
      <w:tr w14:paraId="265635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7E92DDD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品相视觉识别</w:t>
            </w:r>
          </w:p>
        </w:tc>
        <w:tc>
          <w:tcPr>
            <w:tcW w:w="2880" w:type="dxa"/>
          </w:tcPr>
          <w:p w14:paraId="2BC950D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YOLOv8 缺陷检测（褶皱/污渍/书写/破损/缺页等8类）</w:t>
            </w:r>
          </w:p>
        </w:tc>
        <w:tc>
          <w:tcPr>
            <w:tcW w:w="2880" w:type="dxa"/>
          </w:tcPr>
          <w:p w14:paraId="2DABDC3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自采+授权标注图像5,000张；mAP@0.5达0.912；与人工分级一致率91.2%，低置信度样本转人工复核</w:t>
            </w:r>
          </w:p>
        </w:tc>
      </w:tr>
      <w:tr w14:paraId="14C8B1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7B40072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动态定价引擎</w:t>
            </w:r>
          </w:p>
        </w:tc>
        <w:tc>
          <w:tcPr>
            <w:tcW w:w="2880" w:type="dxa"/>
          </w:tcPr>
          <w:p w14:paraId="095896B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规则引擎+供需系数+历史成交价回归</w:t>
            </w:r>
          </w:p>
        </w:tc>
        <w:tc>
          <w:tcPr>
            <w:tcW w:w="2880" w:type="dxa"/>
          </w:tcPr>
          <w:p w14:paraId="49F3DCB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已上线规则版；定价公式见下</w:t>
            </w:r>
          </w:p>
        </w:tc>
      </w:tr>
    </w:tbl>
    <w:p w14:paraId="064B828B">
      <w:pPr>
        <w:spacing w:after="40"/>
      </w:pPr>
    </w:p>
    <w:p w14:paraId="0B5F13F3">
      <w:pPr>
        <w:spacing w:after="120"/>
      </w:pPr>
      <w:r>
        <w:rPr>
          <w:rFonts w:ascii="宋体" w:hAnsi="宋体" w:eastAsia="宋体"/>
          <w:b/>
          <w:sz w:val="22"/>
        </w:rPr>
        <w:t>动态定价公式：二手定价 = 图书定价 × 基础折扣系数 × 品相系数 × 供需系数 × 时效系数。</w:t>
      </w:r>
      <w:r>
        <w:rPr>
          <w:rFonts w:ascii="宋体" w:hAnsi="宋体" w:eastAsia="宋体"/>
          <w:b w:val="0"/>
          <w:sz w:val="22"/>
        </w:rPr>
        <w:t>其中品相系数由AI识别结果映射（如9成新0.55、8成新0.45），供需系数由专业选课人数与库存量比值确定，时效系数随库存周转天数动态下调，触发阈值时自动转入换书/捐赠通道。</w:t>
      </w:r>
    </w:p>
    <w:p w14:paraId="628D0063">
      <w:pPr>
        <w:spacing w:after="120"/>
      </w:pPr>
      <w:r>
        <w:rPr>
          <w:rFonts w:ascii="楷体" w:hAnsi="楷体" w:eastAsia="楷体"/>
          <w:b w:val="0"/>
          <w:color w:val="804000"/>
          <w:sz w:val="19"/>
        </w:rPr>
        <w:t>评审关注点回应：训练图像均来自团队自采与授权样本，数据集规模、标注规范、准确率/召回率、误差范围及人工复核机制以技术附录形式提供。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3A42B5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  <w:shd w:val="clear" w:color="auto" w:fill="F2F6FC"/>
          </w:tcPr>
          <w:p w14:paraId="2E43494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1F3B63"/>
                <w:sz w:val="20"/>
              </w:rPr>
              <w:t>【图3-2 品相识别算法流程（正式版建议绘制流程图）】</w:t>
            </w:r>
          </w:p>
          <w:p w14:paraId="2307A6D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图像采集（柜端摄像头/用户上传）→ 图像预处理（去畸变/光照归一化）→ YOLOv8缺陷检测 → 缺陷面积占比+位置加权评分 → 品相分级映射（9成新/8成新/7成新/残次）→ 置信度≥0.85直接定价，&lt;0.85转人工复核 → 定价结果写入订单。</w:t>
            </w:r>
          </w:p>
        </w:tc>
      </w:tr>
    </w:tbl>
    <w:p w14:paraId="6B20C0A1">
      <w:pPr>
        <w:spacing w:after="40"/>
      </w:pPr>
    </w:p>
    <w:p w14:paraId="2D4F4C34">
      <w:pPr>
        <w:pStyle w:val="4"/>
      </w:pPr>
      <w:bookmarkStart w:id="19" w:name="_Toc26241"/>
      <w:r>
        <w:rPr>
          <w:rFonts w:ascii="微软雅黑" w:hAnsi="微软雅黑" w:eastAsia="微软雅黑"/>
          <w:b/>
          <w:color w:val="000000"/>
          <w:sz w:val="28"/>
        </w:rPr>
        <w:t>3.3 核心技术二：智能硬件端与云端协同</w:t>
      </w:r>
      <w:bookmarkEnd w:id="19"/>
    </w:p>
    <w:p w14:paraId="646785C1">
      <w:pPr>
        <w:spacing w:after="120"/>
      </w:pPr>
      <w:r>
        <w:rPr>
          <w:rFonts w:ascii="宋体" w:hAnsi="宋体" w:eastAsia="宋体"/>
          <w:b w:val="0"/>
          <w:sz w:val="22"/>
        </w:rPr>
        <w:t>智能柜通过物联网控制板（支持4G/Wi-Fi双链路）连接云端平台，上传柜体状态、格口占用、存取记录和故障信息；后台根据库存和订单情况安排调拨，减少人工巡柜次数。系统遵循最小权限、TLS传输加密、日志审计和故障人工接管原则，网络中断时柜端支持离线暂存、恢复后自动补传。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38D379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  <w:shd w:val="clear" w:color="auto" w:fill="F2F6FC"/>
          </w:tcPr>
          <w:p w14:paraId="6D9EBF4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1F3B63"/>
                <w:sz w:val="20"/>
              </w:rPr>
              <w:t>【图3-3 端-云-用户数据流（正式版建议绘制数据流图）】</w:t>
            </w:r>
          </w:p>
          <w:p w14:paraId="6BB8718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智能柜（状态/图像/格口事件）→ MQTT/HTTPS → 云端设备管理→ 估价/库存/订单服务 → 小程序消息推送（估价确认/取书通知）；运营后台实时监控柜机状态并派发运维工单。</w:t>
            </w:r>
          </w:p>
        </w:tc>
      </w:tr>
    </w:tbl>
    <w:p w14:paraId="32F868FA">
      <w:pPr>
        <w:spacing w:after="40"/>
      </w:pPr>
    </w:p>
    <w:p w14:paraId="63784EFE">
      <w:pPr>
        <w:pStyle w:val="4"/>
      </w:pPr>
      <w:bookmarkStart w:id="20" w:name="_Toc25876"/>
      <w:r>
        <w:rPr>
          <w:rFonts w:ascii="微软雅黑" w:hAnsi="微软雅黑" w:eastAsia="微软雅黑"/>
          <w:b/>
          <w:color w:val="000000"/>
          <w:sz w:val="28"/>
        </w:rPr>
        <w:t>3.4 产品创新点与技术壁垒</w:t>
      </w:r>
      <w:bookmarkEnd w:id="20"/>
    </w:p>
    <w:p w14:paraId="24FAF3BC">
      <w:pPr>
        <w:spacing w:after="60"/>
      </w:pPr>
      <w:r>
        <w:rPr>
          <w:rFonts w:ascii="宋体" w:hAnsi="宋体" w:eastAsia="宋体"/>
          <w:b/>
          <w:sz w:val="22"/>
        </w:rPr>
        <w:t>场景创新</w:t>
      </w:r>
      <w:r>
        <w:rPr>
          <w:rFonts w:ascii="宋体" w:hAnsi="宋体" w:eastAsia="宋体"/>
          <w:b w:val="0"/>
          <w:sz w:val="22"/>
        </w:rPr>
        <w:t>：围绕校园教材生命周期构建回收、交易、交换、租赁和公益流转体系。</w:t>
      </w:r>
    </w:p>
    <w:p w14:paraId="7EE7D657">
      <w:pPr>
        <w:spacing w:after="60"/>
      </w:pPr>
      <w:r>
        <w:rPr>
          <w:rFonts w:ascii="宋体" w:hAnsi="宋体" w:eastAsia="宋体"/>
          <w:b/>
          <w:sz w:val="22"/>
        </w:rPr>
        <w:t>数据创新</w:t>
      </w:r>
      <w:r>
        <w:rPr>
          <w:rFonts w:ascii="宋体" w:hAnsi="宋体" w:eastAsia="宋体"/>
          <w:b w:val="0"/>
          <w:sz w:val="22"/>
        </w:rPr>
        <w:t>：沉淀"学校—专业—课程—教材—学期"供需关系图谱，支撑需求预测。</w:t>
      </w:r>
    </w:p>
    <w:p w14:paraId="61AB4D4C">
      <w:pPr>
        <w:spacing w:after="60"/>
      </w:pPr>
      <w:r>
        <w:rPr>
          <w:rFonts w:ascii="宋体" w:hAnsi="宋体" w:eastAsia="宋体"/>
          <w:b/>
          <w:sz w:val="22"/>
        </w:rPr>
        <w:t>服务创新</w:t>
      </w:r>
      <w:r>
        <w:rPr>
          <w:rFonts w:ascii="宋体" w:hAnsi="宋体" w:eastAsia="宋体"/>
          <w:b w:val="0"/>
          <w:sz w:val="22"/>
        </w:rPr>
        <w:t>：线上平台与线下回收终端协同，降低图书交付成本。</w:t>
      </w:r>
    </w:p>
    <w:p w14:paraId="48B7443F">
      <w:pPr>
        <w:spacing w:after="60"/>
      </w:pPr>
      <w:r>
        <w:rPr>
          <w:rFonts w:ascii="宋体" w:hAnsi="宋体" w:eastAsia="宋体"/>
          <w:b/>
          <w:sz w:val="22"/>
        </w:rPr>
        <w:t>技术创新</w:t>
      </w:r>
      <w:r>
        <w:rPr>
          <w:rFonts w:ascii="宋体" w:hAnsi="宋体" w:eastAsia="宋体"/>
          <w:b w:val="0"/>
          <w:sz w:val="22"/>
        </w:rPr>
        <w:t>：品相视觉识别、需求预测和动态定价能力逐步成型。</w:t>
      </w:r>
    </w:p>
    <w:p w14:paraId="4CBAAFFF">
      <w:pPr>
        <w:spacing w:after="60"/>
      </w:pPr>
      <w:r>
        <w:rPr>
          <w:rFonts w:ascii="宋体" w:hAnsi="宋体" w:eastAsia="宋体"/>
          <w:b/>
          <w:sz w:val="22"/>
        </w:rPr>
        <w:t>运营壁垒</w:t>
      </w:r>
      <w:r>
        <w:rPr>
          <w:rFonts w:ascii="宋体" w:hAnsi="宋体" w:eastAsia="宋体"/>
          <w:b w:val="0"/>
          <w:sz w:val="22"/>
        </w:rPr>
        <w:t>：校内官方合作、校园大使网络与固定回收点构成先发线下网络。</w:t>
      </w:r>
    </w:p>
    <w:p w14:paraId="4DAA608F">
      <w:pPr>
        <w:pStyle w:val="4"/>
      </w:pPr>
      <w:bookmarkStart w:id="21" w:name="_Toc744"/>
      <w:r>
        <w:rPr>
          <w:rFonts w:ascii="微软雅黑" w:hAnsi="微软雅黑" w:eastAsia="微软雅黑"/>
          <w:b/>
          <w:color w:val="000000"/>
          <w:sz w:val="28"/>
        </w:rPr>
        <w:t>3.5 知识产权布局</w:t>
      </w:r>
      <w:bookmarkEnd w:id="21"/>
    </w:p>
    <w:p w14:paraId="3A032F03">
      <w:pPr>
        <w:spacing w:after="60"/>
      </w:pPr>
      <w:r>
        <w:rPr>
          <w:rFonts w:ascii="宋体" w:hAnsi="宋体" w:eastAsia="宋体"/>
          <w:b/>
          <w:sz w:val="22"/>
        </w:rPr>
        <w:t>软件著作权</w:t>
      </w:r>
      <w:r>
        <w:rPr>
          <w:rFonts w:ascii="宋体" w:hAnsi="宋体" w:eastAsia="宋体"/>
          <w:b w:val="0"/>
          <w:sz w:val="22"/>
        </w:rPr>
        <w:t>：旧书智能回收与匹配系统、校园图书循环管理平台（已规划2项，提交以受理通知书为准）。</w:t>
      </w:r>
    </w:p>
    <w:p w14:paraId="71B6CE87">
      <w:pPr>
        <w:spacing w:after="60"/>
      </w:pPr>
      <w:r>
        <w:rPr>
          <w:rFonts w:ascii="宋体" w:hAnsi="宋体" w:eastAsia="宋体"/>
          <w:b/>
          <w:sz w:val="22"/>
        </w:rPr>
        <w:t>实用新型专利</w:t>
      </w:r>
      <w:r>
        <w:rPr>
          <w:rFonts w:ascii="宋体" w:hAnsi="宋体" w:eastAsia="宋体"/>
          <w:b w:val="0"/>
          <w:sz w:val="22"/>
        </w:rPr>
        <w:t>：智能回收柜形成独立结构创新后申请。</w:t>
      </w:r>
    </w:p>
    <w:p w14:paraId="35273859">
      <w:pPr>
        <w:spacing w:after="60"/>
      </w:pPr>
      <w:r>
        <w:rPr>
          <w:rFonts w:ascii="宋体" w:hAnsi="宋体" w:eastAsia="宋体"/>
          <w:b/>
          <w:sz w:val="22"/>
        </w:rPr>
        <w:t>算法/技术文档</w:t>
      </w:r>
      <w:r>
        <w:rPr>
          <w:rFonts w:ascii="宋体" w:hAnsi="宋体" w:eastAsia="宋体"/>
          <w:b w:val="0"/>
          <w:sz w:val="22"/>
        </w:rPr>
        <w:t>：品相评价规则、匹配逻辑和数据处理流程形成版本化技术文档。</w:t>
      </w:r>
    </w:p>
    <w:p w14:paraId="47013E17">
      <w:pPr>
        <w:spacing w:after="60"/>
      </w:pPr>
      <w:r>
        <w:rPr>
          <w:rFonts w:ascii="宋体" w:hAnsi="宋体" w:eastAsia="宋体"/>
          <w:b/>
          <w:sz w:val="22"/>
        </w:rPr>
        <w:t>商标</w:t>
      </w:r>
      <w:r>
        <w:rPr>
          <w:rFonts w:ascii="宋体" w:hAnsi="宋体" w:eastAsia="宋体"/>
          <w:b w:val="0"/>
          <w:sz w:val="22"/>
        </w:rPr>
        <w:t>：围绕"书环智循环"进行品牌保护，类别按业务范围确定。</w:t>
      </w:r>
    </w:p>
    <w:p w14:paraId="1A3A353D">
      <w:pPr>
        <w:pStyle w:val="3"/>
      </w:pPr>
      <w:bookmarkStart w:id="22" w:name="_Toc21362"/>
      <w:r>
        <w:rPr>
          <w:rFonts w:ascii="微软雅黑" w:hAnsi="微软雅黑" w:eastAsia="微软雅黑"/>
          <w:b/>
          <w:color w:val="1F3B63"/>
          <w:sz w:val="32"/>
        </w:rPr>
        <w:t>第四章 商业模式</w:t>
      </w:r>
      <w:bookmarkEnd w:id="22"/>
    </w:p>
    <w:p w14:paraId="24090A60">
      <w:pPr>
        <w:pStyle w:val="4"/>
      </w:pPr>
      <w:bookmarkStart w:id="23" w:name="_Toc16305"/>
      <w:r>
        <w:rPr>
          <w:rFonts w:ascii="微软雅黑" w:hAnsi="微软雅黑" w:eastAsia="微软雅黑"/>
          <w:b/>
          <w:color w:val="000000"/>
          <w:sz w:val="28"/>
        </w:rPr>
        <w:t>4.1 价值主张</w:t>
      </w:r>
      <w:bookmarkEnd w:id="23"/>
    </w:p>
    <w:p w14:paraId="64C9FA4E">
      <w:pPr>
        <w:spacing w:after="120"/>
      </w:pPr>
      <w:r>
        <w:rPr>
          <w:rFonts w:ascii="宋体" w:hAnsi="宋体" w:eastAsia="宋体"/>
          <w:b w:val="0"/>
          <w:sz w:val="22"/>
        </w:rPr>
        <w:t>对卖方：提供方便、透明、低时间成本的旧书处理渠道；对买方：提供价格更低、距离更近、专业匹配更准确的二手教材；对学校：提供可量化的绿色校园和毕业季图书回收服务；对合作企业：提供校园品牌曝光及可验证的循环经济合作场景。</w:t>
      </w:r>
    </w:p>
    <w:p w14:paraId="4FEE8524">
      <w:pPr>
        <w:pStyle w:val="4"/>
      </w:pPr>
      <w:bookmarkStart w:id="24" w:name="_Toc3470"/>
      <w:r>
        <w:rPr>
          <w:rFonts w:ascii="微软雅黑" w:hAnsi="微软雅黑" w:eastAsia="微软雅黑"/>
          <w:b/>
          <w:color w:val="000000"/>
          <w:sz w:val="28"/>
        </w:rPr>
        <w:t>4.2 盈利模式</w:t>
      </w:r>
      <w:bookmarkEnd w:id="24"/>
    </w:p>
    <w:p w14:paraId="36509F3D">
      <w:pPr>
        <w:spacing w:after="120"/>
      </w:pPr>
      <w:r>
        <w:rPr>
          <w:rFonts w:ascii="宋体" w:hAnsi="宋体" w:eastAsia="宋体"/>
          <w:b/>
          <w:sz w:val="22"/>
        </w:rPr>
        <w:t>4.2.1 二手图书买卖差价</w:t>
      </w:r>
      <w:r>
        <w:rPr>
          <w:rFonts w:ascii="宋体" w:hAnsi="宋体" w:eastAsia="宋体"/>
          <w:b w:val="0"/>
          <w:sz w:val="22"/>
        </w:rPr>
        <w:t>：平台对具有二次流通价值的图书进行回收、质检和分级后销售。经试点验证（示例数据）：单本平均回收成本2.5元、综合售出率62.6%、单本毛利7.0元，该模式已跑通最小闭环。</w:t>
      </w:r>
    </w:p>
    <w:p w14:paraId="6804854C">
      <w:pPr>
        <w:spacing w:after="120"/>
      </w:pPr>
      <w:r>
        <w:rPr>
          <w:rFonts w:ascii="宋体" w:hAnsi="宋体" w:eastAsia="宋体"/>
          <w:b/>
          <w:sz w:val="22"/>
        </w:rPr>
        <w:t>4.2.2 教材/考研资料租赁服务</w:t>
      </w:r>
      <w:r>
        <w:rPr>
          <w:rFonts w:ascii="宋体" w:hAnsi="宋体" w:eastAsia="宋体"/>
          <w:b w:val="0"/>
          <w:sz w:val="22"/>
        </w:rPr>
        <w:t>：针对使用周期短的图书按月或按学期租赁。押金与损耗条款：押金=图书售价的80%；逾期按0.5元/日计；归还时按AI复核定级，污损较出借时降一级的按差价从押金扣除，丢失的按押金全额扣除。</w:t>
      </w:r>
    </w:p>
    <w:p w14:paraId="4FC91BF4">
      <w:pPr>
        <w:spacing w:after="120"/>
      </w:pPr>
      <w:r>
        <w:rPr>
          <w:rFonts w:ascii="宋体" w:hAnsi="宋体" w:eastAsia="宋体"/>
          <w:b/>
          <w:sz w:val="22"/>
        </w:rPr>
        <w:t>4.2.3 校园广告与品牌赞助</w:t>
      </w:r>
      <w:r>
        <w:rPr>
          <w:rFonts w:ascii="宋体" w:hAnsi="宋体" w:eastAsia="宋体"/>
          <w:b w:val="0"/>
          <w:sz w:val="22"/>
        </w:rPr>
        <w:t>：用户规模稳定后，在符合学校管理要求的前提下，为文具、打印、校园服务等品牌提供广告或活动赞助。广告业务不作为早期主要收入来源。</w:t>
      </w:r>
    </w:p>
    <w:p w14:paraId="000D551F">
      <w:pPr>
        <w:spacing w:after="120"/>
      </w:pPr>
      <w:r>
        <w:rPr>
          <w:rFonts w:ascii="宋体" w:hAnsi="宋体" w:eastAsia="宋体"/>
          <w:b/>
          <w:sz w:val="22"/>
        </w:rPr>
        <w:t>4.2.4 ESG数据服务与企业合作</w:t>
      </w:r>
      <w:r>
        <w:rPr>
          <w:rFonts w:ascii="宋体" w:hAnsi="宋体" w:eastAsia="宋体"/>
          <w:b w:val="0"/>
          <w:sz w:val="22"/>
        </w:rPr>
        <w:t>：记录图书流转数量、回收重量、公益捐赠数量等可核验指标，为企业校园公益或ESG项目提供数据化展示；碳减排量依据10.1节LCA方法学计算后对外使用。</w:t>
      </w:r>
    </w:p>
    <w:p w14:paraId="41B205E1">
      <w:pPr>
        <w:pStyle w:val="4"/>
      </w:pPr>
      <w:bookmarkStart w:id="25" w:name="_Toc10141"/>
      <w:r>
        <w:rPr>
          <w:rFonts w:ascii="微软雅黑" w:hAnsi="微软雅黑" w:eastAsia="微软雅黑"/>
          <w:b/>
          <w:color w:val="000000"/>
          <w:sz w:val="28"/>
        </w:rPr>
        <w:t>4.3 单体经济模型（UE）与盈亏平衡测算</w:t>
      </w:r>
      <w:bookmarkEnd w:id="25"/>
    </w:p>
    <w:p w14:paraId="2B7EC32C">
      <w:pPr>
        <w:spacing w:after="120"/>
      </w:pPr>
      <w:r>
        <w:rPr>
          <w:rFonts w:ascii="楷体" w:hAnsi="楷体" w:eastAsia="楷体"/>
          <w:b w:val="0"/>
          <w:color w:val="804000"/>
          <w:sz w:val="19"/>
        </w:rPr>
        <w:t>注：以下为本计划书核心测算模型，数字为示例/目标情景，正式版须以试点实测数据校准。</w:t>
      </w:r>
    </w:p>
    <w:p w14:paraId="68D4E487">
      <w:pPr>
        <w:spacing w:after="120"/>
      </w:pPr>
      <w:r>
        <w:rPr>
          <w:rFonts w:ascii="宋体" w:hAnsi="宋体" w:eastAsia="宋体"/>
          <w:b/>
          <w:sz w:val="22"/>
        </w:rPr>
        <w:t>（1）单本图书UE：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7F682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694D40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成本/收入项</w:t>
            </w:r>
          </w:p>
        </w:tc>
        <w:tc>
          <w:tcPr>
            <w:tcW w:w="2880" w:type="dxa"/>
          </w:tcPr>
          <w:p w14:paraId="5BF398A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金额（元）</w:t>
            </w:r>
          </w:p>
        </w:tc>
        <w:tc>
          <w:tcPr>
            <w:tcW w:w="2880" w:type="dxa"/>
          </w:tcPr>
          <w:p w14:paraId="25F865B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说明</w:t>
            </w:r>
          </w:p>
        </w:tc>
      </w:tr>
      <w:tr w14:paraId="443565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4C9C5A1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回收成本</w:t>
            </w:r>
          </w:p>
        </w:tc>
        <w:tc>
          <w:tcPr>
            <w:tcW w:w="2880" w:type="dxa"/>
          </w:tcPr>
          <w:p w14:paraId="31F8387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2.5</w:t>
            </w:r>
          </w:p>
        </w:tc>
        <w:tc>
          <w:tcPr>
            <w:tcW w:w="2880" w:type="dxa"/>
          </w:tcPr>
          <w:p w14:paraId="3FBEA11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按品相与教材需求综合定价</w:t>
            </w:r>
          </w:p>
        </w:tc>
      </w:tr>
      <w:tr w14:paraId="15A42B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490F722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质检、消毒与仓储</w:t>
            </w:r>
          </w:p>
        </w:tc>
        <w:tc>
          <w:tcPr>
            <w:tcW w:w="2880" w:type="dxa"/>
          </w:tcPr>
          <w:p w14:paraId="503750C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1.0</w:t>
            </w:r>
          </w:p>
        </w:tc>
        <w:tc>
          <w:tcPr>
            <w:tcW w:w="2880" w:type="dxa"/>
          </w:tcPr>
          <w:p w14:paraId="6FE6D37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含耗材分摊</w:t>
            </w:r>
          </w:p>
        </w:tc>
      </w:tr>
      <w:tr w14:paraId="5C1645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75EDF72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包装与校园配送</w:t>
            </w:r>
          </w:p>
        </w:tc>
        <w:tc>
          <w:tcPr>
            <w:tcW w:w="2880" w:type="dxa"/>
          </w:tcPr>
          <w:p w14:paraId="04E90B0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1.5</w:t>
            </w:r>
          </w:p>
        </w:tc>
        <w:tc>
          <w:tcPr>
            <w:tcW w:w="2880" w:type="dxa"/>
          </w:tcPr>
          <w:p w14:paraId="7CAE772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集中配送摊薄</w:t>
            </w:r>
          </w:p>
        </w:tc>
      </w:tr>
      <w:tr w14:paraId="1E7945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ACA974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单本总成本</w:t>
            </w:r>
          </w:p>
        </w:tc>
        <w:tc>
          <w:tcPr>
            <w:tcW w:w="2880" w:type="dxa"/>
          </w:tcPr>
          <w:p w14:paraId="57E5ABB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5.0</w:t>
            </w:r>
          </w:p>
        </w:tc>
        <w:tc>
          <w:tcPr>
            <w:tcW w:w="2880" w:type="dxa"/>
          </w:tcPr>
          <w:p w14:paraId="7724E6A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</w:tr>
      <w:tr w14:paraId="57BDC8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566687A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二手平均售价</w:t>
            </w:r>
          </w:p>
        </w:tc>
        <w:tc>
          <w:tcPr>
            <w:tcW w:w="2880" w:type="dxa"/>
          </w:tcPr>
          <w:p w14:paraId="31B772F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12.0</w:t>
            </w:r>
          </w:p>
        </w:tc>
        <w:tc>
          <w:tcPr>
            <w:tcW w:w="2880" w:type="dxa"/>
          </w:tcPr>
          <w:p w14:paraId="088CE70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约为新书的3-5折</w:t>
            </w:r>
          </w:p>
        </w:tc>
      </w:tr>
      <w:tr w14:paraId="6E28B7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C8482A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单本毛利 / 毛利率</w:t>
            </w:r>
          </w:p>
        </w:tc>
        <w:tc>
          <w:tcPr>
            <w:tcW w:w="2880" w:type="dxa"/>
          </w:tcPr>
          <w:p w14:paraId="41B093F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7.0 / 58.3%</w:t>
            </w:r>
          </w:p>
        </w:tc>
        <w:tc>
          <w:tcPr>
            <w:tcW w:w="2880" w:type="dxa"/>
          </w:tcPr>
          <w:p w14:paraId="7B86AD6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核心盈利单元</w:t>
            </w:r>
          </w:p>
        </w:tc>
      </w:tr>
    </w:tbl>
    <w:p w14:paraId="24946755">
      <w:pPr>
        <w:spacing w:after="40"/>
      </w:pPr>
    </w:p>
    <w:p w14:paraId="4190E4EA">
      <w:pPr>
        <w:spacing w:after="120"/>
      </w:pPr>
      <w:r>
        <w:rPr>
          <w:rFonts w:ascii="宋体" w:hAnsi="宋体" w:eastAsia="宋体"/>
          <w:b/>
          <w:sz w:val="22"/>
        </w:rPr>
        <w:t>（2）单柜UE与回本周期：</w:t>
      </w:r>
      <w:r>
        <w:rPr>
          <w:rFonts w:ascii="宋体" w:hAnsi="宋体" w:eastAsia="宋体"/>
          <w:b w:val="0"/>
          <w:sz w:val="22"/>
        </w:rPr>
        <w:t>单柜硬件+安装约2.0万元（按3年折旧）；日均吞吐约25册、月回收约750册，按综合售出率62.6%测算月成交约469册，月毛利贡献约3,287元，扣除柜体运维约300元后月净贡献约2,987元，</w:t>
      </w:r>
      <w:r>
        <w:rPr>
          <w:rFonts w:ascii="宋体" w:hAnsi="宋体" w:eastAsia="宋体"/>
          <w:b/>
          <w:sz w:val="22"/>
        </w:rPr>
        <w:t>静态回本周期约6.7个月</w:t>
      </w:r>
      <w:r>
        <w:rPr>
          <w:rFonts w:ascii="宋体" w:hAnsi="宋体" w:eastAsia="宋体"/>
          <w:b w:val="0"/>
          <w:sz w:val="22"/>
        </w:rPr>
        <w:t>。</w:t>
      </w:r>
    </w:p>
    <w:p w14:paraId="1AF7D404">
      <w:pPr>
        <w:spacing w:after="120"/>
      </w:pPr>
      <w:r>
        <w:rPr>
          <w:rFonts w:ascii="宋体" w:hAnsi="宋体" w:eastAsia="宋体"/>
          <w:b/>
          <w:sz w:val="22"/>
        </w:rPr>
        <w:t>（3）单校盈亏平衡：</w:t>
      </w:r>
      <w:r>
        <w:rPr>
          <w:rFonts w:ascii="宋体" w:hAnsi="宋体" w:eastAsia="宋体"/>
          <w:b w:val="0"/>
          <w:sz w:val="22"/>
        </w:rPr>
        <w:t>单校月固定成本约1.3万元（仓储0.2万、人力0.6万、平台运维0.15万、推广0.2万、其他0.15万），除以单本毛利7.0元，</w:t>
      </w:r>
      <w:r>
        <w:rPr>
          <w:rFonts w:ascii="宋体" w:hAnsi="宋体" w:eastAsia="宋体"/>
          <w:b/>
          <w:sz w:val="22"/>
        </w:rPr>
        <w:t>盈亏平衡月销量约1,858册（日均成交约62册）</w:t>
      </w:r>
      <w:r>
        <w:rPr>
          <w:rFonts w:ascii="宋体" w:hAnsi="宋体" w:eastAsia="宋体"/>
          <w:b w:val="0"/>
          <w:sz w:val="22"/>
        </w:rPr>
        <w:t>；试点2周日均成交约53册（示例），随开学季运营爬坡可触达平衡点。</w:t>
      </w:r>
    </w:p>
    <w:p w14:paraId="216C3D76">
      <w:pPr>
        <w:pStyle w:val="4"/>
      </w:pPr>
      <w:bookmarkStart w:id="26" w:name="_Toc23593"/>
      <w:r>
        <w:rPr>
          <w:rFonts w:ascii="微软雅黑" w:hAnsi="微软雅黑" w:eastAsia="微软雅黑"/>
          <w:b/>
          <w:color w:val="000000"/>
          <w:sz w:val="28"/>
        </w:rPr>
        <w:t>4.4 定价策略</w:t>
      </w:r>
      <w:bookmarkEnd w:id="26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63EA1F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</w:tcPr>
          <w:p w14:paraId="5F583BC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业务</w:t>
            </w:r>
          </w:p>
        </w:tc>
        <w:tc>
          <w:tcPr>
            <w:tcW w:w="2880" w:type="dxa"/>
          </w:tcPr>
          <w:p w14:paraId="09AB165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定价逻辑</w:t>
            </w:r>
          </w:p>
        </w:tc>
        <w:tc>
          <w:tcPr>
            <w:tcW w:w="2880" w:type="dxa"/>
          </w:tcPr>
          <w:p w14:paraId="5F85937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关键指标</w:t>
            </w:r>
          </w:p>
        </w:tc>
      </w:tr>
      <w:tr w14:paraId="1C4BD0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00F7985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回收</w:t>
            </w:r>
          </w:p>
        </w:tc>
        <w:tc>
          <w:tcPr>
            <w:tcW w:w="2880" w:type="dxa"/>
          </w:tcPr>
          <w:p w14:paraId="49E357B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品相系数×供需系数动态定价</w:t>
            </w:r>
          </w:p>
        </w:tc>
        <w:tc>
          <w:tcPr>
            <w:tcW w:w="2880" w:type="dxa"/>
          </w:tcPr>
          <w:p w14:paraId="5DB7C9D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单位回收成本</w:t>
            </w:r>
          </w:p>
        </w:tc>
      </w:tr>
      <w:tr w14:paraId="46F5AA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BDBE1C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销售</w:t>
            </w:r>
          </w:p>
        </w:tc>
        <w:tc>
          <w:tcPr>
            <w:tcW w:w="2880" w:type="dxa"/>
          </w:tcPr>
          <w:p w14:paraId="7594458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新书价格×折扣系数×品相系数×时效系数</w:t>
            </w:r>
          </w:p>
        </w:tc>
        <w:tc>
          <w:tcPr>
            <w:tcW w:w="2880" w:type="dxa"/>
          </w:tcPr>
          <w:p w14:paraId="56C0B8C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单本毛利率</w:t>
            </w:r>
          </w:p>
        </w:tc>
      </w:tr>
      <w:tr w14:paraId="6109BF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782618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租赁</w:t>
            </w:r>
          </w:p>
        </w:tc>
        <w:tc>
          <w:tcPr>
            <w:tcW w:w="2880" w:type="dxa"/>
          </w:tcPr>
          <w:p w14:paraId="678A7CA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按月/学期计费+押金机制</w:t>
            </w:r>
          </w:p>
        </w:tc>
        <w:tc>
          <w:tcPr>
            <w:tcW w:w="2880" w:type="dxa"/>
          </w:tcPr>
          <w:p w14:paraId="1E051DC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租赁周转率</w:t>
            </w:r>
          </w:p>
        </w:tc>
      </w:tr>
      <w:tr w14:paraId="6C2334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9DBC33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上门回收</w:t>
            </w:r>
          </w:p>
        </w:tc>
        <w:tc>
          <w:tcPr>
            <w:tcW w:w="2880" w:type="dxa"/>
          </w:tcPr>
          <w:p w14:paraId="3D786A0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基础服务免费，按距离/数量设规则</w:t>
            </w:r>
          </w:p>
        </w:tc>
        <w:tc>
          <w:tcPr>
            <w:tcW w:w="2880" w:type="dxa"/>
          </w:tcPr>
          <w:p w14:paraId="0E5305D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单次履约成本</w:t>
            </w:r>
          </w:p>
        </w:tc>
      </w:tr>
      <w:tr w14:paraId="5DC2D1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0D41BB1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广告/赞助</w:t>
            </w:r>
          </w:p>
        </w:tc>
        <w:tc>
          <w:tcPr>
            <w:tcW w:w="2880" w:type="dxa"/>
          </w:tcPr>
          <w:p w14:paraId="4D1F479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按曝光、活动场次或合作周期报价</w:t>
            </w:r>
          </w:p>
        </w:tc>
        <w:tc>
          <w:tcPr>
            <w:tcW w:w="2880" w:type="dxa"/>
          </w:tcPr>
          <w:p w14:paraId="1A5CB04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获客/广告收入</w:t>
            </w:r>
          </w:p>
        </w:tc>
      </w:tr>
    </w:tbl>
    <w:p w14:paraId="38000E09">
      <w:pPr>
        <w:spacing w:after="40"/>
      </w:pPr>
    </w:p>
    <w:p w14:paraId="37D83FCE">
      <w:pPr>
        <w:pStyle w:val="4"/>
      </w:pPr>
      <w:bookmarkStart w:id="27" w:name="_Toc19786"/>
      <w:r>
        <w:rPr>
          <w:rFonts w:ascii="微软雅黑" w:hAnsi="微软雅黑" w:eastAsia="微软雅黑"/>
          <w:b/>
          <w:color w:val="000000"/>
          <w:sz w:val="28"/>
        </w:rPr>
        <w:t>4.5 渠道与合作伙伴</w:t>
      </w:r>
      <w:bookmarkEnd w:id="27"/>
    </w:p>
    <w:p w14:paraId="3764E158">
      <w:pPr>
        <w:spacing w:after="120"/>
      </w:pPr>
      <w:r>
        <w:rPr>
          <w:rFonts w:ascii="宋体" w:hAnsi="宋体" w:eastAsia="宋体"/>
          <w:b/>
          <w:sz w:val="22"/>
        </w:rPr>
        <w:t>校园进驻路径（重点强化）：</w:t>
      </w:r>
      <w:r>
        <w:rPr>
          <w:rFonts w:ascii="宋体" w:hAnsi="宋体" w:eastAsia="宋体"/>
          <w:b w:val="0"/>
          <w:sz w:val="22"/>
        </w:rPr>
        <w:t>以"联合校团委举办毕业季绿色离校官方活动"为切入口，由后勤处/物业出具场地与电源使用授权，图书馆合作开展图书漂流，形成官方背书后自然进入宿舍区与教学区布点。</w:t>
      </w:r>
    </w:p>
    <w:p w14:paraId="0C470339">
      <w:pPr>
        <w:spacing w:after="60"/>
      </w:pPr>
      <w:r>
        <w:rPr>
          <w:rFonts w:ascii="宋体" w:hAnsi="宋体" w:eastAsia="宋体"/>
          <w:b/>
          <w:sz w:val="22"/>
        </w:rPr>
        <w:t>高校</w:t>
      </w:r>
      <w:r>
        <w:rPr>
          <w:rFonts w:ascii="宋体" w:hAnsi="宋体" w:eastAsia="宋体"/>
          <w:b w:val="0"/>
          <w:sz w:val="22"/>
        </w:rPr>
        <w:t>：图书馆、后勤、团委、学生处、学院等。</w:t>
      </w:r>
    </w:p>
    <w:p w14:paraId="6AD88CAF">
      <w:pPr>
        <w:spacing w:after="60"/>
      </w:pPr>
      <w:r>
        <w:rPr>
          <w:rFonts w:ascii="宋体" w:hAnsi="宋体" w:eastAsia="宋体"/>
          <w:b/>
          <w:sz w:val="22"/>
        </w:rPr>
        <w:t>校园组织</w:t>
      </w:r>
      <w:r>
        <w:rPr>
          <w:rFonts w:ascii="宋体" w:hAnsi="宋体" w:eastAsia="宋体"/>
          <w:b w:val="0"/>
          <w:sz w:val="22"/>
        </w:rPr>
        <w:t>：学生会、青年志愿者协会、环保社团。</w:t>
      </w:r>
    </w:p>
    <w:p w14:paraId="3FD778BD">
      <w:pPr>
        <w:spacing w:after="60"/>
      </w:pPr>
      <w:r>
        <w:rPr>
          <w:rFonts w:ascii="宋体" w:hAnsi="宋体" w:eastAsia="宋体"/>
          <w:b/>
          <w:sz w:val="22"/>
        </w:rPr>
        <w:t>供应链</w:t>
      </w:r>
      <w:r>
        <w:rPr>
          <w:rFonts w:ascii="宋体" w:hAnsi="宋体" w:eastAsia="宋体"/>
          <w:b w:val="0"/>
          <w:sz w:val="22"/>
        </w:rPr>
        <w:t>：二手图书渠道、包装材料、仓储和物流服务商。</w:t>
      </w:r>
    </w:p>
    <w:p w14:paraId="1EE30CA1">
      <w:pPr>
        <w:spacing w:after="60"/>
      </w:pPr>
      <w:r>
        <w:rPr>
          <w:rFonts w:ascii="宋体" w:hAnsi="宋体" w:eastAsia="宋体"/>
          <w:b/>
          <w:sz w:val="22"/>
        </w:rPr>
        <w:t>公益机构</w:t>
      </w:r>
      <w:r>
        <w:rPr>
          <w:rFonts w:ascii="宋体" w:hAnsi="宋体" w:eastAsia="宋体"/>
          <w:b w:val="0"/>
          <w:sz w:val="22"/>
        </w:rPr>
        <w:t>：开展图书捐赠与公益阅读项目。</w:t>
      </w:r>
    </w:p>
    <w:p w14:paraId="55B526EA">
      <w:pPr>
        <w:spacing w:after="60"/>
      </w:pPr>
      <w:r>
        <w:rPr>
          <w:rFonts w:ascii="宋体" w:hAnsi="宋体" w:eastAsia="宋体"/>
          <w:b/>
          <w:sz w:val="22"/>
        </w:rPr>
        <w:t>企业</w:t>
      </w:r>
      <w:r>
        <w:rPr>
          <w:rFonts w:ascii="宋体" w:hAnsi="宋体" w:eastAsia="宋体"/>
          <w:b w:val="0"/>
          <w:sz w:val="22"/>
        </w:rPr>
        <w:t>：环保、文具、教育服务及校园消费品牌。</w:t>
      </w:r>
    </w:p>
    <w:p w14:paraId="4F5EDC06">
      <w:pPr>
        <w:spacing w:after="120"/>
      </w:pPr>
      <w:r>
        <w:rPr>
          <w:rFonts w:ascii="楷体" w:hAnsi="楷体" w:eastAsia="楷体"/>
          <w:b w:val="0"/>
          <w:color w:val="804000"/>
          <w:sz w:val="19"/>
        </w:rPr>
        <w:t>附录C须附：校企合作意向书、社团合作备忘录或创业园区入驻协议（至少1份真实凭证）。</w:t>
      </w:r>
    </w:p>
    <w:p w14:paraId="1FB1B6AF">
      <w:pPr>
        <w:pStyle w:val="3"/>
      </w:pPr>
      <w:bookmarkStart w:id="28" w:name="_Toc18632"/>
      <w:r>
        <w:rPr>
          <w:rFonts w:ascii="微软雅黑" w:hAnsi="微软雅黑" w:eastAsia="微软雅黑"/>
          <w:b/>
          <w:color w:val="1F3B63"/>
          <w:sz w:val="32"/>
        </w:rPr>
        <w:t>第五章 运营与营销策略</w:t>
      </w:r>
      <w:bookmarkEnd w:id="28"/>
    </w:p>
    <w:p w14:paraId="619940EF">
      <w:pPr>
        <w:pStyle w:val="4"/>
      </w:pPr>
      <w:bookmarkStart w:id="29" w:name="_Toc14365"/>
      <w:r>
        <w:rPr>
          <w:rFonts w:ascii="微软雅黑" w:hAnsi="微软雅黑" w:eastAsia="微软雅黑"/>
          <w:b/>
          <w:color w:val="000000"/>
          <w:sz w:val="28"/>
        </w:rPr>
        <w:t>5.1 市场定位与目标客户细分</w:t>
      </w:r>
      <w:bookmarkEnd w:id="29"/>
    </w:p>
    <w:p w14:paraId="049411BE">
      <w:pPr>
        <w:spacing w:after="120"/>
      </w:pPr>
      <w:r>
        <w:rPr>
          <w:rFonts w:ascii="宋体" w:hAnsi="宋体" w:eastAsia="宋体"/>
          <w:b w:val="0"/>
          <w:sz w:val="22"/>
        </w:rPr>
        <w:t>项目初期定位为"高校校园二手教材与图书循环服务平台"，优先服务教材周期性需求强的专业院校和学生规模大的高校。先做单校深度运营，再复制到其他学校。</w:t>
      </w:r>
    </w:p>
    <w:p w14:paraId="419187C3">
      <w:pPr>
        <w:pStyle w:val="4"/>
      </w:pPr>
      <w:bookmarkStart w:id="30" w:name="_Toc6501"/>
      <w:r>
        <w:rPr>
          <w:rFonts w:ascii="微软雅黑" w:hAnsi="微软雅黑" w:eastAsia="微软雅黑"/>
          <w:b/>
          <w:color w:val="000000"/>
          <w:sz w:val="28"/>
        </w:rPr>
        <w:t>5.2 品牌推广与用户引流策略（含CAC与留存）</w:t>
      </w:r>
      <w:bookmarkEnd w:id="30"/>
    </w:p>
    <w:p w14:paraId="7554A2B1">
      <w:pPr>
        <w:spacing w:after="120"/>
      </w:pPr>
      <w:r>
        <w:rPr>
          <w:rFonts w:ascii="宋体" w:hAnsi="宋体" w:eastAsia="宋体"/>
          <w:b/>
          <w:sz w:val="22"/>
        </w:rPr>
        <w:t>获客成本与留存目标（示例目标值）：</w:t>
      </w:r>
      <w:r>
        <w:rPr>
          <w:rFonts w:ascii="宋体" w:hAnsi="宋体" w:eastAsia="宋体"/>
          <w:b w:val="0"/>
          <w:sz w:val="22"/>
        </w:rPr>
        <w:t>注册获客成本CAC≤8元/人（校园大使地推+社群裂变为主）；次月留存率目标≥45%，毕业季用户向开学季买书用户的转化率目标≥30%。</w:t>
      </w:r>
    </w:p>
    <w:p w14:paraId="32CD5C94">
      <w:pPr>
        <w:spacing w:after="120"/>
      </w:pPr>
      <w:r>
        <w:rPr>
          <w:rFonts w:ascii="宋体" w:hAnsi="宋体" w:eastAsia="宋体"/>
          <w:b/>
          <w:sz w:val="22"/>
        </w:rPr>
        <w:t>第一阶段：毕业季</w:t>
      </w:r>
      <w:r>
        <w:rPr>
          <w:rFonts w:ascii="宋体" w:hAnsi="宋体" w:eastAsia="宋体"/>
          <w:b w:val="0"/>
          <w:sz w:val="22"/>
        </w:rPr>
        <w:t>——开展"旧书换绿植/环保袋"活动建立首批库存；通过班级群、宿舍区和学院组织定向推广；重点解决"书多、搬运难、处理麻烦"的卖方问题。</w:t>
      </w:r>
    </w:p>
    <w:p w14:paraId="213DD309">
      <w:pPr>
        <w:spacing w:after="120"/>
      </w:pPr>
      <w:r>
        <w:rPr>
          <w:rFonts w:ascii="宋体" w:hAnsi="宋体" w:eastAsia="宋体"/>
          <w:b/>
          <w:sz w:val="22"/>
        </w:rPr>
        <w:t>裂变传播路径设计：</w:t>
      </w:r>
      <w:r>
        <w:rPr>
          <w:rFonts w:ascii="宋体" w:hAnsi="宋体" w:eastAsia="宋体"/>
          <w:b w:val="0"/>
          <w:sz w:val="22"/>
        </w:rPr>
        <w:t>旧书换绿植（线下钩子）→ 扫码入小程序领积分 → 邀请同学下单双方得积分 → 积分兑换绿植/文具/购书券 → UGC晒单二次传播。</w:t>
      </w:r>
    </w:p>
    <w:p w14:paraId="1A9FACDA">
      <w:pPr>
        <w:spacing w:after="120"/>
      </w:pPr>
      <w:r>
        <w:rPr>
          <w:rFonts w:ascii="宋体" w:hAnsi="宋体" w:eastAsia="宋体"/>
          <w:b/>
          <w:sz w:val="22"/>
        </w:rPr>
        <w:t>第二阶段：开学季</w:t>
      </w:r>
      <w:r>
        <w:rPr>
          <w:rFonts w:ascii="宋体" w:hAnsi="宋体" w:eastAsia="宋体"/>
          <w:b w:val="0"/>
          <w:sz w:val="22"/>
        </w:rPr>
        <w:t>——推出专业教材组合包或课程教材推荐；通过新生群、学院迎新活动和校园社群推广；重点解决"新书贵、找二手书难"的买方问题。</w:t>
      </w:r>
    </w:p>
    <w:p w14:paraId="72A21C1C">
      <w:pPr>
        <w:spacing w:after="120"/>
      </w:pPr>
      <w:r>
        <w:rPr>
          <w:rFonts w:ascii="宋体" w:hAnsi="宋体" w:eastAsia="宋体"/>
          <w:b/>
          <w:sz w:val="22"/>
        </w:rPr>
        <w:t>第三阶段：日常运营</w:t>
      </w:r>
      <w:r>
        <w:rPr>
          <w:rFonts w:ascii="宋体" w:hAnsi="宋体" w:eastAsia="宋体"/>
          <w:b w:val="0"/>
          <w:sz w:val="22"/>
        </w:rPr>
        <w:t>——联合校团委、青协开展图书漂流和公益捐赠；通过积分、邀请奖励和换书活动提高活跃度；围绕考研、考证、英语等级考试节点建立专题书单。</w:t>
      </w:r>
    </w:p>
    <w:p w14:paraId="58B9BB6C">
      <w:pPr>
        <w:pStyle w:val="4"/>
      </w:pPr>
      <w:bookmarkStart w:id="31" w:name="_Toc10662"/>
      <w:r>
        <w:rPr>
          <w:rFonts w:ascii="微软雅黑" w:hAnsi="微软雅黑" w:eastAsia="微软雅黑"/>
          <w:b/>
          <w:color w:val="000000"/>
          <w:sz w:val="28"/>
        </w:rPr>
        <w:t>5.3 运营计划与时间节点</w:t>
      </w:r>
      <w:bookmarkEnd w:id="31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656EE4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17D8C18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阶段</w:t>
            </w:r>
          </w:p>
        </w:tc>
        <w:tc>
          <w:tcPr>
            <w:tcW w:w="2160" w:type="dxa"/>
          </w:tcPr>
          <w:p w14:paraId="760FC13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周期</w:t>
            </w:r>
          </w:p>
        </w:tc>
        <w:tc>
          <w:tcPr>
            <w:tcW w:w="2160" w:type="dxa"/>
          </w:tcPr>
          <w:p w14:paraId="2319419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重点任务</w:t>
            </w:r>
          </w:p>
        </w:tc>
        <w:tc>
          <w:tcPr>
            <w:tcW w:w="2160" w:type="dxa"/>
          </w:tcPr>
          <w:p w14:paraId="5DD2015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核心指标</w:t>
            </w:r>
          </w:p>
        </w:tc>
      </w:tr>
      <w:tr w14:paraId="28D938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B8F7E1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MVP验证</w:t>
            </w:r>
          </w:p>
        </w:tc>
        <w:tc>
          <w:tcPr>
            <w:tcW w:w="2160" w:type="dxa"/>
          </w:tcPr>
          <w:p w14:paraId="54BAA5D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0-3个月</w:t>
            </w:r>
          </w:p>
        </w:tc>
        <w:tc>
          <w:tcPr>
            <w:tcW w:w="2160" w:type="dxa"/>
          </w:tcPr>
          <w:p w14:paraId="1ED3A02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完成小程序原型、问卷、人工回收点</w:t>
            </w:r>
          </w:p>
        </w:tc>
        <w:tc>
          <w:tcPr>
            <w:tcW w:w="2160" w:type="dxa"/>
          </w:tcPr>
          <w:p w14:paraId="5DE53D1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首批注册用户、回收量、成交量</w:t>
            </w:r>
          </w:p>
        </w:tc>
      </w:tr>
      <w:tr w14:paraId="7C0AE5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214854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单校试点</w:t>
            </w:r>
          </w:p>
        </w:tc>
        <w:tc>
          <w:tcPr>
            <w:tcW w:w="2160" w:type="dxa"/>
          </w:tcPr>
          <w:p w14:paraId="236FF39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4-9个月</w:t>
            </w:r>
          </w:p>
        </w:tc>
        <w:tc>
          <w:tcPr>
            <w:tcW w:w="2160" w:type="dxa"/>
          </w:tcPr>
          <w:p w14:paraId="0B592E3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完善回收与交易流程，建立库存体系</w:t>
            </w:r>
          </w:p>
        </w:tc>
        <w:tc>
          <w:tcPr>
            <w:tcW w:w="2160" w:type="dxa"/>
          </w:tcPr>
          <w:p w14:paraId="1FF4484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月交易额、复购率、库存周转</w:t>
            </w:r>
          </w:p>
        </w:tc>
      </w:tr>
      <w:tr w14:paraId="706F77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20D7A91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校内扩张</w:t>
            </w:r>
          </w:p>
        </w:tc>
        <w:tc>
          <w:tcPr>
            <w:tcW w:w="2160" w:type="dxa"/>
          </w:tcPr>
          <w:p w14:paraId="12936A9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10-18个月</w:t>
            </w:r>
          </w:p>
        </w:tc>
        <w:tc>
          <w:tcPr>
            <w:tcW w:w="2160" w:type="dxa"/>
          </w:tcPr>
          <w:p w14:paraId="0132389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增加回收点/智能柜，扩大用户覆盖</w:t>
            </w:r>
          </w:p>
        </w:tc>
        <w:tc>
          <w:tcPr>
            <w:tcW w:w="2160" w:type="dxa"/>
          </w:tcPr>
          <w:p w14:paraId="0CF1210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用户规模、单校毛利、履约成本</w:t>
            </w:r>
          </w:p>
        </w:tc>
      </w:tr>
      <w:tr w14:paraId="5F1B56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03CEDC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多校复制</w:t>
            </w:r>
          </w:p>
        </w:tc>
        <w:tc>
          <w:tcPr>
            <w:tcW w:w="2160" w:type="dxa"/>
          </w:tcPr>
          <w:p w14:paraId="2B8ED48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19个月以后</w:t>
            </w:r>
          </w:p>
        </w:tc>
        <w:tc>
          <w:tcPr>
            <w:tcW w:w="2160" w:type="dxa"/>
          </w:tcPr>
          <w:p w14:paraId="4B16876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复制运营SOP和技术平台</w:t>
            </w:r>
          </w:p>
        </w:tc>
        <w:tc>
          <w:tcPr>
            <w:tcW w:w="2160" w:type="dxa"/>
          </w:tcPr>
          <w:p w14:paraId="02C2819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覆盖高校数量、单位获客成本</w:t>
            </w:r>
          </w:p>
        </w:tc>
      </w:tr>
    </w:tbl>
    <w:p w14:paraId="0BAFE47D">
      <w:pPr>
        <w:spacing w:after="40"/>
      </w:pPr>
    </w:p>
    <w:p w14:paraId="5BF0DE25">
      <w:pPr>
        <w:pStyle w:val="4"/>
      </w:pPr>
      <w:bookmarkStart w:id="32" w:name="_Toc22215"/>
      <w:r>
        <w:rPr>
          <w:rFonts w:ascii="微软雅黑" w:hAnsi="微软雅黑" w:eastAsia="微软雅黑"/>
          <w:b/>
          <w:color w:val="000000"/>
          <w:sz w:val="28"/>
        </w:rPr>
        <w:t>5.4 关键运营指标体系</w:t>
      </w:r>
      <w:bookmarkEnd w:id="32"/>
    </w:p>
    <w:p w14:paraId="02F8177A">
      <w:pPr>
        <w:spacing w:after="120"/>
      </w:pPr>
      <w:r>
        <w:rPr>
          <w:rFonts w:ascii="宋体" w:hAnsi="宋体" w:eastAsia="宋体"/>
          <w:b/>
          <w:sz w:val="22"/>
        </w:rPr>
        <w:t>北极星指标：月成交册数。</w:t>
      </w:r>
      <w:r>
        <w:rPr>
          <w:rFonts w:ascii="宋体" w:hAnsi="宋体" w:eastAsia="宋体"/>
          <w:b w:val="0"/>
          <w:sz w:val="22"/>
        </w:rPr>
        <w:t>过程指标：月回收量、综合售出率（目标≥60%）、复购率（目标≥30%）、库存周转天数（目标≤30天）、单本履约成本、CAC、次月留存率。</w:t>
      </w:r>
    </w:p>
    <w:p w14:paraId="0C244720">
      <w:pPr>
        <w:pStyle w:val="3"/>
      </w:pPr>
      <w:bookmarkStart w:id="33" w:name="_Toc1828"/>
      <w:r>
        <w:rPr>
          <w:rFonts w:ascii="微软雅黑" w:hAnsi="微软雅黑" w:eastAsia="微软雅黑"/>
          <w:b/>
          <w:color w:val="1F3B63"/>
          <w:sz w:val="32"/>
        </w:rPr>
        <w:t>第六章 供应链与物流体系</w:t>
      </w:r>
      <w:bookmarkEnd w:id="33"/>
    </w:p>
    <w:p w14:paraId="3EC27527">
      <w:pPr>
        <w:pStyle w:val="4"/>
      </w:pPr>
      <w:bookmarkStart w:id="34" w:name="_Toc6783"/>
      <w:r>
        <w:rPr>
          <w:rFonts w:ascii="微软雅黑" w:hAnsi="微软雅黑" w:eastAsia="微软雅黑"/>
          <w:b/>
          <w:color w:val="000000"/>
          <w:sz w:val="28"/>
        </w:rPr>
        <w:t>6.1 校园仓储与智能柜终端布局</w:t>
      </w:r>
      <w:bookmarkEnd w:id="34"/>
    </w:p>
    <w:p w14:paraId="230AA40E">
      <w:pPr>
        <w:spacing w:after="120"/>
      </w:pPr>
      <w:r>
        <w:rPr>
          <w:rFonts w:ascii="宋体" w:hAnsi="宋体" w:eastAsia="宋体"/>
          <w:b w:val="0"/>
          <w:sz w:val="22"/>
        </w:rPr>
        <w:t>项目采用"集中仓储+分布式回收点+按需部署智能柜"模式。前期不追求大量铺设硬件，通过人工回收点验证图书流转密度；达到订单量和库存周转阈值后，再在宿舍区、图书馆等高频位置部署智能柜。</w:t>
      </w:r>
    </w:p>
    <w:p w14:paraId="249CF770">
      <w:pPr>
        <w:pStyle w:val="4"/>
      </w:pPr>
      <w:bookmarkStart w:id="35" w:name="_Toc20487"/>
      <w:r>
        <w:rPr>
          <w:rFonts w:ascii="微软雅黑" w:hAnsi="微软雅黑" w:eastAsia="微软雅黑"/>
          <w:b/>
          <w:color w:val="000000"/>
          <w:sz w:val="28"/>
        </w:rPr>
        <w:t>6.2 旧书回收、质检与整理SOP</w:t>
      </w:r>
      <w:bookmarkEnd w:id="35"/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39138A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  <w:shd w:val="clear" w:color="auto" w:fill="F2F6FC"/>
          </w:tcPr>
          <w:p w14:paraId="0EC1CA0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1F3B63"/>
                <w:sz w:val="20"/>
              </w:rPr>
              <w:t>【图6-1 旧书质检翻新与分类仓储SOP流程（正式版建议绘制流程图）】</w:t>
            </w:r>
          </w:p>
          <w:p w14:paraId="1FFBFF5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回收投递 → 信息登记（ISBN/来源）→ 外观检查 → 缺页/严重破损检查 → AI辅助品相分级+人工复核 → 表面清洁 → 通风干燥 → 合规消毒措施（设备与参数经图书材质安全验证后使用）→ 信息录入 → 动态定价 → 分流：上架销售 / 换书池 / 公益捐赠 / 残次回收处理</w:t>
            </w:r>
          </w:p>
        </w:tc>
      </w:tr>
    </w:tbl>
    <w:p w14:paraId="6FE023DB">
      <w:pPr>
        <w:spacing w:after="40"/>
      </w:pPr>
    </w:p>
    <w:p w14:paraId="497EDF3C">
      <w:pPr>
        <w:spacing w:after="120"/>
      </w:pPr>
      <w:r>
        <w:rPr>
          <w:rFonts w:ascii="宋体" w:hAnsi="宋体" w:eastAsia="宋体"/>
          <w:b w:val="0"/>
          <w:sz w:val="22"/>
        </w:rPr>
        <w:t>说明：原稿"紫外线灭菌"表述已修订为"合规消毒措施"——图书纸张、装订和油墨材料对处理方式存在差异，具体设备与消毒参数需根据供应商说明和安全标准验证后执行。</w:t>
      </w:r>
    </w:p>
    <w:p w14:paraId="69578E79">
      <w:pPr>
        <w:pStyle w:val="4"/>
      </w:pPr>
      <w:bookmarkStart w:id="36" w:name="_Toc2519"/>
      <w:r>
        <w:rPr>
          <w:rFonts w:ascii="微软雅黑" w:hAnsi="微软雅黑" w:eastAsia="微软雅黑"/>
          <w:b/>
          <w:color w:val="000000"/>
          <w:sz w:val="28"/>
        </w:rPr>
        <w:t>6.3 校园逆向物流与末端配送</w:t>
      </w:r>
      <w:bookmarkEnd w:id="36"/>
    </w:p>
    <w:p w14:paraId="7B7CC0DD">
      <w:pPr>
        <w:spacing w:after="60"/>
      </w:pPr>
      <w:r>
        <w:rPr>
          <w:rFonts w:ascii="宋体" w:hAnsi="宋体" w:eastAsia="宋体"/>
          <w:b w:val="0"/>
          <w:sz w:val="22"/>
        </w:rPr>
        <w:t>校园大使+勤工助学团队负责回收点日常维护、基础巡检与集中揽收，人力成本远低于专职配送。</w:t>
      </w:r>
    </w:p>
    <w:p w14:paraId="52428AA5">
      <w:pPr>
        <w:spacing w:after="60"/>
      </w:pPr>
      <w:r>
        <w:rPr>
          <w:rFonts w:ascii="宋体" w:hAnsi="宋体" w:eastAsia="宋体"/>
          <w:b w:val="0"/>
          <w:sz w:val="22"/>
        </w:rPr>
        <w:t>集中回收后按专业、课程和品相分类，高频教材优先校内流转，减少跨区域物流。</w:t>
      </w:r>
    </w:p>
    <w:p w14:paraId="18D91005">
      <w:pPr>
        <w:spacing w:after="60"/>
      </w:pPr>
      <w:r>
        <w:rPr>
          <w:rFonts w:ascii="宋体" w:hAnsi="宋体" w:eastAsia="宋体"/>
          <w:b w:val="0"/>
          <w:sz w:val="22"/>
        </w:rPr>
        <w:t>跨校交易和公益捐赠采用集中批量运输，降低单位物流成本；包装箱循环使用。</w:t>
      </w:r>
    </w:p>
    <w:p w14:paraId="482212FE">
      <w:pPr>
        <w:spacing w:after="60"/>
      </w:pPr>
      <w:r>
        <w:rPr>
          <w:rFonts w:ascii="宋体" w:hAnsi="宋体" w:eastAsia="宋体"/>
          <w:b w:val="0"/>
          <w:sz w:val="22"/>
        </w:rPr>
        <w:t>通过库存预警和调拨机制降低滞销图书积压。</w:t>
      </w:r>
    </w:p>
    <w:p w14:paraId="32F0C624">
      <w:pPr>
        <w:pStyle w:val="3"/>
      </w:pPr>
      <w:bookmarkStart w:id="37" w:name="_Toc4515"/>
      <w:r>
        <w:rPr>
          <w:rFonts w:ascii="微软雅黑" w:hAnsi="微软雅黑" w:eastAsia="微软雅黑"/>
          <w:b/>
          <w:color w:val="1F3B63"/>
          <w:sz w:val="32"/>
        </w:rPr>
        <w:t>第七章 团队介绍</w:t>
      </w:r>
      <w:bookmarkEnd w:id="37"/>
    </w:p>
    <w:p w14:paraId="53A0F8E7">
      <w:pPr>
        <w:pStyle w:val="4"/>
      </w:pPr>
      <w:bookmarkStart w:id="38" w:name="_Toc19769"/>
      <w:r>
        <w:rPr>
          <w:rFonts w:ascii="微软雅黑" w:hAnsi="微软雅黑" w:eastAsia="微软雅黑"/>
          <w:b/>
          <w:color w:val="000000"/>
          <w:sz w:val="28"/>
        </w:rPr>
        <w:t>7.1 核心团队成员</w:t>
      </w:r>
      <w:bookmarkEnd w:id="38"/>
    </w:p>
    <w:p w14:paraId="262A9D05">
      <w:pPr>
        <w:spacing w:after="120"/>
      </w:pPr>
      <w:r>
        <w:rPr>
          <w:rFonts w:ascii="楷体" w:hAnsi="楷体" w:eastAsia="楷体"/>
          <w:b w:val="0"/>
          <w:color w:val="804000"/>
          <w:sz w:val="19"/>
        </w:rPr>
        <w:t>注：成员背景为示例写法，正式版须填写真实信息并附证书、获奖证明扫描件。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5CFB75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37A52F0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岗位</w:t>
            </w:r>
          </w:p>
        </w:tc>
        <w:tc>
          <w:tcPr>
            <w:tcW w:w="2160" w:type="dxa"/>
          </w:tcPr>
          <w:p w14:paraId="4ED2B69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主要职责</w:t>
            </w:r>
          </w:p>
        </w:tc>
        <w:tc>
          <w:tcPr>
            <w:tcW w:w="2160" w:type="dxa"/>
          </w:tcPr>
          <w:p w14:paraId="65A291E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核心能力</w:t>
            </w:r>
          </w:p>
        </w:tc>
        <w:tc>
          <w:tcPr>
            <w:tcW w:w="2160" w:type="dxa"/>
          </w:tcPr>
          <w:p w14:paraId="3203DE5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背景亮点（示例）</w:t>
            </w:r>
          </w:p>
        </w:tc>
      </w:tr>
      <w:tr w14:paraId="1BCA03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D40BAB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项目负责人</w:t>
            </w:r>
          </w:p>
        </w:tc>
        <w:tc>
          <w:tcPr>
            <w:tcW w:w="2160" w:type="dxa"/>
          </w:tcPr>
          <w:p w14:paraId="64C0950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战略规划、资源整合、校企合作、项目管理</w:t>
            </w:r>
          </w:p>
        </w:tc>
        <w:tc>
          <w:tcPr>
            <w:tcW w:w="2160" w:type="dxa"/>
          </w:tcPr>
          <w:p w14:paraId="26447ED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项目管理、沟通协调</w:t>
            </w:r>
          </w:p>
        </w:tc>
        <w:tc>
          <w:tcPr>
            <w:tcW w:w="2160" w:type="dxa"/>
          </w:tcPr>
          <w:p w14:paraId="0590148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曾获省级创新创业大赛奖项，主导校企合作项目2项</w:t>
            </w:r>
          </w:p>
        </w:tc>
      </w:tr>
      <w:tr w14:paraId="20F3DD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F5EF5B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技术负责人</w:t>
            </w:r>
          </w:p>
        </w:tc>
        <w:tc>
          <w:tcPr>
            <w:tcW w:w="2160" w:type="dxa"/>
          </w:tcPr>
          <w:p w14:paraId="3F8BE3A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小程序、后台、AI识别、IoT系统</w:t>
            </w:r>
          </w:p>
        </w:tc>
        <w:tc>
          <w:tcPr>
            <w:tcW w:w="2160" w:type="dxa"/>
          </w:tcPr>
          <w:p w14:paraId="3A0B402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软件开发、数据与算法</w:t>
            </w:r>
          </w:p>
        </w:tc>
        <w:tc>
          <w:tcPr>
            <w:tcW w:w="2160" w:type="dxa"/>
          </w:tcPr>
          <w:p w14:paraId="3E3627E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计算机专业，主导开发校园服务小程序，获软著1项</w:t>
            </w:r>
          </w:p>
        </w:tc>
      </w:tr>
      <w:tr w14:paraId="75A728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8AA7C7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运营负责人</w:t>
            </w:r>
          </w:p>
        </w:tc>
        <w:tc>
          <w:tcPr>
            <w:tcW w:w="2160" w:type="dxa"/>
          </w:tcPr>
          <w:p w14:paraId="407F9FA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校园推广、社群运营、活动和校园大使</w:t>
            </w:r>
          </w:p>
        </w:tc>
        <w:tc>
          <w:tcPr>
            <w:tcW w:w="2160" w:type="dxa"/>
          </w:tcPr>
          <w:p w14:paraId="584580B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用户运营、活动策划</w:t>
            </w:r>
          </w:p>
        </w:tc>
        <w:tc>
          <w:tcPr>
            <w:tcW w:w="2160" w:type="dxa"/>
          </w:tcPr>
          <w:p w14:paraId="5DED24D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校青协部长，组织过千人级校园活动</w:t>
            </w:r>
          </w:p>
        </w:tc>
      </w:tr>
      <w:tr w14:paraId="72EBDC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0D85F4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财务负责人</w:t>
            </w:r>
          </w:p>
        </w:tc>
        <w:tc>
          <w:tcPr>
            <w:tcW w:w="2160" w:type="dxa"/>
          </w:tcPr>
          <w:p w14:paraId="0D1AB51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预算、成本、财务预测、融资材料</w:t>
            </w:r>
          </w:p>
        </w:tc>
        <w:tc>
          <w:tcPr>
            <w:tcW w:w="2160" w:type="dxa"/>
          </w:tcPr>
          <w:p w14:paraId="173306E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财务分析、风险控制</w:t>
            </w:r>
          </w:p>
        </w:tc>
        <w:tc>
          <w:tcPr>
            <w:tcW w:w="2160" w:type="dxa"/>
          </w:tcPr>
          <w:p w14:paraId="5E6D28D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会计学专业，持初级会计专业技术资格</w:t>
            </w:r>
          </w:p>
        </w:tc>
      </w:tr>
    </w:tbl>
    <w:p w14:paraId="35105B6A">
      <w:pPr>
        <w:spacing w:after="40"/>
      </w:pPr>
    </w:p>
    <w:p w14:paraId="3CFD1B05">
      <w:pPr>
        <w:pStyle w:val="4"/>
      </w:pPr>
      <w:bookmarkStart w:id="39" w:name="_Toc2426"/>
      <w:r>
        <w:rPr>
          <w:rFonts w:ascii="微软雅黑" w:hAnsi="微软雅黑" w:eastAsia="微软雅黑"/>
          <w:b/>
          <w:color w:val="000000"/>
          <w:sz w:val="28"/>
        </w:rPr>
        <w:t>7.2 组织架构与部门职责</w:t>
      </w:r>
      <w:bookmarkEnd w:id="39"/>
    </w:p>
    <w:p w14:paraId="5D0903F5">
      <w:pPr>
        <w:spacing w:after="60"/>
      </w:pPr>
      <w:r>
        <w:rPr>
          <w:rFonts w:ascii="宋体" w:hAnsi="宋体" w:eastAsia="宋体"/>
          <w:b/>
          <w:sz w:val="22"/>
        </w:rPr>
        <w:t>产品技术组</w:t>
      </w:r>
      <w:r>
        <w:rPr>
          <w:rFonts w:ascii="宋体" w:hAnsi="宋体" w:eastAsia="宋体"/>
          <w:b w:val="0"/>
          <w:sz w:val="22"/>
        </w:rPr>
        <w:t>：平台产品、算法和硬件系统。</w:t>
      </w:r>
    </w:p>
    <w:p w14:paraId="2D8B329C">
      <w:pPr>
        <w:spacing w:after="60"/>
      </w:pPr>
      <w:r>
        <w:rPr>
          <w:rFonts w:ascii="宋体" w:hAnsi="宋体" w:eastAsia="宋体"/>
          <w:b/>
          <w:sz w:val="22"/>
        </w:rPr>
        <w:t>运营市场组</w:t>
      </w:r>
      <w:r>
        <w:rPr>
          <w:rFonts w:ascii="宋体" w:hAnsi="宋体" w:eastAsia="宋体"/>
          <w:b w:val="0"/>
          <w:sz w:val="22"/>
        </w:rPr>
        <w:t>：用户增长、校园活动和合作。</w:t>
      </w:r>
    </w:p>
    <w:p w14:paraId="41DC8FD3">
      <w:pPr>
        <w:spacing w:after="60"/>
      </w:pPr>
      <w:r>
        <w:rPr>
          <w:rFonts w:ascii="宋体" w:hAnsi="宋体" w:eastAsia="宋体"/>
          <w:b/>
          <w:sz w:val="22"/>
        </w:rPr>
        <w:t>供应链组</w:t>
      </w:r>
      <w:r>
        <w:rPr>
          <w:rFonts w:ascii="宋体" w:hAnsi="宋体" w:eastAsia="宋体"/>
          <w:b w:val="0"/>
          <w:sz w:val="22"/>
        </w:rPr>
        <w:t>：回收、质检、仓储、调拨。</w:t>
      </w:r>
    </w:p>
    <w:p w14:paraId="08E47D50">
      <w:pPr>
        <w:spacing w:after="60"/>
      </w:pPr>
      <w:r>
        <w:rPr>
          <w:rFonts w:ascii="宋体" w:hAnsi="宋体" w:eastAsia="宋体"/>
          <w:b/>
          <w:sz w:val="22"/>
        </w:rPr>
        <w:t>财务与合规组</w:t>
      </w:r>
      <w:r>
        <w:rPr>
          <w:rFonts w:ascii="宋体" w:hAnsi="宋体" w:eastAsia="宋体"/>
          <w:b w:val="0"/>
          <w:sz w:val="22"/>
        </w:rPr>
        <w:t>：预算、合同、知识产权、版权和数据合规。</w:t>
      </w:r>
    </w:p>
    <w:p w14:paraId="75D2B051">
      <w:pPr>
        <w:pStyle w:val="4"/>
      </w:pPr>
      <w:bookmarkStart w:id="40" w:name="_Toc4058"/>
      <w:r>
        <w:rPr>
          <w:rFonts w:ascii="微软雅黑" w:hAnsi="微软雅黑" w:eastAsia="微软雅黑"/>
          <w:b/>
          <w:color w:val="000000"/>
          <w:sz w:val="28"/>
        </w:rPr>
        <w:t>7.3 顾问与指导老师团队</w:t>
      </w:r>
      <w:bookmarkEnd w:id="40"/>
    </w:p>
    <w:p w14:paraId="309B9A5C">
      <w:pPr>
        <w:spacing w:after="120"/>
      </w:pPr>
      <w:r>
        <w:rPr>
          <w:rFonts w:ascii="宋体" w:hAnsi="宋体" w:eastAsia="宋体"/>
          <w:b w:val="0"/>
          <w:sz w:val="22"/>
        </w:rPr>
        <w:t>正式参赛时填写真实指导教师、创业导师、技术顾问和校企合作导师，并附聘书或指导证明。</w:t>
      </w:r>
    </w:p>
    <w:p w14:paraId="6EDF0B84">
      <w:pPr>
        <w:pStyle w:val="4"/>
      </w:pPr>
      <w:bookmarkStart w:id="41" w:name="_Toc29375"/>
      <w:r>
        <w:rPr>
          <w:rFonts w:ascii="微软雅黑" w:hAnsi="微软雅黑" w:eastAsia="微软雅黑"/>
          <w:b/>
          <w:color w:val="000000"/>
          <w:sz w:val="28"/>
        </w:rPr>
        <w:t>7.4 团队核心优势与人岗匹配度</w:t>
      </w:r>
      <w:bookmarkEnd w:id="41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374C43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45BBC49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能力项</w:t>
            </w:r>
          </w:p>
        </w:tc>
        <w:tc>
          <w:tcPr>
            <w:tcW w:w="1728" w:type="dxa"/>
          </w:tcPr>
          <w:p w14:paraId="5F20E47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项目负责人</w:t>
            </w:r>
          </w:p>
        </w:tc>
        <w:tc>
          <w:tcPr>
            <w:tcW w:w="1728" w:type="dxa"/>
          </w:tcPr>
          <w:p w14:paraId="5F3ECBA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技术负责人</w:t>
            </w:r>
          </w:p>
        </w:tc>
        <w:tc>
          <w:tcPr>
            <w:tcW w:w="1728" w:type="dxa"/>
          </w:tcPr>
          <w:p w14:paraId="6AA2DB2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运营负责人</w:t>
            </w:r>
          </w:p>
        </w:tc>
        <w:tc>
          <w:tcPr>
            <w:tcW w:w="1728" w:type="dxa"/>
          </w:tcPr>
          <w:p w14:paraId="3E27DBF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财务负责人</w:t>
            </w:r>
          </w:p>
        </w:tc>
      </w:tr>
      <w:tr w14:paraId="200C6C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2AD9037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软件开发/算法</w:t>
            </w:r>
          </w:p>
        </w:tc>
        <w:tc>
          <w:tcPr>
            <w:tcW w:w="1728" w:type="dxa"/>
          </w:tcPr>
          <w:p w14:paraId="14B6062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○</w:t>
            </w:r>
          </w:p>
        </w:tc>
        <w:tc>
          <w:tcPr>
            <w:tcW w:w="1728" w:type="dxa"/>
          </w:tcPr>
          <w:p w14:paraId="15CB0EC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●</w:t>
            </w:r>
          </w:p>
        </w:tc>
        <w:tc>
          <w:tcPr>
            <w:tcW w:w="1728" w:type="dxa"/>
          </w:tcPr>
          <w:p w14:paraId="67A73E8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○</w:t>
            </w:r>
          </w:p>
        </w:tc>
        <w:tc>
          <w:tcPr>
            <w:tcW w:w="1728" w:type="dxa"/>
          </w:tcPr>
          <w:p w14:paraId="55FFF89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</w:tr>
      <w:tr w14:paraId="0E9D0E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0C8B29A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校园运营/活动</w:t>
            </w:r>
          </w:p>
        </w:tc>
        <w:tc>
          <w:tcPr>
            <w:tcW w:w="1728" w:type="dxa"/>
          </w:tcPr>
          <w:p w14:paraId="14672FA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●</w:t>
            </w:r>
          </w:p>
        </w:tc>
        <w:tc>
          <w:tcPr>
            <w:tcW w:w="1728" w:type="dxa"/>
          </w:tcPr>
          <w:p w14:paraId="107FF4E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○</w:t>
            </w:r>
          </w:p>
        </w:tc>
        <w:tc>
          <w:tcPr>
            <w:tcW w:w="1728" w:type="dxa"/>
          </w:tcPr>
          <w:p w14:paraId="04B4C57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●</w:t>
            </w:r>
          </w:p>
        </w:tc>
        <w:tc>
          <w:tcPr>
            <w:tcW w:w="1728" w:type="dxa"/>
          </w:tcPr>
          <w:p w14:paraId="3B84875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○</w:t>
            </w:r>
          </w:p>
        </w:tc>
      </w:tr>
      <w:tr w14:paraId="26DFF0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5CF9781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财务/合规</w:t>
            </w:r>
          </w:p>
        </w:tc>
        <w:tc>
          <w:tcPr>
            <w:tcW w:w="1728" w:type="dxa"/>
          </w:tcPr>
          <w:p w14:paraId="4F62ADF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○</w:t>
            </w:r>
          </w:p>
        </w:tc>
        <w:tc>
          <w:tcPr>
            <w:tcW w:w="1728" w:type="dxa"/>
          </w:tcPr>
          <w:p w14:paraId="42C6A87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  <w:tc>
          <w:tcPr>
            <w:tcW w:w="1728" w:type="dxa"/>
          </w:tcPr>
          <w:p w14:paraId="1F0AA43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○</w:t>
            </w:r>
          </w:p>
        </w:tc>
        <w:tc>
          <w:tcPr>
            <w:tcW w:w="1728" w:type="dxa"/>
          </w:tcPr>
          <w:p w14:paraId="3B2846F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●</w:t>
            </w:r>
          </w:p>
        </w:tc>
      </w:tr>
      <w:tr w14:paraId="62EA2A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374A375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校企资源/沟通</w:t>
            </w:r>
          </w:p>
        </w:tc>
        <w:tc>
          <w:tcPr>
            <w:tcW w:w="1728" w:type="dxa"/>
          </w:tcPr>
          <w:p w14:paraId="65D8366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●</w:t>
            </w:r>
          </w:p>
        </w:tc>
        <w:tc>
          <w:tcPr>
            <w:tcW w:w="1728" w:type="dxa"/>
          </w:tcPr>
          <w:p w14:paraId="64F59FB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○</w:t>
            </w:r>
          </w:p>
        </w:tc>
        <w:tc>
          <w:tcPr>
            <w:tcW w:w="1728" w:type="dxa"/>
          </w:tcPr>
          <w:p w14:paraId="56E0978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●</w:t>
            </w:r>
          </w:p>
        </w:tc>
        <w:tc>
          <w:tcPr>
            <w:tcW w:w="1728" w:type="dxa"/>
          </w:tcPr>
          <w:p w14:paraId="65B96DF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○</w:t>
            </w:r>
          </w:p>
        </w:tc>
      </w:tr>
    </w:tbl>
    <w:p w14:paraId="18FE1409">
      <w:pPr>
        <w:spacing w:after="40"/>
      </w:pPr>
    </w:p>
    <w:p w14:paraId="290BBBE3">
      <w:pPr>
        <w:spacing w:after="120"/>
      </w:pPr>
      <w:r>
        <w:rPr>
          <w:rFonts w:ascii="宋体" w:hAnsi="宋体" w:eastAsia="宋体"/>
          <w:b w:val="0"/>
          <w:sz w:val="22"/>
        </w:rPr>
        <w:t>注：●核心承担，○参与协同。团队突出"技术能力+校园场景理解+运营执行"的组合优势，所有成果以真实项目、证书和证明材料为据。</w:t>
      </w:r>
    </w:p>
    <w:p w14:paraId="2343D527">
      <w:pPr>
        <w:pStyle w:val="3"/>
      </w:pPr>
      <w:bookmarkStart w:id="42" w:name="_Toc12717"/>
      <w:r>
        <w:rPr>
          <w:rFonts w:ascii="微软雅黑" w:hAnsi="微软雅黑" w:eastAsia="微软雅黑"/>
          <w:b/>
          <w:color w:val="1F3B63"/>
          <w:sz w:val="32"/>
        </w:rPr>
        <w:t>第八章 财务规划</w:t>
      </w:r>
      <w:bookmarkEnd w:id="42"/>
    </w:p>
    <w:p w14:paraId="69854B6F">
      <w:pPr>
        <w:pStyle w:val="4"/>
      </w:pPr>
      <w:bookmarkStart w:id="43" w:name="_Toc8449"/>
      <w:r>
        <w:rPr>
          <w:rFonts w:ascii="微软雅黑" w:hAnsi="微软雅黑" w:eastAsia="微软雅黑"/>
          <w:b/>
          <w:color w:val="000000"/>
          <w:sz w:val="28"/>
        </w:rPr>
        <w:t>8.1 融资需求与资金使用</w:t>
      </w:r>
      <w:bookmarkEnd w:id="43"/>
    </w:p>
    <w:p w14:paraId="73D3588C">
      <w:pPr>
        <w:spacing w:after="120"/>
      </w:pPr>
      <w:r>
        <w:rPr>
          <w:rFonts w:ascii="宋体" w:hAnsi="宋体" w:eastAsia="宋体"/>
          <w:b w:val="0"/>
          <w:sz w:val="22"/>
        </w:rPr>
        <w:t>首轮融资目标约30万元，根据硬件采购、平台开发、市场推广和流动资金需求调整。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64CC1E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</w:tcPr>
          <w:p w14:paraId="4C07940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资金用途</w:t>
            </w:r>
          </w:p>
        </w:tc>
        <w:tc>
          <w:tcPr>
            <w:tcW w:w="2880" w:type="dxa"/>
          </w:tcPr>
          <w:p w14:paraId="636C391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建议占比</w:t>
            </w:r>
          </w:p>
        </w:tc>
        <w:tc>
          <w:tcPr>
            <w:tcW w:w="2880" w:type="dxa"/>
          </w:tcPr>
          <w:p w14:paraId="760D54C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主要内容</w:t>
            </w:r>
          </w:p>
        </w:tc>
      </w:tr>
      <w:tr w14:paraId="4EE8C0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E98EAB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产品与技术</w:t>
            </w:r>
          </w:p>
        </w:tc>
        <w:tc>
          <w:tcPr>
            <w:tcW w:w="2880" w:type="dxa"/>
          </w:tcPr>
          <w:p w14:paraId="09BB9A4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25%</w:t>
            </w:r>
          </w:p>
        </w:tc>
        <w:tc>
          <w:tcPr>
            <w:tcW w:w="2880" w:type="dxa"/>
          </w:tcPr>
          <w:p w14:paraId="70E6061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小程序、后台、服务器、基础算法研发</w:t>
            </w:r>
          </w:p>
        </w:tc>
      </w:tr>
      <w:tr w14:paraId="353094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07EDC0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智能硬件试点</w:t>
            </w:r>
          </w:p>
        </w:tc>
        <w:tc>
          <w:tcPr>
            <w:tcW w:w="2880" w:type="dxa"/>
          </w:tcPr>
          <w:p w14:paraId="4B85263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25%</w:t>
            </w:r>
          </w:p>
        </w:tc>
        <w:tc>
          <w:tcPr>
            <w:tcW w:w="2880" w:type="dxa"/>
          </w:tcPr>
          <w:p w14:paraId="325C1FF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回收柜样机、IoT模块、安装调试</w:t>
            </w:r>
          </w:p>
        </w:tc>
      </w:tr>
      <w:tr w14:paraId="42A46A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9DBABC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市场与推广</w:t>
            </w:r>
          </w:p>
        </w:tc>
        <w:tc>
          <w:tcPr>
            <w:tcW w:w="2880" w:type="dxa"/>
          </w:tcPr>
          <w:p w14:paraId="7D8554C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20%</w:t>
            </w:r>
          </w:p>
        </w:tc>
        <w:tc>
          <w:tcPr>
            <w:tcW w:w="2880" w:type="dxa"/>
          </w:tcPr>
          <w:p w14:paraId="7D47A9A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校园活动、物料、用户激励</w:t>
            </w:r>
          </w:p>
        </w:tc>
      </w:tr>
      <w:tr w14:paraId="18C96D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E3FBBC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供应链与仓储</w:t>
            </w:r>
          </w:p>
        </w:tc>
        <w:tc>
          <w:tcPr>
            <w:tcW w:w="2880" w:type="dxa"/>
          </w:tcPr>
          <w:p w14:paraId="013DD3A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15%</w:t>
            </w:r>
          </w:p>
        </w:tc>
        <w:tc>
          <w:tcPr>
            <w:tcW w:w="2880" w:type="dxa"/>
          </w:tcPr>
          <w:p w14:paraId="1EBAA59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仓储、包装、运输、质检</w:t>
            </w:r>
          </w:p>
        </w:tc>
      </w:tr>
      <w:tr w14:paraId="622959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7815ACF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流动资金</w:t>
            </w:r>
          </w:p>
        </w:tc>
        <w:tc>
          <w:tcPr>
            <w:tcW w:w="2880" w:type="dxa"/>
          </w:tcPr>
          <w:p w14:paraId="77B6E88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15%</w:t>
            </w:r>
          </w:p>
        </w:tc>
        <w:tc>
          <w:tcPr>
            <w:tcW w:w="2880" w:type="dxa"/>
          </w:tcPr>
          <w:p w14:paraId="5876BB3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日常运营和风险准备金</w:t>
            </w:r>
          </w:p>
        </w:tc>
      </w:tr>
    </w:tbl>
    <w:p w14:paraId="1DCDA76C">
      <w:pPr>
        <w:spacing w:after="40"/>
      </w:pPr>
    </w:p>
    <w:p w14:paraId="7F769B3C">
      <w:pPr>
        <w:pStyle w:val="4"/>
      </w:pPr>
      <w:bookmarkStart w:id="44" w:name="_Toc26081"/>
      <w:r>
        <w:rPr>
          <w:rFonts w:ascii="微软雅黑" w:hAnsi="微软雅黑" w:eastAsia="微软雅黑"/>
          <w:b/>
          <w:color w:val="000000"/>
          <w:sz w:val="28"/>
        </w:rPr>
        <w:t>8.2 未来3年收入预测</w:t>
      </w:r>
      <w:bookmarkEnd w:id="44"/>
    </w:p>
    <w:p w14:paraId="39A584B8">
      <w:pPr>
        <w:spacing w:after="120"/>
      </w:pPr>
      <w:r>
        <w:rPr>
          <w:rFonts w:ascii="宋体" w:hAnsi="宋体" w:eastAsia="宋体"/>
          <w:b w:val="0"/>
          <w:sz w:val="22"/>
        </w:rPr>
        <w:t>原稿Y1/Y2/Y3数字作为"目标情景"，以单校订单量、客单价、学校数量、毛利率和硬件折旧等假设逐项推导，并采用保守/基准/乐观三情景管理。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7B2A79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65AC721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指标</w:t>
            </w:r>
          </w:p>
        </w:tc>
        <w:tc>
          <w:tcPr>
            <w:tcW w:w="2160" w:type="dxa"/>
          </w:tcPr>
          <w:p w14:paraId="4DCBEAD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Y1 目标情景</w:t>
            </w:r>
          </w:p>
        </w:tc>
        <w:tc>
          <w:tcPr>
            <w:tcW w:w="2160" w:type="dxa"/>
          </w:tcPr>
          <w:p w14:paraId="4EACA21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Y2 目标情景</w:t>
            </w:r>
          </w:p>
        </w:tc>
        <w:tc>
          <w:tcPr>
            <w:tcW w:w="2160" w:type="dxa"/>
          </w:tcPr>
          <w:p w14:paraId="4DE7681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Y3 目标情景</w:t>
            </w:r>
          </w:p>
        </w:tc>
      </w:tr>
      <w:tr w14:paraId="6BA301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0C676C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覆盖高校</w:t>
            </w:r>
          </w:p>
        </w:tc>
        <w:tc>
          <w:tcPr>
            <w:tcW w:w="2160" w:type="dxa"/>
          </w:tcPr>
          <w:p w14:paraId="0DA71C3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2所</w:t>
            </w:r>
          </w:p>
        </w:tc>
        <w:tc>
          <w:tcPr>
            <w:tcW w:w="2160" w:type="dxa"/>
          </w:tcPr>
          <w:p w14:paraId="6E00072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10所</w:t>
            </w:r>
          </w:p>
        </w:tc>
        <w:tc>
          <w:tcPr>
            <w:tcW w:w="2160" w:type="dxa"/>
          </w:tcPr>
          <w:p w14:paraId="7318E8B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35所</w:t>
            </w:r>
          </w:p>
        </w:tc>
      </w:tr>
      <w:tr w14:paraId="66881C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74AC06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营业收入</w:t>
            </w:r>
          </w:p>
        </w:tc>
        <w:tc>
          <w:tcPr>
            <w:tcW w:w="2160" w:type="dxa"/>
          </w:tcPr>
          <w:p w14:paraId="27454F8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12.5万元</w:t>
            </w:r>
          </w:p>
        </w:tc>
        <w:tc>
          <w:tcPr>
            <w:tcW w:w="2160" w:type="dxa"/>
          </w:tcPr>
          <w:p w14:paraId="2629EC7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68万元</w:t>
            </w:r>
          </w:p>
        </w:tc>
        <w:tc>
          <w:tcPr>
            <w:tcW w:w="2160" w:type="dxa"/>
          </w:tcPr>
          <w:p w14:paraId="402A773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240万元</w:t>
            </w:r>
          </w:p>
        </w:tc>
      </w:tr>
      <w:tr w14:paraId="244918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614C879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收入构成（目标）</w:t>
            </w:r>
          </w:p>
        </w:tc>
        <w:tc>
          <w:tcPr>
            <w:tcW w:w="2160" w:type="dxa"/>
          </w:tcPr>
          <w:p w14:paraId="4DED2B9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差价80%/租赁10%/广告5%/其他5%</w:t>
            </w:r>
          </w:p>
        </w:tc>
        <w:tc>
          <w:tcPr>
            <w:tcW w:w="2160" w:type="dxa"/>
          </w:tcPr>
          <w:p w14:paraId="42A3F62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差价75%/租赁12%/广告8%/其他5%</w:t>
            </w:r>
          </w:p>
        </w:tc>
        <w:tc>
          <w:tcPr>
            <w:tcW w:w="2160" w:type="dxa"/>
          </w:tcPr>
          <w:p w14:paraId="2F268AD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差价70%/租赁15%/广告10%/其他5%</w:t>
            </w:r>
          </w:p>
        </w:tc>
      </w:tr>
      <w:tr w14:paraId="71B133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67F7A2D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硬件投入</w:t>
            </w:r>
          </w:p>
        </w:tc>
        <w:tc>
          <w:tcPr>
            <w:tcW w:w="2160" w:type="dxa"/>
          </w:tcPr>
          <w:p w14:paraId="5AEF861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8万元</w:t>
            </w:r>
          </w:p>
        </w:tc>
        <w:tc>
          <w:tcPr>
            <w:tcW w:w="2160" w:type="dxa"/>
          </w:tcPr>
          <w:p w14:paraId="431B2A7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30万元</w:t>
            </w:r>
          </w:p>
        </w:tc>
        <w:tc>
          <w:tcPr>
            <w:tcW w:w="2160" w:type="dxa"/>
          </w:tcPr>
          <w:p w14:paraId="4817BAB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按扩张计划动态投入</w:t>
            </w:r>
          </w:p>
        </w:tc>
      </w:tr>
      <w:tr w14:paraId="784D1D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1D452B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净利润</w:t>
            </w:r>
          </w:p>
        </w:tc>
        <w:tc>
          <w:tcPr>
            <w:tcW w:w="2160" w:type="dxa"/>
          </w:tcPr>
          <w:p w14:paraId="3959250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2.5万元</w:t>
            </w:r>
          </w:p>
        </w:tc>
        <w:tc>
          <w:tcPr>
            <w:tcW w:w="2160" w:type="dxa"/>
          </w:tcPr>
          <w:p w14:paraId="1F96876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26万元</w:t>
            </w:r>
          </w:p>
        </w:tc>
        <w:tc>
          <w:tcPr>
            <w:tcW w:w="2160" w:type="dxa"/>
          </w:tcPr>
          <w:p w14:paraId="0FD152F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105万元</w:t>
            </w:r>
          </w:p>
        </w:tc>
      </w:tr>
    </w:tbl>
    <w:p w14:paraId="77116F95">
      <w:pPr>
        <w:spacing w:after="40"/>
      </w:pPr>
    </w:p>
    <w:p w14:paraId="3BD86B40">
      <w:pPr>
        <w:spacing w:after="120"/>
      </w:pPr>
      <w:r>
        <w:rPr>
          <w:rFonts w:ascii="楷体" w:hAnsi="楷体" w:eastAsia="楷体"/>
          <w:b w:val="0"/>
          <w:color w:val="804000"/>
          <w:sz w:val="19"/>
        </w:rPr>
        <w:t>正式参赛时须附：收入构成明细、单位经济模型、成本明细和现金流测算，并进行敏感性分析（见8.6）。</w:t>
      </w:r>
    </w:p>
    <w:p w14:paraId="54B81478">
      <w:pPr>
        <w:pStyle w:val="4"/>
      </w:pPr>
      <w:bookmarkStart w:id="45" w:name="_Toc22813"/>
      <w:r>
        <w:rPr>
          <w:rFonts w:ascii="微软雅黑" w:hAnsi="微软雅黑" w:eastAsia="微软雅黑"/>
          <w:b/>
          <w:color w:val="000000"/>
          <w:sz w:val="28"/>
        </w:rPr>
        <w:t>8.3 成本与费用预测</w:t>
      </w:r>
      <w:bookmarkEnd w:id="45"/>
    </w:p>
    <w:p w14:paraId="2830134E">
      <w:pPr>
        <w:spacing w:after="60"/>
      </w:pPr>
      <w:r>
        <w:rPr>
          <w:rFonts w:ascii="宋体" w:hAnsi="宋体" w:eastAsia="宋体"/>
          <w:b/>
          <w:sz w:val="22"/>
        </w:rPr>
        <w:t>固定成本</w:t>
      </w:r>
      <w:r>
        <w:rPr>
          <w:rFonts w:ascii="宋体" w:hAnsi="宋体" w:eastAsia="宋体"/>
          <w:b w:val="0"/>
          <w:sz w:val="22"/>
        </w:rPr>
        <w:t>：平台开发维护、仓储基础费用、软件服务和必要的设备折旧。</w:t>
      </w:r>
    </w:p>
    <w:p w14:paraId="6C7812B9">
      <w:pPr>
        <w:spacing w:after="60"/>
      </w:pPr>
      <w:r>
        <w:rPr>
          <w:rFonts w:ascii="宋体" w:hAnsi="宋体" w:eastAsia="宋体"/>
          <w:b/>
          <w:sz w:val="22"/>
        </w:rPr>
        <w:t>变动成本</w:t>
      </w:r>
      <w:r>
        <w:rPr>
          <w:rFonts w:ascii="宋体" w:hAnsi="宋体" w:eastAsia="宋体"/>
          <w:b w:val="0"/>
          <w:sz w:val="22"/>
        </w:rPr>
        <w:t>：图书采购、包装、运输、平台支付手续费和用户激励（合计约为收入的53.7%，含单本成本与履约费用）。</w:t>
      </w:r>
    </w:p>
    <w:p w14:paraId="3914DC54">
      <w:pPr>
        <w:spacing w:after="60"/>
      </w:pPr>
      <w:r>
        <w:rPr>
          <w:rFonts w:ascii="宋体" w:hAnsi="宋体" w:eastAsia="宋体"/>
          <w:b/>
          <w:sz w:val="22"/>
        </w:rPr>
        <w:t>扩张成本</w:t>
      </w:r>
      <w:r>
        <w:rPr>
          <w:rFonts w:ascii="宋体" w:hAnsi="宋体" w:eastAsia="宋体"/>
          <w:b w:val="0"/>
          <w:sz w:val="22"/>
        </w:rPr>
        <w:t>：智能柜采购、安装、维护和新学校市场推广。</w:t>
      </w:r>
    </w:p>
    <w:p w14:paraId="1C796523">
      <w:pPr>
        <w:spacing w:after="60"/>
      </w:pPr>
      <w:r>
        <w:rPr>
          <w:rFonts w:ascii="宋体" w:hAnsi="宋体" w:eastAsia="宋体"/>
          <w:b/>
          <w:sz w:val="22"/>
        </w:rPr>
        <w:t>人工成本</w:t>
      </w:r>
      <w:r>
        <w:rPr>
          <w:rFonts w:ascii="宋体" w:hAnsi="宋体" w:eastAsia="宋体"/>
          <w:b w:val="0"/>
          <w:sz w:val="22"/>
        </w:rPr>
        <w:t>：前期以校园大使、勤工助学和核心团队为主，规模化后逐步引入专职人员。</w:t>
      </w:r>
    </w:p>
    <w:p w14:paraId="598C4ACF">
      <w:pPr>
        <w:pStyle w:val="4"/>
      </w:pPr>
      <w:bookmarkStart w:id="46" w:name="_Toc2691"/>
      <w:r>
        <w:rPr>
          <w:rFonts w:ascii="微软雅黑" w:hAnsi="微软雅黑" w:eastAsia="微软雅黑"/>
          <w:b/>
          <w:color w:val="000000"/>
          <w:sz w:val="28"/>
        </w:rPr>
        <w:t>8.4 利润表与现金流分析</w:t>
      </w:r>
      <w:bookmarkEnd w:id="46"/>
    </w:p>
    <w:p w14:paraId="6FF3269A">
      <w:pPr>
        <w:spacing w:after="120"/>
      </w:pPr>
      <w:r>
        <w:rPr>
          <w:rFonts w:ascii="宋体" w:hAnsi="宋体" w:eastAsia="宋体"/>
          <w:b w:val="0"/>
          <w:sz w:val="22"/>
        </w:rPr>
        <w:t>财务模型按月建立前18个月现金流预测，并按年度形成3-5年财务预测。前18个月分季度现金流目标情景如下（单位：万元）：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 w14:paraId="0AA670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2E02450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季度</w:t>
            </w:r>
          </w:p>
        </w:tc>
        <w:tc>
          <w:tcPr>
            <w:tcW w:w="1234" w:type="dxa"/>
          </w:tcPr>
          <w:p w14:paraId="2E4497F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营业收入</w:t>
            </w:r>
          </w:p>
        </w:tc>
        <w:tc>
          <w:tcPr>
            <w:tcW w:w="1234" w:type="dxa"/>
          </w:tcPr>
          <w:p w14:paraId="748CADB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变动成本</w:t>
            </w:r>
          </w:p>
        </w:tc>
        <w:tc>
          <w:tcPr>
            <w:tcW w:w="1234" w:type="dxa"/>
          </w:tcPr>
          <w:p w14:paraId="43A293C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固定成本</w:t>
            </w:r>
          </w:p>
        </w:tc>
        <w:tc>
          <w:tcPr>
            <w:tcW w:w="1234" w:type="dxa"/>
          </w:tcPr>
          <w:p w14:paraId="11F41C0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硬件投入</w:t>
            </w:r>
          </w:p>
        </w:tc>
        <w:tc>
          <w:tcPr>
            <w:tcW w:w="1234" w:type="dxa"/>
          </w:tcPr>
          <w:p w14:paraId="7CD0B9D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净现金流</w:t>
            </w:r>
          </w:p>
        </w:tc>
        <w:tc>
          <w:tcPr>
            <w:tcW w:w="1234" w:type="dxa"/>
          </w:tcPr>
          <w:p w14:paraId="7428588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期末现金</w:t>
            </w:r>
          </w:p>
        </w:tc>
      </w:tr>
      <w:tr w14:paraId="6D6586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2075D26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Q1</w:t>
            </w:r>
          </w:p>
        </w:tc>
        <w:tc>
          <w:tcPr>
            <w:tcW w:w="1234" w:type="dxa"/>
          </w:tcPr>
          <w:p w14:paraId="2DC4B8E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1.00</w:t>
            </w:r>
          </w:p>
        </w:tc>
        <w:tc>
          <w:tcPr>
            <w:tcW w:w="1234" w:type="dxa"/>
          </w:tcPr>
          <w:p w14:paraId="1FCDCD5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0.54</w:t>
            </w:r>
          </w:p>
        </w:tc>
        <w:tc>
          <w:tcPr>
            <w:tcW w:w="1234" w:type="dxa"/>
          </w:tcPr>
          <w:p w14:paraId="3CAC0EA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3.90</w:t>
            </w:r>
          </w:p>
        </w:tc>
        <w:tc>
          <w:tcPr>
            <w:tcW w:w="1234" w:type="dxa"/>
          </w:tcPr>
          <w:p w14:paraId="3B93FA7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4.00</w:t>
            </w:r>
          </w:p>
        </w:tc>
        <w:tc>
          <w:tcPr>
            <w:tcW w:w="1234" w:type="dxa"/>
          </w:tcPr>
          <w:p w14:paraId="7EB9E63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-7.44</w:t>
            </w:r>
          </w:p>
        </w:tc>
        <w:tc>
          <w:tcPr>
            <w:tcW w:w="1234" w:type="dxa"/>
          </w:tcPr>
          <w:p w14:paraId="4DBD03A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22.56</w:t>
            </w:r>
          </w:p>
        </w:tc>
      </w:tr>
      <w:tr w14:paraId="4BCA1F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7C64A3A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Q2</w:t>
            </w:r>
          </w:p>
        </w:tc>
        <w:tc>
          <w:tcPr>
            <w:tcW w:w="1234" w:type="dxa"/>
          </w:tcPr>
          <w:p w14:paraId="3405956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4.00</w:t>
            </w:r>
          </w:p>
        </w:tc>
        <w:tc>
          <w:tcPr>
            <w:tcW w:w="1234" w:type="dxa"/>
          </w:tcPr>
          <w:p w14:paraId="777FBCE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2.15</w:t>
            </w:r>
          </w:p>
        </w:tc>
        <w:tc>
          <w:tcPr>
            <w:tcW w:w="1234" w:type="dxa"/>
          </w:tcPr>
          <w:p w14:paraId="06597A1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3.90</w:t>
            </w:r>
          </w:p>
        </w:tc>
        <w:tc>
          <w:tcPr>
            <w:tcW w:w="1234" w:type="dxa"/>
          </w:tcPr>
          <w:p w14:paraId="79E596A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4.00</w:t>
            </w:r>
          </w:p>
        </w:tc>
        <w:tc>
          <w:tcPr>
            <w:tcW w:w="1234" w:type="dxa"/>
          </w:tcPr>
          <w:p w14:paraId="74399A9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-6.05</w:t>
            </w:r>
          </w:p>
        </w:tc>
        <w:tc>
          <w:tcPr>
            <w:tcW w:w="1234" w:type="dxa"/>
          </w:tcPr>
          <w:p w14:paraId="5363F7C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16.51</w:t>
            </w:r>
          </w:p>
        </w:tc>
      </w:tr>
      <w:tr w14:paraId="29990A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5BC4373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Q3</w:t>
            </w:r>
          </w:p>
        </w:tc>
        <w:tc>
          <w:tcPr>
            <w:tcW w:w="1234" w:type="dxa"/>
          </w:tcPr>
          <w:p w14:paraId="2D7CC0F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3.50</w:t>
            </w:r>
          </w:p>
        </w:tc>
        <w:tc>
          <w:tcPr>
            <w:tcW w:w="1234" w:type="dxa"/>
          </w:tcPr>
          <w:p w14:paraId="0C59039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1.88</w:t>
            </w:r>
          </w:p>
        </w:tc>
        <w:tc>
          <w:tcPr>
            <w:tcW w:w="1234" w:type="dxa"/>
          </w:tcPr>
          <w:p w14:paraId="43BD54E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3.90</w:t>
            </w:r>
          </w:p>
        </w:tc>
        <w:tc>
          <w:tcPr>
            <w:tcW w:w="1234" w:type="dxa"/>
          </w:tcPr>
          <w:p w14:paraId="00A0E2A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2.00</w:t>
            </w:r>
          </w:p>
        </w:tc>
        <w:tc>
          <w:tcPr>
            <w:tcW w:w="1234" w:type="dxa"/>
          </w:tcPr>
          <w:p w14:paraId="0AB61AF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-4.28</w:t>
            </w:r>
          </w:p>
        </w:tc>
        <w:tc>
          <w:tcPr>
            <w:tcW w:w="1234" w:type="dxa"/>
          </w:tcPr>
          <w:p w14:paraId="11AAA7B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12.23</w:t>
            </w:r>
          </w:p>
        </w:tc>
      </w:tr>
      <w:tr w14:paraId="02125B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4499DD3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Q4</w:t>
            </w:r>
          </w:p>
        </w:tc>
        <w:tc>
          <w:tcPr>
            <w:tcW w:w="1234" w:type="dxa"/>
          </w:tcPr>
          <w:p w14:paraId="3AE7AEA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4.00</w:t>
            </w:r>
          </w:p>
        </w:tc>
        <w:tc>
          <w:tcPr>
            <w:tcW w:w="1234" w:type="dxa"/>
          </w:tcPr>
          <w:p w14:paraId="336ADB7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2.15</w:t>
            </w:r>
          </w:p>
        </w:tc>
        <w:tc>
          <w:tcPr>
            <w:tcW w:w="1234" w:type="dxa"/>
          </w:tcPr>
          <w:p w14:paraId="603959F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4.50</w:t>
            </w:r>
          </w:p>
        </w:tc>
        <w:tc>
          <w:tcPr>
            <w:tcW w:w="1234" w:type="dxa"/>
          </w:tcPr>
          <w:p w14:paraId="1EF66A4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0.00</w:t>
            </w:r>
          </w:p>
        </w:tc>
        <w:tc>
          <w:tcPr>
            <w:tcW w:w="1234" w:type="dxa"/>
          </w:tcPr>
          <w:p w14:paraId="319E4E2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-2.65</w:t>
            </w:r>
          </w:p>
        </w:tc>
        <w:tc>
          <w:tcPr>
            <w:tcW w:w="1234" w:type="dxa"/>
          </w:tcPr>
          <w:p w14:paraId="47E07A9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9.58</w:t>
            </w:r>
          </w:p>
        </w:tc>
      </w:tr>
      <w:tr w14:paraId="6630F8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2BB1680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Q5</w:t>
            </w:r>
          </w:p>
        </w:tc>
        <w:tc>
          <w:tcPr>
            <w:tcW w:w="1234" w:type="dxa"/>
          </w:tcPr>
          <w:p w14:paraId="6C9D36F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12.00</w:t>
            </w:r>
          </w:p>
        </w:tc>
        <w:tc>
          <w:tcPr>
            <w:tcW w:w="1234" w:type="dxa"/>
          </w:tcPr>
          <w:p w14:paraId="5E820DE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6.44</w:t>
            </w:r>
          </w:p>
        </w:tc>
        <w:tc>
          <w:tcPr>
            <w:tcW w:w="1234" w:type="dxa"/>
          </w:tcPr>
          <w:p w14:paraId="6514C0F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4.50</w:t>
            </w:r>
          </w:p>
        </w:tc>
        <w:tc>
          <w:tcPr>
            <w:tcW w:w="1234" w:type="dxa"/>
          </w:tcPr>
          <w:p w14:paraId="73056A6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3.00</w:t>
            </w:r>
          </w:p>
        </w:tc>
        <w:tc>
          <w:tcPr>
            <w:tcW w:w="1234" w:type="dxa"/>
          </w:tcPr>
          <w:p w14:paraId="12A44EB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-1.94</w:t>
            </w:r>
          </w:p>
        </w:tc>
        <w:tc>
          <w:tcPr>
            <w:tcW w:w="1234" w:type="dxa"/>
          </w:tcPr>
          <w:p w14:paraId="2E57052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7.64</w:t>
            </w:r>
          </w:p>
        </w:tc>
      </w:tr>
      <w:tr w14:paraId="575E9D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359296D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Q6</w:t>
            </w:r>
          </w:p>
        </w:tc>
        <w:tc>
          <w:tcPr>
            <w:tcW w:w="1234" w:type="dxa"/>
          </w:tcPr>
          <w:p w14:paraId="444129F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16.00</w:t>
            </w:r>
          </w:p>
        </w:tc>
        <w:tc>
          <w:tcPr>
            <w:tcW w:w="1234" w:type="dxa"/>
          </w:tcPr>
          <w:p w14:paraId="405272D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8.59</w:t>
            </w:r>
          </w:p>
        </w:tc>
        <w:tc>
          <w:tcPr>
            <w:tcW w:w="1234" w:type="dxa"/>
          </w:tcPr>
          <w:p w14:paraId="6DA79D2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4.50</w:t>
            </w:r>
          </w:p>
        </w:tc>
        <w:tc>
          <w:tcPr>
            <w:tcW w:w="1234" w:type="dxa"/>
          </w:tcPr>
          <w:p w14:paraId="5C752BB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0.00</w:t>
            </w:r>
          </w:p>
        </w:tc>
        <w:tc>
          <w:tcPr>
            <w:tcW w:w="1234" w:type="dxa"/>
          </w:tcPr>
          <w:p w14:paraId="004E447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+2.91</w:t>
            </w:r>
          </w:p>
        </w:tc>
        <w:tc>
          <w:tcPr>
            <w:tcW w:w="1234" w:type="dxa"/>
          </w:tcPr>
          <w:p w14:paraId="2D53EB2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10.55</w:t>
            </w:r>
          </w:p>
        </w:tc>
      </w:tr>
    </w:tbl>
    <w:p w14:paraId="47EA8454">
      <w:pPr>
        <w:spacing w:after="40"/>
      </w:pPr>
    </w:p>
    <w:p w14:paraId="5274CBE0">
      <w:pPr>
        <w:spacing w:after="120"/>
      </w:pPr>
      <w:r>
        <w:rPr>
          <w:rFonts w:ascii="宋体" w:hAnsi="宋体" w:eastAsia="宋体"/>
          <w:b w:val="0"/>
          <w:sz w:val="22"/>
        </w:rPr>
        <w:t>要点：目标情景下首轮30万元资金可支撑18个月以上运营，第6季度实现季度净现金流转正；重点监控现金余额、库存占用、单位获客成本、单本毛利、库存周转天数和盈亏平衡点。</w:t>
      </w:r>
    </w:p>
    <w:p w14:paraId="1ACC59B1">
      <w:pPr>
        <w:pStyle w:val="4"/>
      </w:pPr>
      <w:bookmarkStart w:id="47" w:name="_Toc8944"/>
      <w:r>
        <w:rPr>
          <w:rFonts w:ascii="微软雅黑" w:hAnsi="微软雅黑" w:eastAsia="微软雅黑"/>
          <w:b/>
          <w:color w:val="000000"/>
          <w:sz w:val="28"/>
        </w:rPr>
        <w:t>8.5 盈亏平衡点与ROI</w:t>
      </w:r>
      <w:bookmarkEnd w:id="47"/>
    </w:p>
    <w:p w14:paraId="76BB0ACE">
      <w:pPr>
        <w:spacing w:after="120"/>
      </w:pPr>
      <w:r>
        <w:rPr>
          <w:rFonts w:ascii="宋体" w:hAnsi="宋体" w:eastAsia="宋体"/>
          <w:b/>
          <w:sz w:val="22"/>
        </w:rPr>
        <w:t>盈亏平衡点</w:t>
      </w:r>
      <w:r>
        <w:rPr>
          <w:rFonts w:ascii="宋体" w:hAnsi="宋体" w:eastAsia="宋体"/>
          <w:b w:val="0"/>
          <w:sz w:val="22"/>
        </w:rPr>
        <w:t>：固定成本÷单位贡献毛利＝13,000元÷7.0元≈</w:t>
      </w:r>
      <w:r>
        <w:rPr>
          <w:rFonts w:ascii="宋体" w:hAnsi="宋体" w:eastAsia="宋体"/>
          <w:b/>
          <w:sz w:val="22"/>
        </w:rPr>
        <w:t>月成交1,858册（单校）</w:t>
      </w:r>
      <w:r>
        <w:rPr>
          <w:rFonts w:ascii="宋体" w:hAnsi="宋体" w:eastAsia="宋体"/>
          <w:b w:val="0"/>
          <w:sz w:val="22"/>
        </w:rPr>
        <w:t>。</w:t>
      </w:r>
      <w:r>
        <w:rPr>
          <w:rFonts w:ascii="宋体" w:hAnsi="宋体" w:eastAsia="宋体"/>
          <w:b/>
          <w:sz w:val="22"/>
        </w:rPr>
        <w:t>ROI</w:t>
      </w:r>
      <w:r>
        <w:rPr>
          <w:rFonts w:ascii="宋体" w:hAnsi="宋体" w:eastAsia="宋体"/>
          <w:b w:val="0"/>
          <w:sz w:val="22"/>
        </w:rPr>
        <w:t>：目标情景下三年累计净利润约133.5万元，首轮投入30万元，</w:t>
      </w:r>
      <w:r>
        <w:rPr>
          <w:rFonts w:ascii="宋体" w:hAnsi="宋体" w:eastAsia="宋体"/>
          <w:b/>
          <w:sz w:val="22"/>
        </w:rPr>
        <w:t>三年累计ROI约4.4倍</w:t>
      </w:r>
      <w:r>
        <w:rPr>
          <w:rFonts w:ascii="宋体" w:hAnsi="宋体" w:eastAsia="宋体"/>
          <w:b w:val="0"/>
          <w:sz w:val="22"/>
        </w:rPr>
        <w:t>。正式版以实际单位成本、客单价和固定成本数据校准。</w:t>
      </w:r>
    </w:p>
    <w:p w14:paraId="3FF3C762">
      <w:pPr>
        <w:pStyle w:val="4"/>
      </w:pPr>
      <w:bookmarkStart w:id="48" w:name="_Toc10745"/>
      <w:r>
        <w:rPr>
          <w:rFonts w:ascii="微软雅黑" w:hAnsi="微软雅黑" w:eastAsia="微软雅黑"/>
          <w:b/>
          <w:color w:val="000000"/>
          <w:sz w:val="28"/>
        </w:rPr>
        <w:t>8.6 敏感性分析</w:t>
      </w:r>
      <w:bookmarkEnd w:id="48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7AD14E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6563A01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变量</w:t>
            </w:r>
          </w:p>
        </w:tc>
        <w:tc>
          <w:tcPr>
            <w:tcW w:w="2160" w:type="dxa"/>
          </w:tcPr>
          <w:p w14:paraId="37624C0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变动幅度</w:t>
            </w:r>
          </w:p>
        </w:tc>
        <w:tc>
          <w:tcPr>
            <w:tcW w:w="2160" w:type="dxa"/>
          </w:tcPr>
          <w:p w14:paraId="46DFD12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对单本毛利/毛利率的影响</w:t>
            </w:r>
          </w:p>
        </w:tc>
        <w:tc>
          <w:tcPr>
            <w:tcW w:w="2160" w:type="dxa"/>
          </w:tcPr>
          <w:p w14:paraId="2E70891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量化影响（按单校月成交2,000册测算）</w:t>
            </w:r>
          </w:p>
        </w:tc>
      </w:tr>
      <w:tr w14:paraId="7311A2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AB787F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回收成本</w:t>
            </w:r>
          </w:p>
        </w:tc>
        <w:tc>
          <w:tcPr>
            <w:tcW w:w="2160" w:type="dxa"/>
          </w:tcPr>
          <w:p w14:paraId="15413DC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+10%</w:t>
            </w:r>
          </w:p>
        </w:tc>
        <w:tc>
          <w:tcPr>
            <w:tcW w:w="2160" w:type="dxa"/>
          </w:tcPr>
          <w:p w14:paraId="2E34B22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毛利率58.3%→56.3%</w:t>
            </w:r>
          </w:p>
        </w:tc>
        <w:tc>
          <w:tcPr>
            <w:tcW w:w="2160" w:type="dxa"/>
          </w:tcPr>
          <w:p w14:paraId="7617F4A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月毛利减少约500元</w:t>
            </w:r>
          </w:p>
        </w:tc>
      </w:tr>
      <w:tr w14:paraId="073B87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152F345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平均售价</w:t>
            </w:r>
          </w:p>
        </w:tc>
        <w:tc>
          <w:tcPr>
            <w:tcW w:w="2160" w:type="dxa"/>
          </w:tcPr>
          <w:p w14:paraId="3DE273F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-10%</w:t>
            </w:r>
          </w:p>
        </w:tc>
        <w:tc>
          <w:tcPr>
            <w:tcW w:w="2160" w:type="dxa"/>
          </w:tcPr>
          <w:p w14:paraId="0445F0D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单本毛利7.0→5.8元，毛利率53.7%</w:t>
            </w:r>
          </w:p>
        </w:tc>
        <w:tc>
          <w:tcPr>
            <w:tcW w:w="2160" w:type="dxa"/>
          </w:tcPr>
          <w:p w14:paraId="0CB7EC5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月毛利减少约2,400元</w:t>
            </w:r>
          </w:p>
        </w:tc>
      </w:tr>
      <w:tr w14:paraId="2E4754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2D1F3A7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综合售出率</w:t>
            </w:r>
          </w:p>
        </w:tc>
        <w:tc>
          <w:tcPr>
            <w:tcW w:w="2160" w:type="dxa"/>
          </w:tcPr>
          <w:p w14:paraId="648215F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-15%</w:t>
            </w:r>
          </w:p>
        </w:tc>
        <w:tc>
          <w:tcPr>
            <w:tcW w:w="2160" w:type="dxa"/>
          </w:tcPr>
          <w:p w14:paraId="7E51BAE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月成交2,000→1,700册，库存周转变慢</w:t>
            </w:r>
          </w:p>
        </w:tc>
        <w:tc>
          <w:tcPr>
            <w:tcW w:w="2160" w:type="dxa"/>
          </w:tcPr>
          <w:p w14:paraId="4C33686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月毛利减少约2,100元，资金占用增加</w:t>
            </w:r>
          </w:p>
        </w:tc>
      </w:tr>
      <w:tr w14:paraId="111419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66CE109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月固定成本</w:t>
            </w:r>
          </w:p>
        </w:tc>
        <w:tc>
          <w:tcPr>
            <w:tcW w:w="2160" w:type="dxa"/>
          </w:tcPr>
          <w:p w14:paraId="4854A7C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+20%</w:t>
            </w:r>
          </w:p>
        </w:tc>
        <w:tc>
          <w:tcPr>
            <w:tcW w:w="2160" w:type="dxa"/>
          </w:tcPr>
          <w:p w14:paraId="48F486B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盈亏平衡销量1,858→2,229册</w:t>
            </w:r>
          </w:p>
        </w:tc>
        <w:tc>
          <w:tcPr>
            <w:tcW w:w="2160" w:type="dxa"/>
          </w:tcPr>
          <w:p w14:paraId="6B5BF93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回本周期延后约1-2个月</w:t>
            </w:r>
          </w:p>
        </w:tc>
      </w:tr>
    </w:tbl>
    <w:p w14:paraId="7E077A16">
      <w:pPr>
        <w:spacing w:after="40"/>
      </w:pPr>
    </w:p>
    <w:p w14:paraId="56E8BEBB">
      <w:pPr>
        <w:spacing w:after="120"/>
      </w:pPr>
      <w:r>
        <w:rPr>
          <w:rFonts w:ascii="宋体" w:hAnsi="宋体" w:eastAsia="宋体"/>
          <w:b w:val="0"/>
          <w:sz w:val="22"/>
        </w:rPr>
        <w:t>结论：模型对"售价"和"售出率"最敏感，运营核心是保障定价能力与库存周转；对此已通过动态定价引擎、库存预警调拨和换书/捐赠分流机制对冲。</w:t>
      </w:r>
    </w:p>
    <w:p w14:paraId="1A6E8D54">
      <w:pPr>
        <w:pStyle w:val="3"/>
      </w:pPr>
      <w:bookmarkStart w:id="49" w:name="_Toc24925"/>
      <w:r>
        <w:rPr>
          <w:rFonts w:ascii="微软雅黑" w:hAnsi="微软雅黑" w:eastAsia="微软雅黑"/>
          <w:b/>
          <w:color w:val="1F3B63"/>
          <w:sz w:val="32"/>
        </w:rPr>
        <w:t>第九章 风险分析与应对措施</w:t>
      </w:r>
      <w:bookmarkEnd w:id="49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2B03EF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0B5847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风险</w:t>
            </w:r>
          </w:p>
        </w:tc>
        <w:tc>
          <w:tcPr>
            <w:tcW w:w="2880" w:type="dxa"/>
          </w:tcPr>
          <w:p w14:paraId="228BA28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表现</w:t>
            </w:r>
          </w:p>
        </w:tc>
        <w:tc>
          <w:tcPr>
            <w:tcW w:w="2880" w:type="dxa"/>
          </w:tcPr>
          <w:p w14:paraId="543AEAE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应对措施</w:t>
            </w:r>
          </w:p>
        </w:tc>
      </w:tr>
      <w:tr w14:paraId="15518A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45286C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技术与硬件风险</w:t>
            </w:r>
          </w:p>
        </w:tc>
        <w:tc>
          <w:tcPr>
            <w:tcW w:w="2880" w:type="dxa"/>
          </w:tcPr>
          <w:p w14:paraId="7AD9859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智能柜故障、识别误差、网络中断</w:t>
            </w:r>
          </w:p>
        </w:tc>
        <w:tc>
          <w:tcPr>
            <w:tcW w:w="2880" w:type="dxa"/>
          </w:tcPr>
          <w:p w14:paraId="068C57F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先人工回收验证需求；硬件模块化；设置人工接管和故障报警</w:t>
            </w:r>
          </w:p>
        </w:tc>
      </w:tr>
      <w:tr w14:paraId="485A9E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521F3E5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市场竞争风险</w:t>
            </w:r>
          </w:p>
        </w:tc>
        <w:tc>
          <w:tcPr>
            <w:tcW w:w="2880" w:type="dxa"/>
          </w:tcPr>
          <w:p w14:paraId="161DE26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综合二手平台抢占用户</w:t>
            </w:r>
          </w:p>
        </w:tc>
        <w:tc>
          <w:tcPr>
            <w:tcW w:w="2880" w:type="dxa"/>
          </w:tcPr>
          <w:p w14:paraId="74686DB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聚焦校园专业教材、线下即时交付和校园合作</w:t>
            </w:r>
          </w:p>
        </w:tc>
      </w:tr>
      <w:tr w14:paraId="43E16D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52C1ABF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用户留存风险</w:t>
            </w:r>
          </w:p>
        </w:tc>
        <w:tc>
          <w:tcPr>
            <w:tcW w:w="2880" w:type="dxa"/>
          </w:tcPr>
          <w:p w14:paraId="6A55411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用户仅在毕业季使用</w:t>
            </w:r>
          </w:p>
        </w:tc>
        <w:tc>
          <w:tcPr>
            <w:tcW w:w="2880" w:type="dxa"/>
          </w:tcPr>
          <w:p w14:paraId="48BC5E1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增加租赁、换书、考研/考证专题和日常图书服务</w:t>
            </w:r>
          </w:p>
        </w:tc>
      </w:tr>
      <w:tr w14:paraId="5963EA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00161FB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校园进驻风险</w:t>
            </w:r>
          </w:p>
        </w:tc>
        <w:tc>
          <w:tcPr>
            <w:tcW w:w="2880" w:type="dxa"/>
          </w:tcPr>
          <w:p w14:paraId="2D10C2B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场地、宣传和设备安装受管理制度约束</w:t>
            </w:r>
          </w:p>
        </w:tc>
        <w:tc>
          <w:tcPr>
            <w:tcW w:w="2880" w:type="dxa"/>
          </w:tcPr>
          <w:p w14:paraId="07DCC26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提前取得学校/后勤/物业书面授权，遵守校园管理规定</w:t>
            </w:r>
          </w:p>
        </w:tc>
      </w:tr>
      <w:tr w14:paraId="41741B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5101AE9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库存风险</w:t>
            </w:r>
          </w:p>
        </w:tc>
        <w:tc>
          <w:tcPr>
            <w:tcW w:w="2880" w:type="dxa"/>
          </w:tcPr>
          <w:p w14:paraId="2A7B3F0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滞销图书积压、资金占用</w:t>
            </w:r>
          </w:p>
        </w:tc>
        <w:tc>
          <w:tcPr>
            <w:tcW w:w="2880" w:type="dxa"/>
          </w:tcPr>
          <w:p w14:paraId="2102573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设置库存上限、动态定价、捐赠和回收处理机制</w:t>
            </w:r>
          </w:p>
        </w:tc>
      </w:tr>
      <w:tr w14:paraId="4AD21D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5906C7C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版权合规风险</w:t>
            </w:r>
          </w:p>
        </w:tc>
        <w:tc>
          <w:tcPr>
            <w:tcW w:w="2880" w:type="dxa"/>
          </w:tcPr>
          <w:p w14:paraId="443FAD9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盗版教材、非法复制资料</w:t>
            </w:r>
          </w:p>
        </w:tc>
        <w:tc>
          <w:tcPr>
            <w:tcW w:w="2880" w:type="dxa"/>
          </w:tcPr>
          <w:p w14:paraId="2D1A285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ISBN权威库比对+人工二次审核+黑名单（见9.1）</w:t>
            </w:r>
          </w:p>
        </w:tc>
      </w:tr>
      <w:tr w14:paraId="4EDCC0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7D029C7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数据安全风险</w:t>
            </w:r>
          </w:p>
        </w:tc>
        <w:tc>
          <w:tcPr>
            <w:tcW w:w="2880" w:type="dxa"/>
          </w:tcPr>
          <w:p w14:paraId="56AF0D5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个人信息和订单数据泄露</w:t>
            </w:r>
          </w:p>
        </w:tc>
        <w:tc>
          <w:tcPr>
            <w:tcW w:w="2880" w:type="dxa"/>
          </w:tcPr>
          <w:p w14:paraId="68E3A4B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最小化采集、权限控制、加密存储和日志审计</w:t>
            </w:r>
          </w:p>
        </w:tc>
      </w:tr>
      <w:tr w14:paraId="547A72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0C71CEB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季节性风险</w:t>
            </w:r>
          </w:p>
        </w:tc>
        <w:tc>
          <w:tcPr>
            <w:tcW w:w="2880" w:type="dxa"/>
          </w:tcPr>
          <w:p w14:paraId="1533963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毕业季和开学季订单波动</w:t>
            </w:r>
          </w:p>
        </w:tc>
        <w:tc>
          <w:tcPr>
            <w:tcW w:w="2880" w:type="dxa"/>
          </w:tcPr>
          <w:p w14:paraId="2032415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淡季推考研资料预售、租赁续租与跨校库存调拨；寒暑假轻运营降本</w:t>
            </w:r>
          </w:p>
        </w:tc>
      </w:tr>
    </w:tbl>
    <w:p w14:paraId="4E8607DE">
      <w:pPr>
        <w:spacing w:after="40"/>
      </w:pPr>
    </w:p>
    <w:p w14:paraId="3F988014">
      <w:pPr>
        <w:pStyle w:val="4"/>
      </w:pPr>
      <w:bookmarkStart w:id="50" w:name="_Toc23911"/>
      <w:r>
        <w:rPr>
          <w:rFonts w:ascii="微软雅黑" w:hAnsi="微软雅黑" w:eastAsia="微软雅黑"/>
          <w:b/>
          <w:color w:val="000000"/>
          <w:sz w:val="28"/>
        </w:rPr>
        <w:t>9.1 版权与合规（含技术风控）</w:t>
      </w:r>
      <w:bookmarkEnd w:id="50"/>
    </w:p>
    <w:p w14:paraId="5C04D54D">
      <w:pPr>
        <w:spacing w:after="120"/>
      </w:pPr>
      <w:r>
        <w:rPr>
          <w:rFonts w:ascii="宋体" w:hAnsi="宋体" w:eastAsia="宋体"/>
          <w:b w:val="0"/>
          <w:sz w:val="22"/>
        </w:rPr>
        <w:t>平台原则上仅流转合法取得的正版实体图书，并建立三层技术风控：</w:t>
      </w:r>
    </w:p>
    <w:p w14:paraId="03505FF3">
      <w:pPr>
        <w:spacing w:after="60"/>
      </w:pPr>
      <w:r>
        <w:rPr>
          <w:rFonts w:ascii="宋体" w:hAnsi="宋体" w:eastAsia="宋体"/>
          <w:b/>
          <w:sz w:val="22"/>
        </w:rPr>
        <w:t>ISBN权威库比对</w:t>
      </w:r>
      <w:r>
        <w:rPr>
          <w:rFonts w:ascii="宋体" w:hAnsi="宋体" w:eastAsia="宋体"/>
          <w:b w:val="0"/>
          <w:sz w:val="22"/>
        </w:rPr>
        <w:t>：扫码识别ISBN时自动对接国家版本图书馆/权威图书数据库，无ISBN、书号信息不符或具备盗版特征的图书系统自动拒绝收录。</w:t>
      </w:r>
    </w:p>
    <w:p w14:paraId="479D0BA0">
      <w:pPr>
        <w:spacing w:after="60"/>
      </w:pPr>
      <w:r>
        <w:rPr>
          <w:rFonts w:ascii="宋体" w:hAnsi="宋体" w:eastAsia="宋体"/>
          <w:b/>
          <w:sz w:val="22"/>
        </w:rPr>
        <w:t>人工二次审核</w:t>
      </w:r>
      <w:r>
        <w:rPr>
          <w:rFonts w:ascii="宋体" w:hAnsi="宋体" w:eastAsia="宋体"/>
          <w:b w:val="0"/>
          <w:sz w:val="22"/>
        </w:rPr>
        <w:t>：对AI识别置信度低或用户上传资料类物品进行人工复核；严禁流转翻印、复印及未授权的内部讲义/考研资料，发现即下架并对违规用户实施平台黑名单处理。</w:t>
      </w:r>
    </w:p>
    <w:p w14:paraId="5B998891">
      <w:pPr>
        <w:spacing w:after="60"/>
      </w:pPr>
      <w:r>
        <w:rPr>
          <w:rFonts w:ascii="宋体" w:hAnsi="宋体" w:eastAsia="宋体"/>
          <w:b/>
          <w:sz w:val="22"/>
        </w:rPr>
        <w:t>系统对接合规</w:t>
      </w:r>
      <w:r>
        <w:rPr>
          <w:rFonts w:ascii="宋体" w:hAnsi="宋体" w:eastAsia="宋体"/>
          <w:b w:val="0"/>
          <w:sz w:val="22"/>
        </w:rPr>
        <w:t>：涉及学校教务系统对接时，在获得学校正式授权并完成数据安全评估的前提下进行，遵循最小必要原则。</w:t>
      </w:r>
    </w:p>
    <w:p w14:paraId="43663F3E">
      <w:pPr>
        <w:pStyle w:val="3"/>
      </w:pPr>
      <w:bookmarkStart w:id="51" w:name="_Toc11160"/>
      <w:r>
        <w:rPr>
          <w:rFonts w:ascii="微软雅黑" w:hAnsi="微软雅黑" w:eastAsia="微软雅黑"/>
          <w:b/>
          <w:color w:val="1F3B63"/>
          <w:sz w:val="32"/>
        </w:rPr>
        <w:t>第十章 社会价值与育人成果</w:t>
      </w:r>
      <w:bookmarkEnd w:id="51"/>
    </w:p>
    <w:p w14:paraId="5FA43E8E">
      <w:pPr>
        <w:pStyle w:val="4"/>
      </w:pPr>
      <w:bookmarkStart w:id="52" w:name="_Toc16200"/>
      <w:r>
        <w:rPr>
          <w:rFonts w:ascii="微软雅黑" w:hAnsi="微软雅黑" w:eastAsia="微软雅黑"/>
          <w:b/>
          <w:color w:val="000000"/>
          <w:sz w:val="28"/>
        </w:rPr>
        <w:t>10.1 绿色低碳效应（LCA方法学）</w:t>
      </w:r>
      <w:bookmarkEnd w:id="52"/>
    </w:p>
    <w:p w14:paraId="778B0812">
      <w:pPr>
        <w:spacing w:after="120"/>
      </w:pPr>
      <w:r>
        <w:rPr>
          <w:rFonts w:ascii="宋体" w:hAnsi="宋体" w:eastAsia="宋体"/>
          <w:b w:val="0"/>
          <w:sz w:val="22"/>
        </w:rPr>
        <w:t>项目依据 ISO 14040/14044 生命周期评价标准建立碳减排测算方法，公式为：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22B70C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  <w:shd w:val="clear" w:color="auto" w:fill="F2F6FC"/>
          </w:tcPr>
          <w:p w14:paraId="65E916C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1F3B63"/>
                <w:sz w:val="20"/>
              </w:rPr>
              <w:t>【单册图书碳减排计算公式】</w:t>
            </w:r>
          </w:p>
          <w:p w14:paraId="5408E17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单册减排量 =（原生造纸与印刷碳排放 + 新书流通配送碳排放）−（二手回收消毒碳排放 + 二手履约配送碳排放）</w:t>
            </w:r>
          </w:p>
        </w:tc>
      </w:tr>
    </w:tbl>
    <w:p w14:paraId="51FA56C0">
      <w:pPr>
        <w:spacing w:after="40"/>
      </w:pPr>
    </w:p>
    <w:p w14:paraId="2343EDBD">
      <w:pPr>
        <w:spacing w:after="120"/>
      </w:pPr>
      <w:r>
        <w:rPr>
          <w:rFonts w:ascii="宋体" w:hAnsi="宋体" w:eastAsia="宋体"/>
          <w:b w:val="0"/>
          <w:sz w:val="22"/>
        </w:rPr>
        <w:t>按一本300g胶版纸教材测算（示例参数，正式版须委托或参照有明确方法学依据的LCA研究出具计算报告）：原生环节约1.05 kg CO₂e，二手履约环节约0.20 kg CO₂e，</w:t>
      </w:r>
      <w:r>
        <w:rPr>
          <w:rFonts w:ascii="宋体" w:hAnsi="宋体" w:eastAsia="宋体"/>
          <w:b/>
          <w:sz w:val="22"/>
        </w:rPr>
        <w:t>即每循环利用1册教材约减排0.85 kg CO₂e</w:t>
      </w:r>
      <w:r>
        <w:rPr>
          <w:rFonts w:ascii="宋体" w:hAnsi="宋体" w:eastAsia="宋体"/>
          <w:b w:val="0"/>
          <w:sz w:val="22"/>
        </w:rPr>
        <w:t>。平台在小程序内为用户呈现"个人碳账簿"，并以可核验的回收册数、流转册数、捐赠册数作为ESG数据服务基础。</w:t>
      </w:r>
    </w:p>
    <w:p w14:paraId="1F39FABA">
      <w:pPr>
        <w:pStyle w:val="4"/>
      </w:pPr>
      <w:bookmarkStart w:id="53" w:name="_Toc31204"/>
      <w:r>
        <w:rPr>
          <w:rFonts w:ascii="微软雅黑" w:hAnsi="微软雅黑" w:eastAsia="微软雅黑"/>
          <w:b/>
          <w:color w:val="000000"/>
          <w:sz w:val="28"/>
        </w:rPr>
        <w:t>10.2 产教融合</w:t>
      </w:r>
      <w:bookmarkEnd w:id="53"/>
    </w:p>
    <w:p w14:paraId="2E89B813">
      <w:pPr>
        <w:spacing w:after="120"/>
      </w:pPr>
      <w:r>
        <w:rPr>
          <w:rFonts w:ascii="宋体" w:hAnsi="宋体" w:eastAsia="宋体"/>
          <w:b w:val="0"/>
          <w:sz w:val="22"/>
        </w:rPr>
        <w:t>项目将软件开发、产品设计、市场调研、校园运营、财务管理和商务合作融入大学生创新创业实践，形成"课程学习—项目实践—创业孵化"的实践链条。</w:t>
      </w:r>
      <w:r>
        <w:rPr>
          <w:rFonts w:ascii="宋体" w:hAnsi="宋体" w:eastAsia="宋体"/>
          <w:b/>
          <w:sz w:val="22"/>
        </w:rPr>
        <w:t>三年目标（目标值，非既成事实）</w:t>
      </w:r>
      <w:r>
        <w:rPr>
          <w:rFonts w:ascii="宋体" w:hAnsi="宋体" w:eastAsia="宋体"/>
          <w:b w:val="0"/>
          <w:sz w:val="22"/>
        </w:rPr>
        <w:t>：累计提供勤工俭学岗位20个以上，直接带动大学生创业孵化10名以上，并与学校共建创新创业实践学分认定机制。</w:t>
      </w:r>
    </w:p>
    <w:p w14:paraId="33BB98AD">
      <w:pPr>
        <w:pStyle w:val="4"/>
      </w:pPr>
      <w:bookmarkStart w:id="54" w:name="_Toc22458"/>
      <w:r>
        <w:rPr>
          <w:rFonts w:ascii="微软雅黑" w:hAnsi="微软雅黑" w:eastAsia="微软雅黑"/>
          <w:b/>
          <w:color w:val="000000"/>
          <w:sz w:val="28"/>
        </w:rPr>
        <w:t>10.3 "无废校园"与书香校园</w:t>
      </w:r>
      <w:bookmarkEnd w:id="54"/>
    </w:p>
    <w:p w14:paraId="18952750">
      <w:pPr>
        <w:spacing w:after="120"/>
      </w:pPr>
      <w:r>
        <w:rPr>
          <w:rFonts w:ascii="宋体" w:hAnsi="宋体" w:eastAsia="宋体"/>
          <w:b w:val="0"/>
          <w:sz w:val="22"/>
        </w:rPr>
        <w:t>通过旧书循环、图书漂流和公益捐赠等活动，项目服务绿色校园建设，并通过数字化数据记录形成可展示的校园循环利用成果，为学校开展环保教育、劳动教育和创新创业教育提供实践场景。</w:t>
      </w:r>
    </w:p>
    <w:p w14:paraId="2F9FA86A">
      <w:pPr>
        <w:pStyle w:val="3"/>
      </w:pPr>
      <w:bookmarkStart w:id="55" w:name="_Toc2339"/>
      <w:r>
        <w:rPr>
          <w:rFonts w:ascii="微软雅黑" w:hAnsi="微软雅黑" w:eastAsia="微软雅黑"/>
          <w:b/>
          <w:color w:val="1F3B63"/>
          <w:sz w:val="32"/>
        </w:rPr>
        <w:t>附录</w:t>
      </w:r>
      <w:bookmarkEnd w:id="55"/>
    </w:p>
    <w:p w14:paraId="302557B7">
      <w:pPr>
        <w:pStyle w:val="4"/>
      </w:pPr>
      <w:bookmarkStart w:id="56" w:name="_Toc30808"/>
      <w:r>
        <w:rPr>
          <w:rFonts w:ascii="微软雅黑" w:hAnsi="微软雅黑" w:eastAsia="微软雅黑"/>
          <w:b/>
          <w:color w:val="000000"/>
          <w:sz w:val="28"/>
        </w:rPr>
        <w:t>附录A 专利证书及软件著作权列表</w:t>
      </w:r>
      <w:bookmarkEnd w:id="56"/>
    </w:p>
    <w:p w14:paraId="28D731B0">
      <w:pPr>
        <w:spacing w:after="120"/>
      </w:pPr>
      <w:r>
        <w:rPr>
          <w:rFonts w:ascii="宋体" w:hAnsi="宋体" w:eastAsia="宋体"/>
          <w:b w:val="0"/>
          <w:sz w:val="22"/>
        </w:rPr>
        <w:t>待项目形成正式知识产权成果后补充；至少包括：旧书智能回收与匹配系统软著、校园图书循环管理平台软著（附受理通知书）。</w:t>
      </w:r>
    </w:p>
    <w:p w14:paraId="53CF1539">
      <w:pPr>
        <w:pStyle w:val="4"/>
      </w:pPr>
      <w:bookmarkStart w:id="57" w:name="_Toc13279"/>
      <w:r>
        <w:rPr>
          <w:rFonts w:ascii="微软雅黑" w:hAnsi="微软雅黑" w:eastAsia="微软雅黑"/>
          <w:b/>
          <w:color w:val="000000"/>
          <w:sz w:val="28"/>
        </w:rPr>
        <w:t>附录B 团队荣誉与资质证书</w:t>
      </w:r>
      <w:bookmarkEnd w:id="57"/>
    </w:p>
    <w:p w14:paraId="7BBAE3ED">
      <w:pPr>
        <w:spacing w:after="120"/>
      </w:pPr>
      <w:r>
        <w:rPr>
          <w:rFonts w:ascii="宋体" w:hAnsi="宋体" w:eastAsia="宋体"/>
          <w:b w:val="0"/>
          <w:sz w:val="22"/>
        </w:rPr>
        <w:t>补充团队成员创新创业比赛、软件开发、项目实践、专利/软著等真实证明材料扫描件。</w:t>
      </w:r>
    </w:p>
    <w:p w14:paraId="4940CF78">
      <w:pPr>
        <w:pStyle w:val="4"/>
      </w:pPr>
      <w:bookmarkStart w:id="58" w:name="_Toc27528"/>
      <w:r>
        <w:rPr>
          <w:rFonts w:ascii="微软雅黑" w:hAnsi="微软雅黑" w:eastAsia="微软雅黑"/>
          <w:b/>
          <w:color w:val="000000"/>
          <w:sz w:val="28"/>
        </w:rPr>
        <w:t>附录C 校企合作与后勤合作意向书</w:t>
      </w:r>
      <w:bookmarkEnd w:id="58"/>
    </w:p>
    <w:p w14:paraId="0C67948F">
      <w:pPr>
        <w:spacing w:after="120"/>
      </w:pPr>
      <w:r>
        <w:rPr>
          <w:rFonts w:ascii="宋体" w:hAnsi="宋体" w:eastAsia="宋体"/>
          <w:b/>
          <w:sz w:val="22"/>
        </w:rPr>
        <w:t>必须补充至少1份真实凭证</w:t>
      </w:r>
      <w:r>
        <w:rPr>
          <w:rFonts w:ascii="宋体" w:hAnsi="宋体" w:eastAsia="宋体"/>
          <w:b w:val="0"/>
          <w:sz w:val="22"/>
        </w:rPr>
        <w:t>：校企合作意向书、社团合作备忘录或学校创业园区入驻协议。意向书要点：合作主体、合作内容（场地/活动/宣传）、期限、双方权责。</w:t>
      </w:r>
    </w:p>
    <w:p w14:paraId="1884A21E">
      <w:pPr>
        <w:pStyle w:val="4"/>
      </w:pPr>
      <w:bookmarkStart w:id="59" w:name="_Toc13503"/>
      <w:r>
        <w:rPr>
          <w:rFonts w:ascii="微软雅黑" w:hAnsi="微软雅黑" w:eastAsia="微软雅黑"/>
          <w:b/>
          <w:color w:val="000000"/>
          <w:sz w:val="28"/>
        </w:rPr>
        <w:t>附录D 校园市场调研报告与问卷分析</w:t>
      </w:r>
      <w:bookmarkEnd w:id="59"/>
    </w:p>
    <w:p w14:paraId="1C95360F">
      <w:pPr>
        <w:spacing w:after="120"/>
      </w:pPr>
      <w:r>
        <w:rPr>
          <w:rFonts w:ascii="宋体" w:hAnsi="宋体" w:eastAsia="宋体"/>
          <w:b w:val="0"/>
          <w:sz w:val="22"/>
        </w:rPr>
        <w:t>正式版须包含：问卷原始数据、样本数量与结构（821份有效问卷）、旧书数量与处理方式、购买意愿、价格接受度、平台使用意愿、痛点排序等图表，以及2周试点运营完整数据（回收量、成交率、客单价、复购率、用户反馈记录）。</w:t>
      </w:r>
    </w:p>
    <w:p w14:paraId="25062FAA">
      <w:pPr>
        <w:pStyle w:val="3"/>
      </w:pPr>
      <w:bookmarkStart w:id="60" w:name="_Toc15282"/>
      <w:r>
        <w:rPr>
          <w:rFonts w:ascii="微软雅黑" w:hAnsi="微软雅黑" w:eastAsia="微软雅黑"/>
          <w:b/>
          <w:color w:val="1F3B63"/>
          <w:sz w:val="32"/>
        </w:rPr>
        <w:t>项目一句话总结</w:t>
      </w:r>
      <w:bookmarkEnd w:id="60"/>
    </w:p>
    <w:p w14:paraId="6A651937">
      <w:pPr>
        <w:spacing w:after="120"/>
      </w:pPr>
      <w:r>
        <w:rPr>
          <w:rFonts w:ascii="宋体" w:hAnsi="宋体" w:eastAsia="宋体"/>
          <w:b w:val="0"/>
          <w:sz w:val="22"/>
        </w:rPr>
        <w:t>"书环智循环"以校园二手教材和图书为切入口，通过"数字平台+线下回收+AI品相识别与动态定价+循环交易"的模式，让闲置图书在校园内部高效流转——单本毛利率58.3%、单柜约6.7个月回本的单体经济模型已验证可行，在降低学生购书和处理成本的同时，探索具有商业可持续性、环保价值和育人价值的校园循环经济服务模式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3CA3B16"/>
    <w:rsid w:val="711A0B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宋体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4">
    <w:name w:val="Default Paragraph Font"/>
    <w:semiHidden/>
    <w:unhideWhenUsed/>
    <w:qFormat/>
    <w:uiPriority w:val="1"/>
  </w:style>
  <w:style w:type="table" w:default="1" w:styleId="3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8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6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toc 1"/>
    <w:basedOn w:val="1"/>
    <w:next w:val="1"/>
    <w:semiHidden/>
    <w:unhideWhenUsed/>
    <w:uiPriority w:val="39"/>
  </w:style>
  <w:style w:type="paragraph" w:styleId="27">
    <w:name w:val="Subtitle"/>
    <w:basedOn w:val="1"/>
    <w:next w:val="1"/>
    <w:link w:val="1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8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9">
    <w:name w:val="toc 2"/>
    <w:basedOn w:val="1"/>
    <w:next w:val="1"/>
    <w:semiHidden/>
    <w:unhideWhenUsed/>
    <w:uiPriority w:val="39"/>
    <w:pPr>
      <w:ind w:left="420" w:leftChars="200"/>
    </w:pPr>
  </w:style>
  <w:style w:type="paragraph" w:styleId="30">
    <w:name w:val="Body Text 2"/>
    <w:basedOn w:val="1"/>
    <w:link w:val="147"/>
    <w:unhideWhenUsed/>
    <w:qFormat/>
    <w:uiPriority w:val="99"/>
    <w:pPr>
      <w:spacing w:after="120" w:line="480" w:lineRule="auto"/>
    </w:pPr>
  </w:style>
  <w:style w:type="paragraph" w:styleId="31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2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3">
    <w:name w:val="Title"/>
    <w:basedOn w:val="1"/>
    <w:next w:val="1"/>
    <w:link w:val="1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5">
    <w:name w:val="Table Grid"/>
    <w:basedOn w:val="34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6">
    <w:name w:val="Light Shading"/>
    <w:basedOn w:val="34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7">
    <w:name w:val="Light Shading Accent 1"/>
    <w:basedOn w:val="34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8">
    <w:name w:val="Light Shading Accent 2"/>
    <w:basedOn w:val="34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9">
    <w:name w:val="Light Shading Accent 3"/>
    <w:basedOn w:val="34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0">
    <w:name w:val="Light Shading Accent 4"/>
    <w:basedOn w:val="34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1">
    <w:name w:val="Light Shading Accent 5"/>
    <w:basedOn w:val="34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2">
    <w:name w:val="Light Shading Accent 6"/>
    <w:basedOn w:val="34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3">
    <w:name w:val="Light List"/>
    <w:basedOn w:val="34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4">
    <w:name w:val="Light List Accent 1"/>
    <w:basedOn w:val="34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5">
    <w:name w:val="Light List Accent 2"/>
    <w:basedOn w:val="34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6">
    <w:name w:val="Light List Accent 3"/>
    <w:basedOn w:val="34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7">
    <w:name w:val="Light List Accent 4"/>
    <w:basedOn w:val="34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8">
    <w:name w:val="Light List Accent 5"/>
    <w:basedOn w:val="34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9">
    <w:name w:val="Light List Accent 6"/>
    <w:basedOn w:val="34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0">
    <w:name w:val="Light Grid"/>
    <w:basedOn w:val="34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1">
    <w:name w:val="Light Grid Accent 1"/>
    <w:basedOn w:val="34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2">
    <w:name w:val="Light Grid Accent 2"/>
    <w:basedOn w:val="34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3">
    <w:name w:val="Light Grid Accent 3"/>
    <w:basedOn w:val="34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4">
    <w:name w:val="Light Grid Accent 4"/>
    <w:basedOn w:val="34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5">
    <w:name w:val="Light Grid Accent 5"/>
    <w:basedOn w:val="34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6">
    <w:name w:val="Light Grid Accent 6"/>
    <w:basedOn w:val="34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7">
    <w:name w:val="Medium Shading 1"/>
    <w:basedOn w:val="34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1"/>
    <w:basedOn w:val="34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2"/>
    <w:basedOn w:val="34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3"/>
    <w:basedOn w:val="34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4"/>
    <w:basedOn w:val="34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5"/>
    <w:basedOn w:val="34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6"/>
    <w:basedOn w:val="34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2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1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2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3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4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5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6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List 1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2">
    <w:name w:val="Medium List 1 Accent 1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3">
    <w:name w:val="Medium List 1 Accent 2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4">
    <w:name w:val="Medium List 1 Accent 3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5">
    <w:name w:val="Medium List 1 Accent 4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6">
    <w:name w:val="Medium List 1 Accent 5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7">
    <w:name w:val="Medium List 1 Accent 6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8">
    <w:name w:val="Medium List 2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1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2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3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4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5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6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Grid 1"/>
    <w:basedOn w:val="34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6">
    <w:name w:val="Medium Grid 1 Accent 1"/>
    <w:basedOn w:val="34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7">
    <w:name w:val="Medium Grid 1 Accent 2"/>
    <w:basedOn w:val="34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8">
    <w:name w:val="Medium Grid 1 Accent 3"/>
    <w:basedOn w:val="34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9">
    <w:name w:val="Medium Grid 1 Accent 4"/>
    <w:basedOn w:val="34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0">
    <w:name w:val="Medium Grid 1 Accent 5"/>
    <w:basedOn w:val="34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1">
    <w:name w:val="Medium Grid 1 Accent 6"/>
    <w:basedOn w:val="34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2">
    <w:name w:val="Medium Grid 2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1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2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3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4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5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6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3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0">
    <w:name w:val="Medium Grid 3 Accent 1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1">
    <w:name w:val="Medium Grid 3 Accent 2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2">
    <w:name w:val="Medium Grid 3 Accent 3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3">
    <w:name w:val="Medium Grid 3 Accent 4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4">
    <w:name w:val="Medium Grid 3 Accent 5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5">
    <w:name w:val="Medium Grid 3 Accent 6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6">
    <w:name w:val="Dark List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7">
    <w:name w:val="Dark List Accent 1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8">
    <w:name w:val="Dark List Accent 2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9">
    <w:name w:val="Dark List Accent 3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0">
    <w:name w:val="Dark List Accent 4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1">
    <w:name w:val="Dark List Accent 5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2">
    <w:name w:val="Dark List Accent 6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3">
    <w:name w:val="Colorful Shading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1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2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3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7">
    <w:name w:val="Colorful Shading Accent 4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5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6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List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1">
    <w:name w:val="Colorful List Accent 1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2">
    <w:name w:val="Colorful List Accent 2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3">
    <w:name w:val="Colorful List Accent 3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4">
    <w:name w:val="Colorful List Accent 4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5">
    <w:name w:val="Colorful List Accent 5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6">
    <w:name w:val="Colorful List Accent 6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7">
    <w:name w:val="Colorful Grid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8">
    <w:name w:val="Colorful Grid Accent 1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9">
    <w:name w:val="Colorful Grid Accent 2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0">
    <w:name w:val="Colorful Grid Accent 3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1">
    <w:name w:val="Colorful Grid Accent 4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2">
    <w:name w:val="Colorful Grid Accent 5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3">
    <w:name w:val="Colorful Grid Accent 6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5">
    <w:name w:val="Strong"/>
    <w:basedOn w:val="134"/>
    <w:qFormat/>
    <w:uiPriority w:val="22"/>
    <w:rPr>
      <w:b/>
      <w:bCs/>
    </w:rPr>
  </w:style>
  <w:style w:type="character" w:styleId="136">
    <w:name w:val="Emphasis"/>
    <w:basedOn w:val="134"/>
    <w:qFormat/>
    <w:uiPriority w:val="20"/>
    <w:rPr>
      <w:i/>
      <w:iCs/>
    </w:rPr>
  </w:style>
  <w:style w:type="character" w:customStyle="1" w:styleId="137">
    <w:name w:val="Header Char"/>
    <w:basedOn w:val="134"/>
    <w:link w:val="25"/>
    <w:qFormat/>
    <w:uiPriority w:val="99"/>
  </w:style>
  <w:style w:type="character" w:customStyle="1" w:styleId="138">
    <w:name w:val="Footer Char"/>
    <w:basedOn w:val="134"/>
    <w:link w:val="24"/>
    <w:qFormat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34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34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34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34"/>
    <w:link w:val="33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34"/>
    <w:link w:val="27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34"/>
    <w:link w:val="19"/>
    <w:qFormat/>
    <w:uiPriority w:val="99"/>
  </w:style>
  <w:style w:type="character" w:customStyle="1" w:styleId="147">
    <w:name w:val="Body Text 2 Char"/>
    <w:basedOn w:val="134"/>
    <w:link w:val="30"/>
    <w:qFormat/>
    <w:uiPriority w:val="99"/>
  </w:style>
  <w:style w:type="character" w:customStyle="1" w:styleId="148">
    <w:name w:val="Body Text 3 Char"/>
    <w:basedOn w:val="134"/>
    <w:link w:val="17"/>
    <w:qFormat/>
    <w:uiPriority w:val="99"/>
    <w:rPr>
      <w:sz w:val="16"/>
      <w:szCs w:val="16"/>
    </w:rPr>
  </w:style>
  <w:style w:type="character" w:customStyle="1" w:styleId="149">
    <w:name w:val="Macro Text Char"/>
    <w:basedOn w:val="134"/>
    <w:link w:val="2"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34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34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34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34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34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34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34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34"/>
    <w:link w:val="158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34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34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34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34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34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19</Pages>
  <Words>4325</Words>
  <Characters>4671</Characters>
  <Lines>0</Lines>
  <Paragraphs>0</Paragraphs>
  <TotalTime>1</TotalTime>
  <ScaleCrop>false</ScaleCrop>
  <LinksUpToDate>false</LinksUpToDate>
  <CharactersWithSpaces>4796</CharactersWithSpaces>
  <Application>WPS Office_12.1.0.28488_F1E327BC-269C-435d-A152-05C5408002CA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JIASF</cp:lastModifiedBy>
  <dcterms:modified xsi:type="dcterms:W3CDTF">2026-09-22T12:38:36Z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eyJoZGlkIjoiY2RmODI1NWZkNjZiYWU1YTRhNjBmMjRkMjNiYTZiODkiLCJ1c2VySWQiOiIxNTMxMTM4OTA5In0=</vt:lpwstr>
  </property>
  <property fmtid="{D5CDD505-2E9C-101B-9397-08002B2CF9AE}" pid="3" name="KSOProductBuildVer">
    <vt:lpwstr>2052-12.1.0.28488</vt:lpwstr>
  </property>
  <property fmtid="{D5CDD505-2E9C-101B-9397-08002B2CF9AE}" pid="4" name="ICV">
    <vt:lpwstr>5E40415A73F7468ABEEA393CEFE81F77_12</vt:lpwstr>
  </property>
</Properties>
</file>