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ind w:firstLine="0"/>
        <w:jc w:val="center"/>
      </w:pPr>
    </w:p>
    <w:p>
      <w:pPr>
        <w:spacing w:before="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青阅循环_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ind w:firstLine="0"/>
        <w:jc w:val="center"/>
      </w:pPr>
    </w:p>
    <w:p>
      <w:pPr>
        <w:spacing w:before="0" w:after="3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sz w:val="28"/>
          <w:szCs w:val="28"/>
        </w:rPr>
        <w:t>创新创业项目商业计划书</w:t>
      </w:r>
    </w:p>
    <w:p>
      <w:pPr>
        <w:spacing w:before="0" w:after="200" w:line="336" w:lineRule="auto"/>
        <w:ind w:firstLine="0"/>
        <w:jc w:val="center"/>
      </w:pPr>
      <w:r>
        <w:rPr>
          <w:rFonts w:ascii="黑体" w:hAnsi="黑体" w:eastAsia="黑体" w:cs="黑体"/>
          <w:b/>
          <w:color w:val="1F7A5C"/>
          <w:sz w:val="72"/>
          <w:szCs w:val="72"/>
        </w:rPr>
        <w:t>青阅循环</w:t>
      </w:r>
    </w:p>
    <w:p>
      <w:pPr>
        <w:spacing w:before="0" w:after="160" w:line="336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sz w:val="32"/>
          <w:szCs w:val="32"/>
        </w:rPr>
        <w:t>校园二手图书智能循环与生态服务平台</w:t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595959"/>
          <w:sz w:val="24"/>
          <w:szCs w:val="24"/>
        </w:rPr>
        <w:t>让闲置的书，再一次被需要</w:t>
      </w:r>
    </w:p>
    <w:p>
      <w:pPr>
        <w:spacing w:before="0" w:after="120" w:line="240" w:lineRule="auto"/>
        <w:ind w:firstLine="0"/>
        <w:jc w:val="center"/>
      </w:pP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sz w:val="22"/>
          <w:szCs w:val="22"/>
        </w:rPr>
        <w:t>版本：V4.0_DSH优化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sz w:val="22"/>
          <w:szCs w:val="22"/>
        </w:rPr>
        <w:t>团队名称：【团队名称待填写】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sz w:val="22"/>
          <w:szCs w:val="22"/>
        </w:rPr>
        <w:t>【日期待填写】</w:t>
      </w:r>
    </w:p>
    <w:p>
      <w:pPr>
        <w:sectPr>
          <w:pgSz w:w="12240" w:h="15840"/>
          <w:pgMar w:top="1440" w:right="1797" w:bottom="1440" w:left="1797" w:header="850" w:footer="850" w:gutter="0"/>
          <w:cols w:space="720" w:num="1"/>
          <w:docGrid w:linePitch="360" w:charSpace="0"/>
          <w:pgNumType w:fmt="decimal" w:start="1"/>
        </w:sect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8065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sz w:val="22"/>
          <w:szCs w:val="22"/>
          <w:lang w:val="en-US" w:eastAsia="en-US" w:bidi="ar-SA"/>
        </w:rPr>
      </w:sdtEndPr>
      <w:sdtContent>
        <w:p>
          <w:pPr>
            <w:spacing w:before="0" w:after="0" w:line="300" w:lineRule="auto"/>
            <w:jc w:val="center"/>
          </w:pPr>
          <w:r>
            <w:rPr>
              <w:rFonts w:ascii="黑体" w:hAnsi="黑体" w:eastAsia="黑体"/>
              <w:b/>
              <w:sz w:val="32"/>
            </w:rPr>
            <w:t xml:space="preserve">目录</w:t>
          </w:r>
        </w:p>
        <w:p>
          <w:pPr>
            <w:spacing w:before="0" w:after="0" w:line="300" w:lineRule="auto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TOC \o "1-3" \h \z \u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_Toc80000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编写说明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_Toc80000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_Toc80001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第一章 执行摘要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_Toc80001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_Toc80002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1.1 项目概述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_Toc80002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_Toc80003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1.2 核心竞争力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_Toc80003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_Toc80004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1.3 核心亮点指标矩阵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_Toc80004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_Toc80005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1.4 市场机会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_Toc80005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_Toc80006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1.5 财务与融资概要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_Toc80006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_Toc80007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第二章 项目背景与市场分析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_Toc80007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_Toc80008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2.1 行业背景：循环经济与校园绿色消费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_Toc80008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_Toc80009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2.2 政策环境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_Toc80009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_Toc80010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2.3 市场规模与增长趋势（TAM-SAM-SOM）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_Toc80010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_Toc80011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2.4 目标市场与用户痛点（含调研数据）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_Toc80011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_Toc80012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2.5 竞争格局与竞品分析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_Toc80012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_Toc80013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2.6 SWOT分析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_Toc80013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_Toc80014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第三章 产品与技术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_Toc80014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_Toc80015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3.1 产品概述与功能架构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_Toc80015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3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_Toc80016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3.1.1 微信小程序/APP核心功能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_Toc80016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3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_Toc80017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3.1.2 校园智能回收柜硬件交互系统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_Toc80017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_Toc80018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3.2 核心技术一：图书品相识别与动态定价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_Toc80018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_Toc80019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3.3 核心技术二：智能硬件端与云端协同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_Toc80019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_Toc80020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3.4 产品创新点与技术壁垒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_Toc80020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_Toc80021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3.5 知识产权布局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_Toc80021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_Toc80022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第四章 商业模式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_Toc80022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_Toc80023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4.1 价值主张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_Toc80023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_Toc80024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4.2 盈利模式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_Toc80024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_Toc80025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4.3 单体经济模型（UE）与盈亏平衡测算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_Toc80025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_Toc80026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4.4 定价策略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_Toc80026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_Toc80027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4.5 渠道与合作伙伴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_Toc80027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_Toc80028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第五章 运营与营销策略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_Toc80028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_Toc80029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5.1 市场定位与目标客户细分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_Toc80029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_Toc80030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5.2 品牌推广与用户引流策略（含CAC与留存）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_Toc80030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_Toc80031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5.3 运营计划与时间节点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_Toc80031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_Toc80032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5.4 关键运营指标体系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_Toc80032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_Toc80033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第六章 供应链与物流体系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_Toc80033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_Toc80034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6.1 校园仓储与智能柜终端布局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_Toc80034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_Toc80035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6.2 旧书回收、质检与整理SOP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_Toc80035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_Toc80036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6.3 校园逆向物流与末端配送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_Toc80036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_Toc80037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第七章 团队介绍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_Toc80037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_Toc80038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7.1 核心团队成员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_Toc80038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_Toc80039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7.2 组织架构与部门职责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_Toc80039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_Toc80040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7.3 顾问与指导老师团队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_Toc80040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_Toc80041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7.4 团队核心优势与人岗匹配度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_Toc80041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_Toc80042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第八章 财务规划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_Toc80042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_Toc80043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8.1 融资需求与资金使用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_Toc80043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_Toc80044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8.2 未来3年收入预测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_Toc80044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_Toc80045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8.3 成本与费用预测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_Toc80045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_Toc80046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8.4 利润表与现金流分析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_Toc80046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_Toc80047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8.5 盈亏平衡点与ROI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_Toc80047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_Toc80048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8.6 敏感性分析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_Toc80048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_Toc80049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第九章 风险分析与应对措施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_Toc80049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_Toc80050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9.1 版权与合规（含技术风控）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_Toc80050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_Toc80051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第十章 社会价值与育人成果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_Toc80051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_Toc80052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10.1 绿色低碳效应（LCA方法学）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_Toc80052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_Toc80053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10.2 产教融合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_Toc80053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_Toc80054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10.3 "无废校园"与书香校园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_Toc80054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_Toc80055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附录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_Toc80055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_Toc80056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附录A 专利证书及软件著作权列表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_Toc80056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_Toc80057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附录B 团队荣誉与资质证书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_Toc80057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_Toc80058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附录C 校企合作与后勤合作意向书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_Toc80058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9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_Toc80059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附录D 校园市场调研报告与问卷分析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_Toc80059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HYPERLINK \l _Toc80060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b/>
              <w:sz w:val="23"/>
            </w:rPr>
            <w:t xml:space="preserve">项目一句话总结</w:t>
          </w:r>
          <w:r>
            <w:rPr>
              <w:rFonts w:ascii="Times New Roman" w:hAnsi="Times New Roman" w:eastAsia="宋体"/>
              <w:sz w:val="22"/>
            </w:rPr>
            <w:tab/>
          </w:r>
          <w:r>
            <w:rPr>
              <w:rFonts w:ascii="Times New Roman" w:hAnsi="Times New Roman" w:eastAsia="宋体"/>
              <w:sz w:val="22"/>
            </w:rPr>
            <w:fldChar w:fldCharType="begin"/>
          </w:r>
          <w:r>
            <w:instrText xml:space="preserve"> PAGEREF _Toc80060 \h </w:instrText>
          </w:r>
          <w:r>
            <w:rPr>
              <w:rFonts w:ascii="Times New Roman" w:hAnsi="Times New Roman" w:eastAsia="宋体"/>
              <w:sz w:val="22"/>
            </w:rPr>
            <w:fldChar w:fldCharType="separate"/>
          </w:r>
          <w:r>
            <w:rPr>
              <w:rFonts w:ascii="Times New Roman" w:hAnsi="Times New Roman" w:eastAsia="宋体"/>
              <w:sz w:val="22"/>
            </w:rPr>
            <w:t xml:space="preserve">1</w:t>
          </w:r>
          <w:r>
            <w:rPr>
              <w:rFonts w:ascii="Times New Roman" w:hAnsi="Times New Roman" w:eastAsia="宋体"/>
              <w:sz w:val="22"/>
            </w:rPr>
            <w:fldChar w:fldCharType="end"/>
          </w:r>
          <w:r>
            <w:rPr>
              <w:rFonts w:ascii="Times New Roman" w:hAnsi="Times New Roman" w:eastAsia="宋体"/>
              <w:sz w:val="22"/>
            </w:rPr>
            <w:fldChar w:fldCharType="end"/>
          </w:r>
        </w:p>
        <w:p/>
      </w:sdtContent>
    </w:sdt>
    <w:p>
      <w:pPr>
        <w:sectPr>
          <w:pgSz w:w="12240" w:h="15840"/>
          <w:pgMar w:top="1440" w:right="1797" w:bottom="1440" w:left="1797" w:header="850" w:footer="850" w:gutter="0"/>
          <w:cols w:space="720" w:num="1"/>
          <w:docGrid w:linePitch="360" w:charSpace="0"/>
          <w:pgNumType w:fmt="upperRoman" w:start="1"/>
        </w:sectPr>
      </w:pPr>
    </w:p>
    <w:p w14:paraId="531B2828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00" w:name="_Toc80000"/>
      <w:bookmarkEnd w:id="80000"/>
      <w:bookmarkStart w:id="0" w:name="_Toc15065"/>
      <w:r>
        <w:rPr>
          <w:rFonts w:ascii="黑体" w:hAnsi="黑体" w:eastAsia="黑体" w:cs="黑体"/>
          <w:b/>
          <w:color w:val="000000"/>
          <w:sz w:val="32"/>
          <w:szCs w:val="32"/>
        </w:rPr>
        <w:t>编写说明</w:t>
      </w:r>
      <w:bookmarkEnd w:id="0"/>
    </w:p>
    <w:p w14:paraId="7220A24B">
      <w:pPr>
        <w:spacing w:after="120" w:before="0" w:line="360" w:lineRule="auto"/>
        <w:ind w:firstLine="482"/>
        <w:jc w:val="both"/>
        <w:rPr>
          <w:rFonts w:ascii="宋体" w:hAnsi="宋体" w:eastAsia="宋体"/>
          <w:b w:val="0"/>
          <w:sz w:val="22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本版本依据评审意见完成六大深度优化：</w:t>
      </w:r>
    </w:p>
    <w:p w14:paraId="091FF36D">
      <w:pPr>
        <w:spacing w:after="120" w:before="0" w:line="360" w:lineRule="auto"/>
        <w:ind w:firstLine="482"/>
        <w:jc w:val="both"/>
        <w:rPr>
          <w:rFonts w:ascii="宋体" w:hAnsi="宋体" w:eastAsia="宋体"/>
          <w:b w:val="0"/>
          <w:sz w:val="22"/>
        </w:rPr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（1）补齐数据与证据链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，新增问卷调研数据、试点运营数据与三级市场测算；</w:t>
      </w:r>
    </w:p>
    <w:p w14:paraId="080D3B0A">
      <w:pPr>
        <w:spacing w:after="120" w:before="0" w:line="360" w:lineRule="auto"/>
        <w:ind w:firstLine="482"/>
        <w:jc w:val="both"/>
        <w:rPr>
          <w:rFonts w:ascii="宋体" w:hAnsi="宋体" w:eastAsia="宋体"/>
          <w:b w:val="0"/>
          <w:sz w:val="22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（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）技术从"未来规划"升级为"MVP 原型展示"，明确算法选型、数据集规模与测试指标；</w:t>
      </w:r>
    </w:p>
    <w:p w14:paraId="5E41CA54">
      <w:pPr>
        <w:spacing w:after="120" w:before="0" w:line="360" w:lineRule="auto"/>
        <w:ind w:firstLine="482"/>
        <w:jc w:val="both"/>
        <w:rPr>
          <w:rFonts w:ascii="宋体" w:hAnsi="宋体" w:eastAsia="宋体"/>
          <w:b w:val="0"/>
          <w:sz w:val="22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（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）新增单体经济模型（UE）与单柜回本周期测算；</w:t>
      </w:r>
    </w:p>
    <w:p w14:paraId="4B63727A">
      <w:pPr>
        <w:spacing w:after="120" w:before="0" w:line="360" w:lineRule="auto"/>
        <w:ind w:firstLine="482"/>
        <w:jc w:val="both"/>
        <w:rPr>
          <w:rFonts w:ascii="宋体" w:hAnsi="宋体" w:eastAsia="宋体"/>
          <w:b w:val="0"/>
          <w:sz w:val="22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（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）强化校园进驻路径与合作凭证要求；</w:t>
      </w:r>
    </w:p>
    <w:p w14:paraId="3F914991">
      <w:pPr>
        <w:spacing w:after="120" w:before="0" w:line="360" w:lineRule="auto"/>
        <w:ind w:firstLine="482"/>
        <w:jc w:val="both"/>
        <w:rPr>
          <w:rFonts w:ascii="宋体" w:hAnsi="宋体" w:eastAsia="宋体"/>
          <w:b w:val="0"/>
          <w:sz w:val="22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（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）完善版权合规与技术风控机制；</w:t>
      </w:r>
    </w:p>
    <w:p w14:paraId="2D2B9881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（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）规范碳减排计算方法，引入生命周期评价（LCA）方法学。</w:t>
      </w:r>
    </w:p>
    <w:p w14:paraId="1406BF69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重要提示：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文中标注"（示例数据）"的数字为基于行业经验的测算演示，用于展示测算方法与呈现格式；正式参赛前，必须以团队真实问卷数据、试点运营数据、合作意向书及权威公开统计替换，确保全部数据真实可核验。</w:t>
      </w:r>
    </w:p>
    <w:p w14:paraId="1E952AD5">
      <w:r>
        <w:br w:type="page"/>
      </w:r>
    </w:p>
    <w:p w14:paraId="7D98FE5A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01" w:name="_Toc80001"/>
      <w:bookmarkEnd w:id="80001"/>
      <w:bookmarkStart w:id="1" w:name="_Toc6912"/>
      <w:r>
        <w:rPr>
          <w:rFonts w:ascii="黑体" w:hAnsi="黑体" w:eastAsia="黑体" w:cs="黑体"/>
          <w:b/>
          <w:color w:val="000000"/>
          <w:sz w:val="32"/>
          <w:szCs w:val="32"/>
        </w:rPr>
        <w:t>第一章 执行摘要</w:t>
      </w:r>
      <w:bookmarkEnd w:id="1"/>
    </w:p>
    <w:p w14:paraId="5E3284FF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02" w:name="_Toc80002"/>
      <w:bookmarkEnd w:id="80002"/>
      <w:bookmarkStart w:id="2" w:name="_Toc17591"/>
      <w:r>
        <w:rPr>
          <w:rFonts w:ascii="黑体" w:hAnsi="黑体" w:eastAsia="黑体" w:cs="黑体"/>
          <w:b/>
          <w:color w:val="000000"/>
          <w:sz w:val="28"/>
          <w:szCs w:val="28"/>
        </w:rPr>
        <w:t>1.1 项目概述</w:t>
      </w:r>
      <w:bookmarkEnd w:id="2"/>
    </w:p>
    <w:p w14:paraId="37612C14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"青阅循环"是一项面向高校校园的二手图书智能循环与生态服务项目。项目以学生闲置教材、专业书籍、考试辅导书和课外读物为主要资源，通过"线上平台+线下回收终端+校园仓储与配送"的方式，打通旧书回收、品相评估、分类整理、二手交易、以书换书和公益捐赠等环节，形成校园图书循环利用闭环。</w:t>
      </w:r>
    </w:p>
    <w:p w14:paraId="2407C4C5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项目重点解决毕业季旧书处理麻烦、传统废纸回收价值低、二手教材信息分散、学生购买新教材成本较高等问题。平台以 ISBN 识别、规则化品相评价、专业与课程标签匹配为基础，引入基于深度学习的视觉品相识别与数据驱动的动态定价能力；线下根据试点规模配置回收点与智能回收柜，降低用户交付图书的时间成本。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1-1：项目商业模式总览图｜建议图表类型：架构图｜数据来源：待补充（团队商业逻辑梳理）】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回收端（预约上门 / 校园回收点 / 智能柜）→ 标准化质检分级 → 线上平台与校园仓储 → 出售 / 交换 / 租赁 / 公益捐赠多路径循环 → 数据沉淀反哺需求预测与动态定价，并标注各方（学生、平台、学校、合作企业）的价值交换关系。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1-1 项目商业模式总览图（待补充数据）</w:t>
            </w:r>
          </w:p>
        </w:tc>
      </w:tr>
    </w:tbl>
    <w:p w14:paraId="2F24C908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03" w:name="_Toc80003"/>
      <w:bookmarkEnd w:id="80003"/>
      <w:bookmarkStart w:id="3" w:name="_Toc11773"/>
      <w:r>
        <w:rPr>
          <w:rFonts w:ascii="黑体" w:hAnsi="黑体" w:eastAsia="黑体" w:cs="黑体"/>
          <w:b/>
          <w:color w:val="000000"/>
          <w:sz w:val="28"/>
          <w:szCs w:val="28"/>
        </w:rPr>
        <w:t>1.2 核心竞争力</w:t>
      </w:r>
      <w:bookmarkEnd w:id="3"/>
    </w:p>
    <w:p w14:paraId="509AEDBF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校园垂直场景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：围绕学校、学院、专业、年级和课程建立图书供需匹配关系，降低综合二手平台的信息筛选成本。</w:t>
      </w:r>
    </w:p>
    <w:p w14:paraId="3D3295CB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线上线下一体化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：线上完成发布、估价、搜索、预约和交易，线下完成回收、质检、仓储与交付。</w:t>
      </w:r>
    </w:p>
    <w:p w14:paraId="53DD0187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标准化品相评价 + AI 视觉识别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：建立封面、内页、书写痕迹、缺页、破损等维度的统一评价规则，并以 YOLOv8 视觉模型辅助识别，为动态定价提供数据基础。</w:t>
      </w:r>
    </w:p>
    <w:p w14:paraId="73AE2A4C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循环利用机制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：出售、交换、租赁和公益捐赠多路径并行，提高图书再次流通的概率。</w:t>
      </w:r>
    </w:p>
    <w:p w14:paraId="361B3E9A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数据与生态壁垒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：沉淀"学校—专业—课程—教材—学期"供需数据库，形成难以复制的校园图书需求图谱。</w:t>
      </w:r>
    </w:p>
    <w:p w14:paraId="15623A29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校园进驻壁垒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：通过与校团委、后勤、青协的官方合作建立线下网络，形成先发渠道优势。</w:t>
      </w:r>
    </w:p>
    <w:p w14:paraId="6D6DEF7F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04" w:name="_Toc80004"/>
      <w:bookmarkEnd w:id="80004"/>
      <w:bookmarkStart w:id="4" w:name="_Toc12314"/>
      <w:r>
        <w:rPr>
          <w:rFonts w:ascii="黑体" w:hAnsi="黑体" w:eastAsia="黑体" w:cs="黑体"/>
          <w:b/>
          <w:color w:val="000000"/>
          <w:sz w:val="28"/>
          <w:szCs w:val="28"/>
        </w:rPr>
        <w:t>1.3 核心亮点指标矩阵</w:t>
      </w:r>
      <w:bookmarkEnd w:id="4"/>
    </w:p>
    <w:p w14:paraId="40462FE9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注：以下为示例数据，正式提交前替换为团队真实数据。</w:t>
      </w:r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880"/>
        <w:gridCol w:w="2880"/>
        <w:gridCol w:w="2880"/>
      </w:tblGrid>
      <w:tr w14:paraId="2B607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2880" w:type="dxa"/>
            <w:vAlign w:val="center"/>
          </w:tcPr>
          <w:p w14:paraId="1347C98C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核心指标</w:t>
            </w:r>
          </w:p>
        </w:tc>
        <w:tc>
          <w:tcPr>
            <w:tcW w:w="2880" w:type="dxa"/>
            <w:vAlign w:val="center"/>
          </w:tcPr>
          <w:p w14:paraId="3DA68C93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数值（示例）</w:t>
            </w:r>
          </w:p>
        </w:tc>
        <w:tc>
          <w:tcPr>
            <w:tcW w:w="2880" w:type="dxa"/>
            <w:vAlign w:val="center"/>
          </w:tcPr>
          <w:p w14:paraId="379D455C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说明</w:t>
            </w:r>
          </w:p>
        </w:tc>
      </w:tr>
      <w:tr w14:paraId="6D6E9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698B173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试点运营数据</w:t>
            </w:r>
          </w:p>
        </w:tc>
        <w:tc>
          <w:tcPr>
            <w:tcW w:w="2880" w:type="dxa"/>
            <w:vAlign w:val="center"/>
          </w:tcPr>
          <w:p w14:paraId="24E0605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2周回收1,186册，成交率62.6%，复购率34.2%</w:t>
            </w:r>
          </w:p>
        </w:tc>
        <w:tc>
          <w:tcPr>
            <w:tcW w:w="2880" w:type="dxa"/>
            <w:vAlign w:val="center"/>
          </w:tcPr>
          <w:p w14:paraId="050386E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本校宿舍区+2个学院试运营</w:t>
            </w:r>
          </w:p>
        </w:tc>
      </w:tr>
      <w:tr w14:paraId="3DD01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6D3578A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用户调研</w:t>
            </w:r>
          </w:p>
        </w:tc>
        <w:tc>
          <w:tcPr>
            <w:tcW w:w="2880" w:type="dxa"/>
            <w:vAlign w:val="center"/>
          </w:tcPr>
          <w:p w14:paraId="1F2F270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有效问卷821份，76.1%有二手教材购买意愿</w:t>
            </w:r>
          </w:p>
        </w:tc>
        <w:tc>
          <w:tcPr>
            <w:tcW w:w="2880" w:type="dxa"/>
            <w:vAlign w:val="center"/>
          </w:tcPr>
          <w:p w14:paraId="4226FF6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覆盖本校及周边2所高校</w:t>
            </w:r>
          </w:p>
        </w:tc>
      </w:tr>
      <w:tr w14:paraId="57E87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546D6AC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单本毛利率</w:t>
            </w:r>
          </w:p>
        </w:tc>
        <w:tc>
          <w:tcPr>
            <w:tcW w:w="2880" w:type="dxa"/>
            <w:vAlign w:val="center"/>
          </w:tcPr>
          <w:p w14:paraId="46020B1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58.3%</w:t>
            </w:r>
          </w:p>
        </w:tc>
        <w:tc>
          <w:tcPr>
            <w:tcW w:w="2880" w:type="dxa"/>
            <w:vAlign w:val="center"/>
          </w:tcPr>
          <w:p w14:paraId="477A149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回收2.5+质检仓储1.0+配送1.5=成本5.0元，售价12元</w:t>
            </w:r>
          </w:p>
        </w:tc>
      </w:tr>
      <w:tr w14:paraId="0A32A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096A46B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单柜回本周期</w:t>
            </w:r>
          </w:p>
        </w:tc>
        <w:tc>
          <w:tcPr>
            <w:tcW w:w="2880" w:type="dxa"/>
            <w:vAlign w:val="center"/>
          </w:tcPr>
          <w:p w14:paraId="3C3193D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约6.7个月</w:t>
            </w:r>
          </w:p>
        </w:tc>
        <w:tc>
          <w:tcPr>
            <w:tcW w:w="2880" w:type="dxa"/>
            <w:vAlign w:val="center"/>
          </w:tcPr>
          <w:p w14:paraId="581F9AD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单柜硬件+安装2.0万元，月净贡献约2,987元</w:t>
            </w:r>
          </w:p>
        </w:tc>
      </w:tr>
      <w:tr w14:paraId="08E56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051561B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单校盈亏平衡</w:t>
            </w:r>
          </w:p>
        </w:tc>
        <w:tc>
          <w:tcPr>
            <w:tcW w:w="2880" w:type="dxa"/>
            <w:vAlign w:val="center"/>
          </w:tcPr>
          <w:p w14:paraId="32302A5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月成交约1,858册（日均62册）</w:t>
            </w:r>
          </w:p>
        </w:tc>
        <w:tc>
          <w:tcPr>
            <w:tcW w:w="2880" w:type="dxa"/>
            <w:vAlign w:val="center"/>
          </w:tcPr>
          <w:p w14:paraId="099743F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月固定成本约1.3万元</w:t>
            </w:r>
          </w:p>
        </w:tc>
      </w:tr>
      <w:tr w14:paraId="005E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07F81A9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知识产权</w:t>
            </w:r>
          </w:p>
        </w:tc>
        <w:tc>
          <w:tcPr>
            <w:tcW w:w="2880" w:type="dxa"/>
            <w:vAlign w:val="center"/>
          </w:tcPr>
          <w:p w14:paraId="25C23BF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规划申请软著2项、实用新型专利1项</w:t>
            </w:r>
          </w:p>
        </w:tc>
        <w:tc>
          <w:tcPr>
            <w:tcW w:w="2880" w:type="dxa"/>
            <w:vAlign w:val="center"/>
          </w:tcPr>
          <w:p w14:paraId="2094923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以实际受理通知书为准</w:t>
            </w:r>
          </w:p>
        </w:tc>
      </w:tr>
      <w:tr w14:paraId="549F8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0ED765E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首轮融资</w:t>
            </w:r>
          </w:p>
        </w:tc>
        <w:tc>
          <w:tcPr>
            <w:tcW w:w="2880" w:type="dxa"/>
            <w:vAlign w:val="center"/>
          </w:tcPr>
          <w:p w14:paraId="78DA4DB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30万元</w:t>
            </w:r>
          </w:p>
        </w:tc>
        <w:tc>
          <w:tcPr>
            <w:tcW w:w="2880" w:type="dxa"/>
            <w:vAlign w:val="center"/>
          </w:tcPr>
          <w:p w14:paraId="3C8ABB0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支撑18个月以上运营（目标情景）</w:t>
            </w:r>
          </w:p>
        </w:tc>
      </w:tr>
    </w:tbl>
    <w:p w14:paraId="6C605C12">
      <w:pPr>
        <w:spacing w:after="40"/>
      </w:pPr>
    </w:p>
    <w:p w14:paraId="6FF1B28F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05" w:name="_Toc80005"/>
      <w:bookmarkEnd w:id="80005"/>
      <w:bookmarkStart w:id="5" w:name="_Toc23652"/>
      <w:r>
        <w:rPr>
          <w:rFonts w:ascii="黑体" w:hAnsi="黑体" w:eastAsia="黑体" w:cs="黑体"/>
          <w:b/>
          <w:color w:val="000000"/>
          <w:sz w:val="28"/>
          <w:szCs w:val="28"/>
        </w:rPr>
        <w:t>1.4 市场机会</w:t>
      </w:r>
      <w:bookmarkEnd w:id="5"/>
    </w:p>
    <w:p w14:paraId="23B1533E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高校教材具有明显的周期性和专业性：同一课程在不同年级持续产生教材需求，而毕业生、转专业学生和课程结束后的学生又会形成稳定的闲置图书供给。团队调研显示（示例数据），受访学生人均闲置图书6.8册，82.4%的毕业生曾因"搬运沉重/售价过低"放弃卖书——供给端被严重压抑。现有综合二手平台能够完成交易，但缺少围绕校园专业课程、线下交付和集中回收的深度优化。项目选择"校园旧书循环"作为切入口，先验证单校商业闭环，再向同城及区域高校复制。</w:t>
      </w:r>
    </w:p>
    <w:p w14:paraId="2C7F3477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06" w:name="_Toc80006"/>
      <w:bookmarkEnd w:id="80006"/>
      <w:bookmarkStart w:id="6" w:name="_Toc14938"/>
      <w:r>
        <w:rPr>
          <w:rFonts w:ascii="黑体" w:hAnsi="黑体" w:eastAsia="黑体" w:cs="黑体"/>
          <w:b/>
          <w:color w:val="000000"/>
          <w:sz w:val="28"/>
          <w:szCs w:val="28"/>
        </w:rPr>
        <w:t>1.5 财务与融资概要</w:t>
      </w:r>
      <w:bookmarkEnd w:id="6"/>
    </w:p>
    <w:p w14:paraId="544DA00E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项目采用"轻资产验证、硬件逐步投入"策略：第一阶段以小程序原型、人工回收点验证需求；单校回收量、复购率和库存周转达到预设阈值后再扩大硬件投入。首轮融资金额30万元，股权比例与估值结合试点数据确定（详见第八章）。目标情景下，项目在第18个月前后实现单校月度盈亏平衡，第三年净利润105万元；首轮资金在目标情景下可支撑18个月以上运营。正式参赛时以月度现金流、单位经济模型和敏感性分析（8.6节）作为支撑。</w:t>
      </w:r>
    </w:p>
    <w:p w14:paraId="02068778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07" w:name="_Toc80007"/>
      <w:bookmarkEnd w:id="80007"/>
      <w:bookmarkStart w:id="7" w:name="_Toc18414"/>
      <w:r>
        <w:rPr>
          <w:rFonts w:ascii="黑体" w:hAnsi="黑体" w:eastAsia="黑体" w:cs="黑体"/>
          <w:b/>
          <w:color w:val="000000"/>
          <w:sz w:val="32"/>
          <w:szCs w:val="32"/>
        </w:rPr>
        <w:t>第二章 项目背景与市场分析</w:t>
      </w:r>
      <w:bookmarkEnd w:id="7"/>
    </w:p>
    <w:p w14:paraId="646F5AB8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08" w:name="_Toc80008"/>
      <w:bookmarkEnd w:id="80008"/>
      <w:bookmarkStart w:id="8" w:name="_Toc30974"/>
      <w:r>
        <w:rPr>
          <w:rFonts w:ascii="黑体" w:hAnsi="黑体" w:eastAsia="黑体" w:cs="黑体"/>
          <w:b/>
          <w:color w:val="000000"/>
          <w:sz w:val="28"/>
          <w:szCs w:val="28"/>
        </w:rPr>
        <w:t>2.1 行业背景：循环经济与校园绿色消费</w:t>
      </w:r>
      <w:bookmarkEnd w:id="8"/>
    </w:p>
    <w:p w14:paraId="7595FD90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高校校园具有人员集中、图书需求周期明显、专业课程体系稳定等特点，为二手教材循环提供了天然场景。每年毕业、转专业、课程更替和考试阶段都会产生阶段性图书供给与需求。当前部分学生仍采用闲置、低价出售或按废纸处理等方式处置图书，图书的剩余使用价值没有得到充分释放。"青阅循环"将图书视为可持续流转的校园资源，通过数字化平台提升供需匹配效率，并以标准化质检和线下交付提升二手图书交易的确定性。</w:t>
      </w:r>
    </w:p>
    <w:p w14:paraId="45F2650B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09" w:name="_Toc80009"/>
      <w:bookmarkEnd w:id="80009"/>
      <w:bookmarkStart w:id="9" w:name="_Toc10199"/>
      <w:r>
        <w:rPr>
          <w:rFonts w:ascii="黑体" w:hAnsi="黑体" w:eastAsia="黑体" w:cs="黑体"/>
          <w:b/>
          <w:color w:val="000000"/>
          <w:sz w:val="28"/>
          <w:szCs w:val="28"/>
        </w:rPr>
        <w:t>2.2 政策环境</w:t>
      </w:r>
      <w:bookmarkEnd w:id="9"/>
    </w:p>
    <w:p w14:paraId="1D7EE3E0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项目契合"双碳"目标、资源循环利用、绿色校园和"无废城市/无废校园"等政策方向。正式参赛时，建议引用以下类型文件的原文并注明发布部门、文号与条款：国家发展改革委《循环经济发展规划》相关文件、教育部《绿色学校创建行动方案》、生态环境部"无废城市"建设相关文件及本校绿色校园建设实施方案，避免口号式政策表述。</w:t>
      </w:r>
    </w:p>
    <w:p w14:paraId="085C8A2F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10" w:name="_Toc80010"/>
      <w:bookmarkEnd w:id="80010"/>
      <w:bookmarkStart w:id="10" w:name="_Toc9953"/>
      <w:r>
        <w:rPr>
          <w:rFonts w:ascii="黑体" w:hAnsi="黑体" w:eastAsia="黑体" w:cs="黑体"/>
          <w:b/>
          <w:color w:val="000000"/>
          <w:sz w:val="28"/>
          <w:szCs w:val="28"/>
        </w:rPr>
        <w:t>2.3 市场规模与增长趋势（TAM-SAM-SOM）</w:t>
      </w:r>
      <w:bookmarkEnd w:id="10"/>
    </w:p>
    <w:p w14:paraId="7E1E90DA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本计划书采用"全国市场—目标区域市场—可获得市场"三级测算方法，公式为：目标高校学生数 × 年均可流转图书数量 × 平均二手交易金额 × 可服务渗透率 = 可服务市场规模（SAM）。</w:t>
      </w:r>
    </w:p>
    <w:p w14:paraId="31A0B5A7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注：以下测算中全国及省份在校生数为示例口径，正式版本须替换为教育部最新教育统计公报及省级统计数据，并注明来源。</w:t>
      </w:r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880"/>
        <w:gridCol w:w="2880"/>
        <w:gridCol w:w="2880"/>
      </w:tblGrid>
      <w:tr w14:paraId="56E24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  <w:cantSplit/>
          <w:tblHeader w:val="true"/>
          <w:trHeight w:val="453" w:hRule="atLeast"/>
        </w:trPr>
        <w:tc>
          <w:tcPr>
            <w:tcW w:w="2880" w:type="dxa"/>
            <w:vAlign w:val="center"/>
          </w:tcPr>
          <w:p w14:paraId="0091715E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层级</w:t>
            </w:r>
          </w:p>
        </w:tc>
        <w:tc>
          <w:tcPr>
            <w:tcW w:w="2880" w:type="dxa"/>
            <w:vAlign w:val="center"/>
          </w:tcPr>
          <w:p w14:paraId="62906CDF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测算公式</w:t>
            </w:r>
          </w:p>
        </w:tc>
        <w:tc>
          <w:tcPr>
            <w:tcW w:w="2880" w:type="dxa"/>
            <w:vAlign w:val="center"/>
          </w:tcPr>
          <w:p w14:paraId="3C3A762A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测算结果（示例）</w:t>
            </w:r>
          </w:p>
        </w:tc>
      </w:tr>
      <w:tr w14:paraId="2D13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572F041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TAM 全国市场</w:t>
            </w:r>
          </w:p>
        </w:tc>
        <w:tc>
          <w:tcPr>
            <w:tcW w:w="2880" w:type="dxa"/>
            <w:vAlign w:val="center"/>
          </w:tcPr>
          <w:p w14:paraId="52A0CC7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全国本专科在校生约3,700万 × 年流转2册 × 均价12元</w:t>
            </w:r>
          </w:p>
        </w:tc>
        <w:tc>
          <w:tcPr>
            <w:tcW w:w="2880" w:type="dxa"/>
            <w:vAlign w:val="center"/>
          </w:tcPr>
          <w:p w14:paraId="5523CA4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约8.9亿元/年</w:t>
            </w:r>
          </w:p>
        </w:tc>
      </w:tr>
      <w:tr w14:paraId="5472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7E854E5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SAM 目标区域市场</w:t>
            </w:r>
          </w:p>
        </w:tc>
        <w:tc>
          <w:tcPr>
            <w:tcW w:w="2880" w:type="dxa"/>
            <w:vAlign w:val="center"/>
          </w:tcPr>
          <w:p w14:paraId="1927535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目标省份高校在校生约68万 × 年流转2.5册 × 均价12元 × 渗透率15%</w:t>
            </w:r>
          </w:p>
        </w:tc>
        <w:tc>
          <w:tcPr>
            <w:tcW w:w="2880" w:type="dxa"/>
            <w:vAlign w:val="center"/>
          </w:tcPr>
          <w:p w14:paraId="28F1E62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约3,060万元/年</w:t>
            </w:r>
          </w:p>
        </w:tc>
      </w:tr>
      <w:tr w14:paraId="3C0B4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58C8F6B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SOM 可获得市场</w:t>
            </w:r>
          </w:p>
        </w:tc>
        <w:tc>
          <w:tcPr>
            <w:tcW w:w="2880" w:type="dxa"/>
            <w:vAlign w:val="center"/>
          </w:tcPr>
          <w:p w14:paraId="3EFC362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3年覆盖35所高校，单校年交易额约6.9万元</w:t>
            </w:r>
          </w:p>
        </w:tc>
        <w:tc>
          <w:tcPr>
            <w:tcW w:w="2880" w:type="dxa"/>
            <w:vAlign w:val="center"/>
          </w:tcPr>
          <w:p w14:paraId="0EC1262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约240万元/年（占SAM约7.8%）</w:t>
            </w:r>
          </w:p>
        </w:tc>
      </w:tr>
    </w:tbl>
    <w:p w14:paraId="5A7DB03F">
      <w:pPr>
        <w:spacing w:after="40"/>
      </w:pPr>
    </w:p>
    <w:p w14:paraId="3A0F530E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增长逻辑：覆盖高校数量扩张（2所→10所→35所）× 单校渗透率提升（自然增长+毕业季/开学季运营驱动）× 单客价值提升（买卖+租赁+换书多业务叠加）。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2-1：市场规模三级测算图｜建议图表类型：柱状图｜数据来源：待调研验证（教育部教育统计公报 + 团队测算）】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按 TAM（全国市场）→ SAM（目标区域市场）→ SOM（可获得市场）三级口径呈现规模量级，正式版须注明各层级测算公式、参数来源与假设条件。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2-1 市场规模三级测算图（待补充数据）</w:t>
            </w:r>
          </w:p>
        </w:tc>
      </w:tr>
    </w:tbl>
    <w:p w14:paraId="17E3B423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11" w:name="_Toc80011"/>
      <w:bookmarkEnd w:id="80011"/>
      <w:bookmarkStart w:id="11" w:name="_Toc20979"/>
      <w:r>
        <w:rPr>
          <w:rFonts w:ascii="黑体" w:hAnsi="黑体" w:eastAsia="黑体" w:cs="黑体"/>
          <w:b/>
          <w:color w:val="000000"/>
          <w:sz w:val="28"/>
          <w:szCs w:val="28"/>
        </w:rPr>
        <w:t>2.4 目标市场与用户痛点（含调研数据）</w:t>
      </w:r>
      <w:bookmarkEnd w:id="11"/>
    </w:p>
    <w:p w14:paraId="488D99C4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调研概况（示例数据，正式版替换为真实调研）：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2026年X月，团队面向本校及周边2所高校发放问卷872份，回收有效问卷821份，样本覆盖四个年级、理工/文管/艺术等主要学科。</w:t>
      </w:r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880"/>
        <w:gridCol w:w="2880"/>
        <w:gridCol w:w="2880"/>
      </w:tblGrid>
      <w:tr w14:paraId="0B6A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2880" w:type="dxa"/>
            <w:vAlign w:val="center"/>
          </w:tcPr>
          <w:p w14:paraId="6D0A8FA8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关键发现</w:t>
            </w:r>
          </w:p>
        </w:tc>
        <w:tc>
          <w:tcPr>
            <w:tcW w:w="2880" w:type="dxa"/>
            <w:vAlign w:val="center"/>
          </w:tcPr>
          <w:p w14:paraId="669AC597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占比/数值</w:t>
            </w:r>
          </w:p>
        </w:tc>
        <w:tc>
          <w:tcPr>
            <w:tcW w:w="2880" w:type="dxa"/>
            <w:vAlign w:val="center"/>
          </w:tcPr>
          <w:p w14:paraId="6A5EAF1E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业务启示</w:t>
            </w:r>
          </w:p>
        </w:tc>
      </w:tr>
      <w:tr w14:paraId="2F62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463857C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毕业生因"搬运沉重/售价过低"放弃或贱卖旧书</w:t>
            </w:r>
          </w:p>
        </w:tc>
        <w:tc>
          <w:tcPr>
            <w:tcW w:w="2880" w:type="dxa"/>
            <w:vAlign w:val="center"/>
          </w:tcPr>
          <w:p w14:paraId="623402A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82.4%</w:t>
            </w:r>
          </w:p>
        </w:tc>
        <w:tc>
          <w:tcPr>
            <w:tcW w:w="2880" w:type="dxa"/>
            <w:vAlign w:val="center"/>
          </w:tcPr>
          <w:p w14:paraId="102839E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集中回收+预约上门是核心入口</w:t>
            </w:r>
          </w:p>
        </w:tc>
      </w:tr>
      <w:tr w14:paraId="46EDF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4D0B794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低年级学生有明确的二手教材购买意愿</w:t>
            </w:r>
          </w:p>
        </w:tc>
        <w:tc>
          <w:tcPr>
            <w:tcW w:w="2880" w:type="dxa"/>
            <w:vAlign w:val="center"/>
          </w:tcPr>
          <w:p w14:paraId="57BB7F7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76.1%</w:t>
            </w:r>
          </w:p>
        </w:tc>
        <w:tc>
          <w:tcPr>
            <w:tcW w:w="2880" w:type="dxa"/>
            <w:vAlign w:val="center"/>
          </w:tcPr>
          <w:p w14:paraId="5C7C57A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开学季教材组合包有稳定需求</w:t>
            </w:r>
          </w:p>
        </w:tc>
      </w:tr>
      <w:tr w14:paraId="02E06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757BE62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可接受的二手教材价格区间为新书3-5折</w:t>
            </w:r>
          </w:p>
        </w:tc>
        <w:tc>
          <w:tcPr>
            <w:tcW w:w="2880" w:type="dxa"/>
            <w:vAlign w:val="center"/>
          </w:tcPr>
          <w:p w14:paraId="0EDA92A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65.8%</w:t>
            </w:r>
          </w:p>
        </w:tc>
        <w:tc>
          <w:tcPr>
            <w:tcW w:w="2880" w:type="dxa"/>
            <w:vAlign w:val="center"/>
          </w:tcPr>
          <w:p w14:paraId="48927F7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定价策略锚定新书折扣</w:t>
            </w:r>
          </w:p>
        </w:tc>
      </w:tr>
      <w:tr w14:paraId="5A70C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7BD2F60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愿意使用校园垂直二手书平台</w:t>
            </w:r>
          </w:p>
        </w:tc>
        <w:tc>
          <w:tcPr>
            <w:tcW w:w="2880" w:type="dxa"/>
            <w:vAlign w:val="center"/>
          </w:tcPr>
          <w:p w14:paraId="4460AD2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58.3%</w:t>
            </w:r>
          </w:p>
        </w:tc>
        <w:tc>
          <w:tcPr>
            <w:tcW w:w="2880" w:type="dxa"/>
            <w:vAlign w:val="center"/>
          </w:tcPr>
          <w:p w14:paraId="552D8DD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垂直场景存在真实用户需求</w:t>
            </w:r>
          </w:p>
        </w:tc>
      </w:tr>
      <w:tr w14:paraId="64172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58ACCD3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受访学生人均闲置图书</w:t>
            </w:r>
          </w:p>
        </w:tc>
        <w:tc>
          <w:tcPr>
            <w:tcW w:w="2880" w:type="dxa"/>
            <w:vAlign w:val="center"/>
          </w:tcPr>
          <w:p w14:paraId="6827BEE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6.8册</w:t>
            </w:r>
          </w:p>
        </w:tc>
        <w:tc>
          <w:tcPr>
            <w:tcW w:w="2880" w:type="dxa"/>
            <w:vAlign w:val="center"/>
          </w:tcPr>
          <w:p w14:paraId="0E3054D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单校年理论回收量可观</w:t>
            </w:r>
          </w:p>
        </w:tc>
      </w:tr>
    </w:tbl>
    <w:p w14:paraId="3F968D58"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2-2：用户痛点对比图｜建议图表类型：柱状图｜数据来源：待调研验证（问卷调研/试点运营数据）】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对比毕业生/闲置卖方与低年级教材买方在“处理麻烦、售价过低、信息分散、找书难、搬运成本高”等痛点上的占比差异。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2-2 用户痛点对比图（待补充数据）</w:t>
            </w:r>
          </w:p>
        </w:tc>
      </w:tr>
    </w:tbl>
    <w:p w14:paraId="1954C9DA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分用户群体痛点与解决方案：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2-3：竞争格局矩阵｜建议图表类型：矩阵图｜数据来源：待调研验证（竞品公开资料 + 团队调研）】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横轴为“校园垂直程度”，纵轴为“线下交付与质检能力”，标注综合二手平台、二手图书电商、校内自发交易群与本项目的位置。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2-3 竞争格局矩阵（待补充数据）</w:t>
            </w:r>
          </w:p>
        </w:tc>
      </w:tr>
    </w:tbl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880"/>
        <w:gridCol w:w="2880"/>
        <w:gridCol w:w="2880"/>
      </w:tblGrid>
      <w:tr w14:paraId="22D2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2880" w:type="dxa"/>
            <w:vAlign w:val="center"/>
          </w:tcPr>
          <w:p w14:paraId="4D17EC85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用户群体</w:t>
            </w:r>
          </w:p>
        </w:tc>
        <w:tc>
          <w:tcPr>
            <w:tcW w:w="2880" w:type="dxa"/>
            <w:vAlign w:val="center"/>
          </w:tcPr>
          <w:p w14:paraId="03BAA0FC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主要痛点</w:t>
            </w:r>
          </w:p>
        </w:tc>
        <w:tc>
          <w:tcPr>
            <w:tcW w:w="2880" w:type="dxa"/>
            <w:vAlign w:val="center"/>
          </w:tcPr>
          <w:p w14:paraId="79E37F75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项目解决方案</w:t>
            </w:r>
          </w:p>
        </w:tc>
      </w:tr>
      <w:tr w14:paraId="551E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23442C0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毕业生/闲置图书卖方</w:t>
            </w:r>
          </w:p>
        </w:tc>
        <w:tc>
          <w:tcPr>
            <w:tcW w:w="2880" w:type="dxa"/>
            <w:vAlign w:val="center"/>
          </w:tcPr>
          <w:p w14:paraId="0BE0767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图书多且重、发布麻烦、交易沟通成本高、废纸回收价格低</w:t>
            </w:r>
          </w:p>
        </w:tc>
        <w:tc>
          <w:tcPr>
            <w:tcW w:w="2880" w:type="dxa"/>
            <w:vAlign w:val="center"/>
          </w:tcPr>
          <w:p w14:paraId="65E7F03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集中回收、预约上门/投柜、标准化估价</w:t>
            </w:r>
          </w:p>
        </w:tc>
      </w:tr>
      <w:tr w14:paraId="7146E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3C52113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低年级教材买方</w:t>
            </w:r>
          </w:p>
        </w:tc>
        <w:tc>
          <w:tcPr>
            <w:tcW w:w="2880" w:type="dxa"/>
            <w:vAlign w:val="center"/>
          </w:tcPr>
          <w:p w14:paraId="556B7F5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新书价格高、同专业二手书难找、信息分散</w:t>
            </w:r>
          </w:p>
        </w:tc>
        <w:tc>
          <w:tcPr>
            <w:tcW w:w="2880" w:type="dxa"/>
            <w:vAlign w:val="center"/>
          </w:tcPr>
          <w:p w14:paraId="3EBB6D2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按学校/专业/课程精准筛选</w:t>
            </w:r>
          </w:p>
        </w:tc>
      </w:tr>
      <w:tr w14:paraId="15759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49B221A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考研/考证用户</w:t>
            </w:r>
          </w:p>
        </w:tc>
        <w:tc>
          <w:tcPr>
            <w:tcW w:w="2880" w:type="dxa"/>
            <w:vAlign w:val="center"/>
          </w:tcPr>
          <w:p w14:paraId="0B5EA2C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资料阶段性需求明显，使用周期短</w:t>
            </w:r>
          </w:p>
        </w:tc>
        <w:tc>
          <w:tcPr>
            <w:tcW w:w="2880" w:type="dxa"/>
            <w:vAlign w:val="center"/>
          </w:tcPr>
          <w:p w14:paraId="721A785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二手销售+租赁服务</w:t>
            </w:r>
          </w:p>
        </w:tc>
      </w:tr>
      <w:tr w14:paraId="7F71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3FE64D5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学校/学院/社团</w:t>
            </w:r>
          </w:p>
        </w:tc>
        <w:tc>
          <w:tcPr>
            <w:tcW w:w="2880" w:type="dxa"/>
            <w:vAlign w:val="center"/>
          </w:tcPr>
          <w:p w14:paraId="04A1E2CE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毕业季回收组织成本高、环保活动缺少数字化工具</w:t>
            </w:r>
          </w:p>
        </w:tc>
        <w:tc>
          <w:tcPr>
            <w:tcW w:w="2880" w:type="dxa"/>
            <w:vAlign w:val="center"/>
          </w:tcPr>
          <w:p w14:paraId="76B1230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提供集中回收、数据统计和公益活动支持</w:t>
            </w:r>
          </w:p>
        </w:tc>
      </w:tr>
    </w:tbl>
    <w:p w14:paraId="65371758">
      <w:pPr>
        <w:spacing w:after="40"/>
      </w:pPr>
    </w:p>
    <w:p w14:paraId="0EFE8B96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12" w:name="_Toc80012"/>
      <w:bookmarkEnd w:id="80012"/>
      <w:bookmarkStart w:id="12" w:name="_Toc14178"/>
      <w:r>
        <w:rPr>
          <w:rFonts w:ascii="黑体" w:hAnsi="黑体" w:eastAsia="黑体" w:cs="黑体"/>
          <w:b/>
          <w:color w:val="000000"/>
          <w:sz w:val="28"/>
          <w:szCs w:val="28"/>
        </w:rPr>
        <w:t>2.5 竞争格局与竞品分析</w:t>
      </w:r>
      <w:bookmarkEnd w:id="12"/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160"/>
        <w:gridCol w:w="2160"/>
        <w:gridCol w:w="2160"/>
        <w:gridCol w:w="2160"/>
      </w:tblGrid>
      <w:tr w14:paraId="029BA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2160" w:type="dxa"/>
            <w:vAlign w:val="center"/>
          </w:tcPr>
          <w:p w14:paraId="62DF2E32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竞品类型</w:t>
            </w:r>
          </w:p>
        </w:tc>
        <w:tc>
          <w:tcPr>
            <w:tcW w:w="2160" w:type="dxa"/>
            <w:vAlign w:val="center"/>
          </w:tcPr>
          <w:p w14:paraId="28641B85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优势</w:t>
            </w:r>
          </w:p>
        </w:tc>
        <w:tc>
          <w:tcPr>
            <w:tcW w:w="2160" w:type="dxa"/>
            <w:vAlign w:val="center"/>
          </w:tcPr>
          <w:p w14:paraId="3439E031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局限</w:t>
            </w:r>
          </w:p>
        </w:tc>
        <w:tc>
          <w:tcPr>
            <w:tcW w:w="2160" w:type="dxa"/>
            <w:vAlign w:val="center"/>
          </w:tcPr>
          <w:p w14:paraId="450DF8AF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本项目切入点</w:t>
            </w:r>
          </w:p>
        </w:tc>
      </w:tr>
      <w:tr w14:paraId="60888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180CCE5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综合二手平台</w:t>
            </w:r>
          </w:p>
        </w:tc>
        <w:tc>
          <w:tcPr>
            <w:tcW w:w="2160" w:type="dxa"/>
            <w:vAlign w:val="center"/>
          </w:tcPr>
          <w:p w14:paraId="61749C5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用户规模大、交易机制成熟</w:t>
            </w:r>
          </w:p>
        </w:tc>
        <w:tc>
          <w:tcPr>
            <w:tcW w:w="2160" w:type="dxa"/>
            <w:vAlign w:val="center"/>
          </w:tcPr>
          <w:p w14:paraId="6810B5E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校园专业课程匹配弱，线下交付成本较高</w:t>
            </w:r>
          </w:p>
        </w:tc>
        <w:tc>
          <w:tcPr>
            <w:tcW w:w="2160" w:type="dxa"/>
            <w:vAlign w:val="center"/>
          </w:tcPr>
          <w:p w14:paraId="454A01F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校园垂直、专业/课程匹配、线下回收</w:t>
            </w:r>
          </w:p>
        </w:tc>
      </w:tr>
      <w:tr w14:paraId="201A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047CDC8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二手图书平台</w:t>
            </w:r>
          </w:p>
        </w:tc>
        <w:tc>
          <w:tcPr>
            <w:tcW w:w="2160" w:type="dxa"/>
            <w:vAlign w:val="center"/>
          </w:tcPr>
          <w:p w14:paraId="78DCD27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图书分类和供应链能力较强</w:t>
            </w:r>
          </w:p>
        </w:tc>
        <w:tc>
          <w:tcPr>
            <w:tcW w:w="2160" w:type="dxa"/>
            <w:vAlign w:val="center"/>
          </w:tcPr>
          <w:p w14:paraId="7478448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全国物流模式不适合校园即时需求</w:t>
            </w:r>
          </w:p>
        </w:tc>
        <w:tc>
          <w:tcPr>
            <w:tcW w:w="2160" w:type="dxa"/>
            <w:vAlign w:val="center"/>
          </w:tcPr>
          <w:p w14:paraId="38650F2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同校即时流转、集中回收</w:t>
            </w:r>
          </w:p>
        </w:tc>
      </w:tr>
      <w:tr w14:paraId="710F2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4788787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传统废品回收</w:t>
            </w:r>
          </w:p>
        </w:tc>
        <w:tc>
          <w:tcPr>
            <w:tcW w:w="2160" w:type="dxa"/>
            <w:vAlign w:val="center"/>
          </w:tcPr>
          <w:p w14:paraId="2D78813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回收方便、处理链条成熟</w:t>
            </w:r>
          </w:p>
        </w:tc>
        <w:tc>
          <w:tcPr>
            <w:tcW w:w="2160" w:type="dxa"/>
            <w:vAlign w:val="center"/>
          </w:tcPr>
          <w:p w14:paraId="3E2ECF1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按重量计价，无法体现教材剩余使用价值</w:t>
            </w:r>
          </w:p>
        </w:tc>
        <w:tc>
          <w:tcPr>
            <w:tcW w:w="2160" w:type="dxa"/>
            <w:vAlign w:val="center"/>
          </w:tcPr>
          <w:p w14:paraId="17A991B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按书籍使用价值和需求进行分级</w:t>
            </w:r>
          </w:p>
        </w:tc>
      </w:tr>
      <w:tr w14:paraId="0490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24712D7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校园社群/个人交易</w:t>
            </w:r>
          </w:p>
        </w:tc>
        <w:tc>
          <w:tcPr>
            <w:tcW w:w="2160" w:type="dxa"/>
            <w:vAlign w:val="center"/>
          </w:tcPr>
          <w:p w14:paraId="141CE6B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距离近、沟通直接</w:t>
            </w:r>
          </w:p>
        </w:tc>
        <w:tc>
          <w:tcPr>
            <w:tcW w:w="2160" w:type="dxa"/>
            <w:vAlign w:val="center"/>
          </w:tcPr>
          <w:p w14:paraId="79BC9BE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信息碎片化、缺少统一质检和售后</w:t>
            </w:r>
          </w:p>
        </w:tc>
        <w:tc>
          <w:tcPr>
            <w:tcW w:w="2160" w:type="dxa"/>
            <w:vAlign w:val="center"/>
          </w:tcPr>
          <w:p w14:paraId="344519F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平台化信息管理与标准化服务</w:t>
            </w:r>
          </w:p>
        </w:tc>
      </w:tr>
    </w:tbl>
    <w:p w14:paraId="35A34BC0">
      <w:pPr>
        <w:spacing w:after="40"/>
      </w:pPr>
    </w:p>
    <w:p w14:paraId="76D3C0D2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13" w:name="_Toc80013"/>
      <w:bookmarkEnd w:id="80013"/>
      <w:bookmarkStart w:id="13" w:name="_Toc30100"/>
      <w:r>
        <w:rPr>
          <w:rFonts w:ascii="黑体" w:hAnsi="黑体" w:eastAsia="黑体" w:cs="黑体"/>
          <w:b/>
          <w:color w:val="000000"/>
          <w:sz w:val="28"/>
          <w:szCs w:val="28"/>
        </w:rPr>
        <w:t>2.6 SWOT分析</w:t>
      </w:r>
      <w:bookmarkEnd w:id="13"/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2-4：SWOT 分析图｜建议图表类型：矩阵图｜数据来源：待补充（基于本计划书分析整理）】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四象限呈现优势（S）、劣势（W）、机会（O）、威胁（T），正式版须补充每条要素的支撑证据与应对策略。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2-4 SWOT 分析图（待补充数据）</w:t>
            </w:r>
          </w:p>
        </w:tc>
      </w:tr>
    </w:tbl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320"/>
        <w:gridCol w:w="4320"/>
      </w:tblGrid>
      <w:tr w14:paraId="2E40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4320" w:type="dxa"/>
            <w:vAlign w:val="center"/>
          </w:tcPr>
          <w:p w14:paraId="1F5DEEF6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维度</w:t>
            </w:r>
          </w:p>
        </w:tc>
        <w:tc>
          <w:tcPr>
            <w:tcW w:w="4320" w:type="dxa"/>
            <w:vAlign w:val="center"/>
          </w:tcPr>
          <w:p w14:paraId="1956E445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主要内容</w:t>
            </w:r>
          </w:p>
        </w:tc>
      </w:tr>
      <w:tr w14:paraId="29A1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4320" w:type="dxa"/>
            <w:vAlign w:val="center"/>
          </w:tcPr>
          <w:p w14:paraId="1E49964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 优势</w:t>
            </w:r>
          </w:p>
        </w:tc>
        <w:tc>
          <w:tcPr>
            <w:tcW w:w="4320" w:type="dxa"/>
            <w:vAlign w:val="center"/>
          </w:tcPr>
          <w:p w14:paraId="5B950B6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校园场景聚焦；线上线下一体化；专业/课程图书数据库；校园官方合作渠道；团队具备学生场景理解能力</w:t>
            </w:r>
          </w:p>
        </w:tc>
      </w:tr>
      <w:tr w14:paraId="02E13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4320" w:type="dxa"/>
            <w:vAlign w:val="center"/>
          </w:tcPr>
          <w:p w14:paraId="5B0546F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W 劣势</w:t>
            </w:r>
          </w:p>
        </w:tc>
        <w:tc>
          <w:tcPr>
            <w:tcW w:w="4320" w:type="dxa"/>
            <w:vAlign w:val="center"/>
          </w:tcPr>
          <w:p w14:paraId="4A07CBD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前期需建立图书库存；智能柜和仓储存在投入；淡旺季明显；品牌知名度较低</w:t>
            </w:r>
          </w:p>
        </w:tc>
      </w:tr>
      <w:tr w14:paraId="15CB5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4320" w:type="dxa"/>
            <w:vAlign w:val="center"/>
          </w:tcPr>
          <w:p w14:paraId="37DD819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O 机会</w:t>
            </w:r>
          </w:p>
        </w:tc>
        <w:tc>
          <w:tcPr>
            <w:tcW w:w="4320" w:type="dxa"/>
            <w:vAlign w:val="center"/>
          </w:tcPr>
          <w:p w14:paraId="2A6DA9F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绿色校园和资源循环政策持续加持；高校二手教材需求场景稳定；校园数字化服务不断发展</w:t>
            </w:r>
          </w:p>
        </w:tc>
      </w:tr>
      <w:tr w14:paraId="37F5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4320" w:type="dxa"/>
            <w:vAlign w:val="center"/>
          </w:tcPr>
          <w:p w14:paraId="44E2771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T 威胁</w:t>
            </w:r>
          </w:p>
        </w:tc>
        <w:tc>
          <w:tcPr>
            <w:tcW w:w="4320" w:type="dxa"/>
            <w:vAlign w:val="center"/>
          </w:tcPr>
          <w:p w14:paraId="507888D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综合二手平台竞争；电子教材和数字阅读发展；校园准入和场地管理要求；盗版资料及版权合规风险</w:t>
            </w:r>
          </w:p>
        </w:tc>
      </w:tr>
    </w:tbl>
    <w:p w14:paraId="7A8C65CD">
      <w:pPr>
        <w:spacing w:after="40"/>
      </w:pPr>
    </w:p>
    <w:p w14:paraId="669907A2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14" w:name="_Toc80014"/>
      <w:bookmarkEnd w:id="80014"/>
      <w:bookmarkStart w:id="14" w:name="_Toc18483"/>
      <w:r>
        <w:rPr>
          <w:rFonts w:ascii="黑体" w:hAnsi="黑体" w:eastAsia="黑体" w:cs="黑体"/>
          <w:b/>
          <w:color w:val="000000"/>
          <w:sz w:val="32"/>
          <w:szCs w:val="32"/>
        </w:rPr>
        <w:t>第三章 产品与技术</w:t>
      </w:r>
      <w:bookmarkEnd w:id="14"/>
    </w:p>
    <w:p w14:paraId="05FC888F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15" w:name="_Toc80015"/>
      <w:bookmarkEnd w:id="80015"/>
      <w:bookmarkStart w:id="15" w:name="_Toc24232"/>
      <w:r>
        <w:rPr>
          <w:rFonts w:ascii="黑体" w:hAnsi="黑体" w:eastAsia="黑体" w:cs="黑体"/>
          <w:b/>
          <w:color w:val="000000"/>
          <w:sz w:val="28"/>
          <w:szCs w:val="28"/>
        </w:rPr>
        <w:t>3.1 产品概述与功能架构</w:t>
      </w:r>
      <w:bookmarkEnd w:id="15"/>
    </w:p>
    <w:p w14:paraId="6DD78A57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项目采用"一个用户平台、一个运营后台、多个线下回收终端"的产品架构。用户端负责图书发布与交易，运营后台负责库存、订单、质检和数据分析，线下终端负责低成本收书和交付。</w:t>
      </w:r>
    </w:p>
    <w:p w14:paraId="65E0A0DA">
      <w:pPr>
        <w:spacing w:after="40"/>
      </w:pPr>
    </w:p>
    <w:p w14:paraId="25B6D072">
      <w:pPr>
        <w:pStyle w:val="5"/>
        <w:keepNext/>
        <w:keepLines/>
        <w:spacing w:before="200" w:after="120" w:line="360" w:lineRule="auto"/>
        <w:ind w:firstLine="0"/>
        <w:jc w:val="left"/>
      </w:pPr>
      <w:bookmarkStart w:id="80016" w:name="_Toc80016"/>
      <w:bookmarkEnd w:id="80016"/>
      <w:bookmarkStart w:id="16" w:name="_Toc3715"/>
      <w:r>
        <w:rPr>
          <w:rFonts w:ascii="黑体" w:hAnsi="黑体" w:eastAsia="黑体" w:cs="黑体"/>
          <w:b/>
          <w:color w:val="000000"/>
          <w:sz w:val="24"/>
          <w:szCs w:val="24"/>
        </w:rPr>
        <w:t>3.1.1 微信小程序/APP核心功能</w:t>
      </w:r>
      <w:bookmarkEnd w:id="16"/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3-1：产品功能架构图｜建议图表类型：架构图｜数据来源：待补充（团队产品设计文档）】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用户层：微信小程序（C 端：买书 / 卖书 / 换书 / 租赁 / 碳账户）＋ 校园智能回收柜交互屏；服务层：API 网关、用户与订单服务、ISBN 与图书库、估价与定价引擎、匹配推荐、碳账户；数据层：图书元数据库、供需数据库、图像样本库、运营指标库；设备层：智能回收柜、摄像头、IoT 控制板。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3-1 产品功能架构图（待补充数据）</w:t>
            </w:r>
          </w:p>
        </w:tc>
      </w:tr>
    </w:tbl>
    <w:p w14:paraId="1CD181ED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ISBN/书名识别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：扫码或输入ISBN，OCR自动识别并对接图书数据库补全基础信息。</w:t>
      </w:r>
    </w:p>
    <w:p w14:paraId="533ED09A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图书发布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：上传封面、内页和品相信息，选择出售、交换、租赁或捐赠。</w:t>
      </w:r>
    </w:p>
    <w:p w14:paraId="0B1D1581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专业/课程筛选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：按照学校、学院、专业、年级和课程进行检索。</w:t>
      </w:r>
    </w:p>
    <w:p w14:paraId="5476AE15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回收预约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：预约上门回收或选择校园回收点/智能柜。</w:t>
      </w:r>
    </w:p>
    <w:p w14:paraId="5FF6092D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订单管理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：支持购买、回收、换书、租赁等订单状态管理。</w:t>
      </w:r>
    </w:p>
    <w:p w14:paraId="7F38E57B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积分与碳账户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：记录回收、捐赠和循环行为，展示个人"碳账簿"（减排量依据10.1节LCA方法学计算）。</w:t>
      </w:r>
    </w:p>
    <w:p w14:paraId="3E94BE94">
      <w:pPr>
        <w:spacing w:after="40"/>
      </w:pPr>
    </w:p>
    <w:p w14:paraId="4EC855CF">
      <w:pPr>
        <w:pStyle w:val="5"/>
        <w:keepNext/>
        <w:keepLines/>
        <w:spacing w:before="200" w:after="120" w:line="360" w:lineRule="auto"/>
        <w:ind w:firstLine="0"/>
        <w:jc w:val="left"/>
      </w:pPr>
      <w:bookmarkStart w:id="80017" w:name="_Toc80017"/>
      <w:bookmarkEnd w:id="80017"/>
      <w:bookmarkStart w:id="17" w:name="_Toc2736"/>
      <w:r>
        <w:rPr>
          <w:rFonts w:ascii="黑体" w:hAnsi="黑体" w:eastAsia="黑体" w:cs="黑体"/>
          <w:b/>
          <w:color w:val="000000"/>
          <w:sz w:val="24"/>
          <w:szCs w:val="24"/>
        </w:rPr>
        <w:t>3.1.2 校园智能回收柜硬件交互系统</w:t>
      </w:r>
      <w:bookmarkEnd w:id="17"/>
    </w:p>
    <w:p w14:paraId="0EACFAFA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智能回收柜是线下增强模块而非启动前置条件。试点阶段以人工回收点验证需求；当单校日订单量达到预设阈值（建议≥30单/日）后，在宿舍区、图书馆等高频位置部署小型智能回收柜。硬件包含身份/二维码识别、柜门控制、摄像头采集、库存状态监测、远程故障报警等功能。</w:t>
      </w:r>
    </w:p>
    <w:p w14:paraId="52080C70">
      <w:pPr>
        <w:spacing w:after="40"/>
      </w:pPr>
    </w:p>
    <w:p w14:paraId="7433E9AF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18" w:name="_Toc80018"/>
      <w:bookmarkEnd w:id="80018"/>
      <w:bookmarkStart w:id="18" w:name="_Toc665"/>
      <w:r>
        <w:rPr>
          <w:rFonts w:ascii="黑体" w:hAnsi="黑体" w:eastAsia="黑体" w:cs="黑体"/>
          <w:b/>
          <w:color w:val="000000"/>
          <w:sz w:val="28"/>
          <w:szCs w:val="28"/>
        </w:rPr>
        <w:t>3.2 核心技术一：图书品相识别与动态定价</w:t>
      </w:r>
      <w:bookmarkEnd w:id="18"/>
    </w:p>
    <w:p w14:paraId="4EFCF525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项目建立"规则模型 + 视觉识别模型 + 动态定价引擎"的三层技术体系，目前已完成可演示的原型系统（MVP）：</w:t>
      </w:r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880"/>
        <w:gridCol w:w="2880"/>
        <w:gridCol w:w="2880"/>
      </w:tblGrid>
      <w:tr w14:paraId="161B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2880" w:type="dxa"/>
            <w:vAlign w:val="center"/>
          </w:tcPr>
          <w:p w14:paraId="47117B2E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技术模块</w:t>
            </w:r>
          </w:p>
        </w:tc>
        <w:tc>
          <w:tcPr>
            <w:tcW w:w="2880" w:type="dxa"/>
            <w:vAlign w:val="center"/>
          </w:tcPr>
          <w:p w14:paraId="39B73C5B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技术选型</w:t>
            </w:r>
          </w:p>
        </w:tc>
        <w:tc>
          <w:tcPr>
            <w:tcW w:w="2880" w:type="dxa"/>
            <w:vAlign w:val="center"/>
          </w:tcPr>
          <w:p w14:paraId="34EBC704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当前进展（示例，正式版附测试报告）</w:t>
            </w:r>
          </w:p>
        </w:tc>
      </w:tr>
      <w:tr w14:paraId="10CD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6FE7DAC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ISBN识别</w:t>
            </w:r>
          </w:p>
        </w:tc>
        <w:tc>
          <w:tcPr>
            <w:tcW w:w="2880" w:type="dxa"/>
            <w:vAlign w:val="center"/>
          </w:tcPr>
          <w:p w14:paraId="2B6207B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PaddleOCR + ISBN权威图书数据库</w:t>
            </w:r>
          </w:p>
        </w:tc>
        <w:tc>
          <w:tcPr>
            <w:tcW w:w="2880" w:type="dxa"/>
            <w:vAlign w:val="center"/>
          </w:tcPr>
          <w:p w14:paraId="6A31BA2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1,000册样本测试识别准确率97.8%</w:t>
            </w:r>
          </w:p>
        </w:tc>
      </w:tr>
      <w:tr w14:paraId="26563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7E92DDD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品相视觉识别</w:t>
            </w:r>
          </w:p>
        </w:tc>
        <w:tc>
          <w:tcPr>
            <w:tcW w:w="2880" w:type="dxa"/>
            <w:vAlign w:val="center"/>
          </w:tcPr>
          <w:p w14:paraId="2BC950D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YOLOv8 缺陷检测（褶皱/污渍/书写/破损/缺页等8类）</w:t>
            </w:r>
          </w:p>
        </w:tc>
        <w:tc>
          <w:tcPr>
            <w:tcW w:w="2880" w:type="dxa"/>
            <w:vAlign w:val="center"/>
          </w:tcPr>
          <w:p w14:paraId="2DABDC3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自采+授权标注图像5,000张；mAP@0.5达0.912；与人工分级一致率91.2%，低置信度样本转人工复核</w:t>
            </w:r>
          </w:p>
        </w:tc>
      </w:tr>
      <w:tr w14:paraId="14C8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7B40072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动态定价引擎</w:t>
            </w:r>
          </w:p>
        </w:tc>
        <w:tc>
          <w:tcPr>
            <w:tcW w:w="2880" w:type="dxa"/>
            <w:vAlign w:val="center"/>
          </w:tcPr>
          <w:p w14:paraId="095896B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规则引擎+供需系数+历史成交价回归</w:t>
            </w:r>
          </w:p>
        </w:tc>
        <w:tc>
          <w:tcPr>
            <w:tcW w:w="2880" w:type="dxa"/>
            <w:vAlign w:val="center"/>
          </w:tcPr>
          <w:p w14:paraId="49F3DCB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已上线规则版；定价公式见下</w:t>
            </w:r>
          </w:p>
        </w:tc>
      </w:tr>
    </w:tbl>
    <w:p w14:paraId="064B828B">
      <w:pPr>
        <w:spacing w:after="40"/>
      </w:pPr>
    </w:p>
    <w:p w14:paraId="0B5F13F3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动态定价公式：二手定价 = 图书定价 × 基础折扣系数 × 品相系数 × 供需系数 × 时效系数。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其中品相系数由AI识别结果映射（如9成新0.55、8成新0.45），供需系数由专业选课人数与库存量比值确定，时效系数随库存周转天数动态下调，触发阈值时自动转入换书/捐赠通道。</w:t>
      </w:r>
    </w:p>
    <w:p w14:paraId="628D0063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评审关注点回应：训练图像均来自团队自采与授权样本，数据集规模、标注规范、准确率/召回率、误差范围及人工复核机制以技术附录形式提供。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3-2：智能回收柜交互流程图｜建议图表类型：流程图｜数据来源：待补充（团队硬件方案设计）】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用户小程序下单 → 获得取件码 → 柜端扫码/输码 → 系统分配格口并弹门 → 用户放入图书 → 摄像头采集图像上传云端 → 估价模型初步定价 → 用户小程序确认 → 柜门关闭锁定 → 状态回传运营后台。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3-2 智能回收柜交互流程图（待补充数据）</w:t>
            </w:r>
          </w:p>
        </w:tc>
      </w:tr>
    </w:tbl>
    <w:p w14:paraId="6B20C0A1">
      <w:pPr>
        <w:spacing w:after="40"/>
      </w:pPr>
    </w:p>
    <w:p w14:paraId="2D4F4C34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19" w:name="_Toc80019"/>
      <w:bookmarkEnd w:id="80019"/>
      <w:bookmarkStart w:id="19" w:name="_Toc26241"/>
      <w:r>
        <w:rPr>
          <w:rFonts w:ascii="黑体" w:hAnsi="黑体" w:eastAsia="黑体" w:cs="黑体"/>
          <w:b/>
          <w:color w:val="000000"/>
          <w:sz w:val="28"/>
          <w:szCs w:val="28"/>
        </w:rPr>
        <w:t>3.3 核心技术二：智能硬件端与云端协同</w:t>
      </w:r>
      <w:bookmarkEnd w:id="19"/>
    </w:p>
    <w:p w14:paraId="646785C1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智能柜通过物联网控制板（支持4G/Wi-Fi双链路）连接云端平台，上传柜体状态、格口占用、存取记录和故障信息；后台根据库存和订单情况安排调拨，减少人工巡柜次数。系统遵循最小权限、TLS传输加密、日志审计和故障人工接管原则，网络中断时柜端支持离线暂存、恢复后自动补传。</w:t>
      </w:r>
    </w:p>
    <w:p w14:paraId="32F868FA"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3-3：技术路线图｜建议图表类型：流程图｜数据来源：待补充（团队技术开发计划）】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MVP 原型（规则化品相评价 + ISBN 识别）→ 视觉识别模型（YOLOv8 缺陷检测、数据集扩充与指标验证）→ 动态定价引擎（供需系数、时效系数联动）→ 硬件端云协同（4G/Wi-Fi 双链路、MQTT/HTTPS）→ 需求预测与智能匹配。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3-3 技术路线图（待补充数据）</w:t>
            </w:r>
          </w:p>
        </w:tc>
      </w:tr>
    </w:tbl>
    <w:p w14:paraId="63784EFE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20" w:name="_Toc80020"/>
      <w:bookmarkEnd w:id="80020"/>
      <w:bookmarkStart w:id="20" w:name="_Toc25876"/>
      <w:r>
        <w:rPr>
          <w:rFonts w:ascii="黑体" w:hAnsi="黑体" w:eastAsia="黑体" w:cs="黑体"/>
          <w:b/>
          <w:color w:val="000000"/>
          <w:sz w:val="28"/>
          <w:szCs w:val="28"/>
        </w:rPr>
        <w:t>3.4 产品创新点与技术壁垒</w:t>
      </w:r>
      <w:bookmarkEnd w:id="20"/>
    </w:p>
    <w:p w14:paraId="24FAF3BC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场景创新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：围绕校园教材生命周期构建回收、交易、交换、租赁和公益流转体系。</w:t>
      </w:r>
    </w:p>
    <w:p w14:paraId="7EE7D657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数据创新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：沉淀"学校—专业—课程—教材—学期"供需关系图谱，支撑需求预测。</w:t>
      </w:r>
    </w:p>
    <w:p w14:paraId="61AB4D4C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服务创新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：线上平台与线下回收终端协同，降低图书交付成本。</w:t>
      </w:r>
    </w:p>
    <w:p w14:paraId="48B7443F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技术创新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：品相视觉识别、需求预测和动态定价能力逐步成型。</w:t>
      </w:r>
    </w:p>
    <w:p w14:paraId="4CBAAFFF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运营壁垒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：校内官方合作、校园大使网络与固定回收点构成先发线下网络。</w:t>
      </w:r>
    </w:p>
    <w:p w14:paraId="4DAA608F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21" w:name="_Toc80021"/>
      <w:bookmarkEnd w:id="80021"/>
      <w:bookmarkStart w:id="21" w:name="_Toc744"/>
      <w:r>
        <w:rPr>
          <w:rFonts w:ascii="黑体" w:hAnsi="黑体" w:eastAsia="黑体" w:cs="黑体"/>
          <w:b/>
          <w:color w:val="000000"/>
          <w:sz w:val="28"/>
          <w:szCs w:val="28"/>
        </w:rPr>
        <w:t>3.5 知识产权布局</w:t>
      </w:r>
      <w:bookmarkEnd w:id="21"/>
    </w:p>
    <w:p w14:paraId="3A032F03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软件著作权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：旧书智能回收与匹配系统、校园图书循环管理平台（已规划2项，提交以受理通知书为准）。</w:t>
      </w:r>
    </w:p>
    <w:p w14:paraId="71B6CE87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实用新型专利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：智能回收柜形成独立结构创新后申请。</w:t>
      </w:r>
    </w:p>
    <w:p w14:paraId="35273859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算法/技术文档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：品相评价规则、匹配逻辑和数据处理流程形成版本化技术文档。</w:t>
      </w:r>
    </w:p>
    <w:p w14:paraId="47013E17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商标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：围绕"青阅循环"进行品牌保护，类别按业务范围确定。</w:t>
      </w:r>
    </w:p>
    <w:p w14:paraId="1A3A353D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22" w:name="_Toc80022"/>
      <w:bookmarkEnd w:id="80022"/>
      <w:bookmarkStart w:id="22" w:name="_Toc21362"/>
      <w:r>
        <w:rPr>
          <w:rFonts w:ascii="黑体" w:hAnsi="黑体" w:eastAsia="黑体" w:cs="黑体"/>
          <w:b/>
          <w:color w:val="000000"/>
          <w:sz w:val="32"/>
          <w:szCs w:val="32"/>
        </w:rPr>
        <w:t>第四章 商业模式</w:t>
      </w:r>
      <w:bookmarkEnd w:id="22"/>
    </w:p>
    <w:p w14:paraId="24090A60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23" w:name="_Toc80023"/>
      <w:bookmarkEnd w:id="80023"/>
      <w:bookmarkStart w:id="23" w:name="_Toc16305"/>
      <w:r>
        <w:rPr>
          <w:rFonts w:ascii="黑体" w:hAnsi="黑体" w:eastAsia="黑体" w:cs="黑体"/>
          <w:b/>
          <w:color w:val="000000"/>
          <w:sz w:val="28"/>
          <w:szCs w:val="28"/>
        </w:rPr>
        <w:t>4.1 价值主张</w:t>
      </w:r>
      <w:bookmarkEnd w:id="23"/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4-1：商业模式画布｜建议图表类型：矩阵图｜数据来源：待补充（基于本计划书商业模式整理）】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九宫格呈现客户细分、价值主张、渠道通路、客户关系、收入来源、核心资源、关键业务、重要合作与成本结构。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4-1 商业模式画布（待补充数据）</w:t>
            </w:r>
          </w:p>
        </w:tc>
      </w:tr>
    </w:tbl>
    <w:p w14:paraId="64C9FA4E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对卖方：提供方便、透明、低时间成本的旧书处理渠道；对买方：提供价格更低、距离更近、专业匹配更准确的二手教材；对学校：提供可量化的绿色校园和毕业季图书回收服务；对合作企业：提供校园品牌曝光及可验证的循环经济合作场景。</w:t>
      </w:r>
    </w:p>
    <w:p w14:paraId="4FEE8524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24" w:name="_Toc80024"/>
      <w:bookmarkEnd w:id="80024"/>
      <w:bookmarkStart w:id="24" w:name="_Toc3470"/>
      <w:r>
        <w:rPr>
          <w:rFonts w:ascii="黑体" w:hAnsi="黑体" w:eastAsia="黑体" w:cs="黑体"/>
          <w:b/>
          <w:color w:val="000000"/>
          <w:sz w:val="28"/>
          <w:szCs w:val="28"/>
        </w:rPr>
        <w:t>4.2 盈利模式</w:t>
      </w:r>
      <w:bookmarkEnd w:id="24"/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4-2：盈利模式结构图｜建议图表类型：饼图｜数据来源：待补充（团队财务模型，须以试点实测数据校准）】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呈现买卖差价、教材与考研资料租赁、校园广告与品牌赞助、ESG 数据服务与企业合作四类收入的构成比例（目标情景，需以试点实测校准）。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4-2 盈利模式结构图（待补充数据）</w:t>
            </w:r>
          </w:p>
        </w:tc>
      </w:tr>
    </w:tbl>
    <w:p w14:paraId="36509F3D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4.2.1 二手图书买卖差价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：平台对具有二次流通价值的图书进行回收、质检和分级后销售。经试点验证（示例数据）：单本平均回收成本2.5元、综合售出率62.6%、单本毛利7.0元，该模式已跑通最小闭环。</w:t>
      </w:r>
    </w:p>
    <w:p w14:paraId="6804854C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4.2.2 教材/考研资料租赁服务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：针对使用周期短的图书按月或按学期租赁。押金与损耗条款：押金=图书售价的80%；逾期按0.5元/日计；归还时按AI复核定级，污损较出借时降一级的按差价从押金扣除，丢失的按押金全额扣除。</w:t>
      </w:r>
    </w:p>
    <w:p w14:paraId="4FC91BF4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4.2.3 校园广告与品牌赞助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：用户规模稳定后，在符合学校管理要求的前提下，为文具、打印、校园服务等品牌提供广告或活动赞助。广告业务不作为早期主要收入来源。</w:t>
      </w:r>
    </w:p>
    <w:p w14:paraId="000D551F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4.2.4 ESG数据服务与企业合作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：记录图书流转数量、回收重量、公益捐赠数量等可核验指标，为企业校园公益或ESG项目提供数据化展示；碳减排量依据10.1节LCA方法学计算后对外使用。</w:t>
      </w:r>
    </w:p>
    <w:p w14:paraId="41B205E1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25" w:name="_Toc80025"/>
      <w:bookmarkEnd w:id="80025"/>
      <w:bookmarkStart w:id="25" w:name="_Toc10141"/>
      <w:r>
        <w:rPr>
          <w:rFonts w:ascii="黑体" w:hAnsi="黑体" w:eastAsia="黑体" w:cs="黑体"/>
          <w:b/>
          <w:color w:val="000000"/>
          <w:sz w:val="28"/>
          <w:szCs w:val="28"/>
        </w:rPr>
        <w:t>4.3 单体经济模型（UE）与盈亏平衡测算</w:t>
      </w:r>
      <w:bookmarkEnd w:id="25"/>
    </w:p>
    <w:p w14:paraId="2B7EC32C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注：以下为本计划书核心测算模型，数字为示例/目标情景，正式版须以试点实测数据校准。</w:t>
      </w:r>
    </w:p>
    <w:p w14:paraId="68D4E487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（1）单本图书UE：</w:t>
      </w:r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880"/>
        <w:gridCol w:w="2880"/>
        <w:gridCol w:w="2880"/>
      </w:tblGrid>
      <w:tr w14:paraId="7F682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2880" w:type="dxa"/>
            <w:vAlign w:val="center"/>
          </w:tcPr>
          <w:p w14:paraId="2694D402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成本/收入项</w:t>
            </w:r>
          </w:p>
        </w:tc>
        <w:tc>
          <w:tcPr>
            <w:tcW w:w="2880" w:type="dxa"/>
            <w:vAlign w:val="center"/>
          </w:tcPr>
          <w:p w14:paraId="5BF398AE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金额（元）</w:t>
            </w:r>
          </w:p>
        </w:tc>
        <w:tc>
          <w:tcPr>
            <w:tcW w:w="2880" w:type="dxa"/>
            <w:vAlign w:val="center"/>
          </w:tcPr>
          <w:p w14:paraId="25F865B6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说明</w:t>
            </w:r>
          </w:p>
        </w:tc>
      </w:tr>
      <w:tr w14:paraId="4435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4C9C5A1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回收成本</w:t>
            </w:r>
          </w:p>
        </w:tc>
        <w:tc>
          <w:tcPr>
            <w:tcW w:w="2880" w:type="dxa"/>
            <w:vAlign w:val="center"/>
          </w:tcPr>
          <w:p w14:paraId="31F8387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2.5</w:t>
            </w:r>
          </w:p>
        </w:tc>
        <w:tc>
          <w:tcPr>
            <w:tcW w:w="2880" w:type="dxa"/>
            <w:vAlign w:val="center"/>
          </w:tcPr>
          <w:p w14:paraId="3FBEA11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按品相与教材需求综合定价</w:t>
            </w:r>
          </w:p>
        </w:tc>
      </w:tr>
      <w:tr w14:paraId="15A4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490F722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质检、消毒与仓储</w:t>
            </w:r>
          </w:p>
        </w:tc>
        <w:tc>
          <w:tcPr>
            <w:tcW w:w="2880" w:type="dxa"/>
            <w:vAlign w:val="center"/>
          </w:tcPr>
          <w:p w14:paraId="503750C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1.0</w:t>
            </w:r>
          </w:p>
        </w:tc>
        <w:tc>
          <w:tcPr>
            <w:tcW w:w="2880" w:type="dxa"/>
            <w:vAlign w:val="center"/>
          </w:tcPr>
          <w:p w14:paraId="6FE6D37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含耗材分摊</w:t>
            </w:r>
          </w:p>
        </w:tc>
      </w:tr>
      <w:tr w14:paraId="5C164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75EDF72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包装与校园配送</w:t>
            </w:r>
          </w:p>
        </w:tc>
        <w:tc>
          <w:tcPr>
            <w:tcW w:w="2880" w:type="dxa"/>
            <w:vAlign w:val="center"/>
          </w:tcPr>
          <w:p w14:paraId="04E90B0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1.5</w:t>
            </w:r>
          </w:p>
        </w:tc>
        <w:tc>
          <w:tcPr>
            <w:tcW w:w="2880" w:type="dxa"/>
            <w:vAlign w:val="center"/>
          </w:tcPr>
          <w:p w14:paraId="7CAE772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集中配送摊薄</w:t>
            </w:r>
          </w:p>
        </w:tc>
      </w:tr>
      <w:tr w14:paraId="1E794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6ACA974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单本总成本</w:t>
            </w:r>
          </w:p>
        </w:tc>
        <w:tc>
          <w:tcPr>
            <w:tcW w:w="2880" w:type="dxa"/>
            <w:vAlign w:val="center"/>
          </w:tcPr>
          <w:p w14:paraId="57E5ABB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5.0</w:t>
            </w:r>
          </w:p>
        </w:tc>
        <w:tc>
          <w:tcPr>
            <w:tcW w:w="2880" w:type="dxa"/>
            <w:vAlign w:val="center"/>
          </w:tcPr>
          <w:p w14:paraId="7724E6A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—</w:t>
            </w:r>
          </w:p>
        </w:tc>
      </w:tr>
      <w:tr w14:paraId="57BDC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566687A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二手平均售价</w:t>
            </w:r>
          </w:p>
        </w:tc>
        <w:tc>
          <w:tcPr>
            <w:tcW w:w="2880" w:type="dxa"/>
            <w:vAlign w:val="center"/>
          </w:tcPr>
          <w:p w14:paraId="31B772F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12.0</w:t>
            </w:r>
          </w:p>
        </w:tc>
        <w:tc>
          <w:tcPr>
            <w:tcW w:w="2880" w:type="dxa"/>
            <w:vAlign w:val="center"/>
          </w:tcPr>
          <w:p w14:paraId="088CE70E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约为新书的3-5折</w:t>
            </w:r>
          </w:p>
        </w:tc>
      </w:tr>
      <w:tr w14:paraId="6E28B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1C8482AE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单本毛利 / 毛利率</w:t>
            </w:r>
          </w:p>
        </w:tc>
        <w:tc>
          <w:tcPr>
            <w:tcW w:w="2880" w:type="dxa"/>
            <w:vAlign w:val="center"/>
          </w:tcPr>
          <w:p w14:paraId="41B093F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7.0 / 58.3%</w:t>
            </w:r>
          </w:p>
        </w:tc>
        <w:tc>
          <w:tcPr>
            <w:tcW w:w="2880" w:type="dxa"/>
            <w:vAlign w:val="center"/>
          </w:tcPr>
          <w:p w14:paraId="7B86AD6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核心盈利单元</w:t>
            </w:r>
          </w:p>
        </w:tc>
      </w:tr>
    </w:tbl>
    <w:p w14:paraId="24946755">
      <w:pPr>
        <w:spacing w:after="40"/>
      </w:pPr>
    </w:p>
    <w:p w14:paraId="4190E4EA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（2）单柜UE与回本周期：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单柜硬件+安装约2.0万元（按3年折旧）；日均吞吐约25册、月回收约750册，按综合售出率62.6%测算月成交约469册，月毛利贡献约3,287元，扣除柜体运维约300元后月净贡献约2,987元，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静态回本周期约6.7个月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。</w:t>
      </w:r>
    </w:p>
    <w:p w14:paraId="1AF7D404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（3）单校盈亏平衡：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单校月固定成本约1.3万元（仓储0.2万、人力0.6万、平台运维0.15万、推广0.2万、其他0.15万），除以单本毛利7.0元，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盈亏平衡月销量约1,858册（日均成交约62册）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；试点2周日均成交约53册（示例），随开学季运营爬坡可触达平衡点。</w:t>
      </w:r>
    </w:p>
    <w:p w14:paraId="216C3D76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26" w:name="_Toc80026"/>
      <w:bookmarkEnd w:id="80026"/>
      <w:bookmarkStart w:id="26" w:name="_Toc23593"/>
      <w:r>
        <w:rPr>
          <w:rFonts w:ascii="黑体" w:hAnsi="黑体" w:eastAsia="黑体" w:cs="黑体"/>
          <w:b/>
          <w:color w:val="000000"/>
          <w:sz w:val="28"/>
          <w:szCs w:val="28"/>
        </w:rPr>
        <w:t>4.4 定价策略</w:t>
      </w:r>
      <w:bookmarkEnd w:id="26"/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880"/>
        <w:gridCol w:w="2880"/>
        <w:gridCol w:w="2880"/>
      </w:tblGrid>
      <w:tr w14:paraId="63EA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  <w:cantSplit/>
          <w:tblHeader w:val="true"/>
          <w:trHeight w:val="453" w:hRule="atLeast"/>
        </w:trPr>
        <w:tc>
          <w:tcPr>
            <w:tcW w:w="2880" w:type="dxa"/>
            <w:vAlign w:val="center"/>
          </w:tcPr>
          <w:p w14:paraId="5F583BCD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业务</w:t>
            </w:r>
          </w:p>
        </w:tc>
        <w:tc>
          <w:tcPr>
            <w:tcW w:w="2880" w:type="dxa"/>
            <w:vAlign w:val="center"/>
          </w:tcPr>
          <w:p w14:paraId="09AB1658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定价逻辑</w:t>
            </w:r>
          </w:p>
        </w:tc>
        <w:tc>
          <w:tcPr>
            <w:tcW w:w="2880" w:type="dxa"/>
            <w:vAlign w:val="center"/>
          </w:tcPr>
          <w:p w14:paraId="5F85937D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关键指标</w:t>
            </w:r>
          </w:p>
        </w:tc>
      </w:tr>
      <w:tr w14:paraId="1C4BD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00F7985E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回收</w:t>
            </w:r>
          </w:p>
        </w:tc>
        <w:tc>
          <w:tcPr>
            <w:tcW w:w="2880" w:type="dxa"/>
            <w:vAlign w:val="center"/>
          </w:tcPr>
          <w:p w14:paraId="49E357B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品相系数×供需系数动态定价</w:t>
            </w:r>
          </w:p>
        </w:tc>
        <w:tc>
          <w:tcPr>
            <w:tcW w:w="2880" w:type="dxa"/>
            <w:vAlign w:val="center"/>
          </w:tcPr>
          <w:p w14:paraId="5DB7C9D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单位回收成本</w:t>
            </w:r>
          </w:p>
        </w:tc>
      </w:tr>
      <w:tr w14:paraId="46F5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1BDBE1C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销售</w:t>
            </w:r>
          </w:p>
        </w:tc>
        <w:tc>
          <w:tcPr>
            <w:tcW w:w="2880" w:type="dxa"/>
            <w:vAlign w:val="center"/>
          </w:tcPr>
          <w:p w14:paraId="7594458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新书价格×折扣系数×品相系数×时效系数</w:t>
            </w:r>
          </w:p>
        </w:tc>
        <w:tc>
          <w:tcPr>
            <w:tcW w:w="2880" w:type="dxa"/>
            <w:vAlign w:val="center"/>
          </w:tcPr>
          <w:p w14:paraId="56C0B8C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单本毛利率</w:t>
            </w:r>
          </w:p>
        </w:tc>
      </w:tr>
      <w:tr w14:paraId="6109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2782618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租赁</w:t>
            </w:r>
          </w:p>
        </w:tc>
        <w:tc>
          <w:tcPr>
            <w:tcW w:w="2880" w:type="dxa"/>
            <w:vAlign w:val="center"/>
          </w:tcPr>
          <w:p w14:paraId="678A7CA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按月/学期计费+押金机制</w:t>
            </w:r>
          </w:p>
        </w:tc>
        <w:tc>
          <w:tcPr>
            <w:tcW w:w="2880" w:type="dxa"/>
            <w:vAlign w:val="center"/>
          </w:tcPr>
          <w:p w14:paraId="1E051DC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租赁周转率</w:t>
            </w:r>
          </w:p>
        </w:tc>
      </w:tr>
      <w:tr w14:paraId="6C233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19DBC33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上门回收</w:t>
            </w:r>
          </w:p>
        </w:tc>
        <w:tc>
          <w:tcPr>
            <w:tcW w:w="2880" w:type="dxa"/>
            <w:vAlign w:val="center"/>
          </w:tcPr>
          <w:p w14:paraId="3D786A0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基础服务免费，按距离/数量设规则</w:t>
            </w:r>
          </w:p>
        </w:tc>
        <w:tc>
          <w:tcPr>
            <w:tcW w:w="2880" w:type="dxa"/>
            <w:vAlign w:val="center"/>
          </w:tcPr>
          <w:p w14:paraId="0E5305D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单次履约成本</w:t>
            </w:r>
          </w:p>
        </w:tc>
      </w:tr>
      <w:tr w14:paraId="5DC2D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0D41BB1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广告/赞助</w:t>
            </w:r>
          </w:p>
        </w:tc>
        <w:tc>
          <w:tcPr>
            <w:tcW w:w="2880" w:type="dxa"/>
            <w:vAlign w:val="center"/>
          </w:tcPr>
          <w:p w14:paraId="4D1F479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按曝光、活动场次或合作周期报价</w:t>
            </w:r>
          </w:p>
        </w:tc>
        <w:tc>
          <w:tcPr>
            <w:tcW w:w="2880" w:type="dxa"/>
            <w:vAlign w:val="center"/>
          </w:tcPr>
          <w:p w14:paraId="1A5CB04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获客/广告收入</w:t>
            </w:r>
          </w:p>
        </w:tc>
      </w:tr>
    </w:tbl>
    <w:p w14:paraId="38000E09">
      <w:pPr>
        <w:spacing w:after="40"/>
      </w:pPr>
    </w:p>
    <w:p w14:paraId="37D83FCE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27" w:name="_Toc80027"/>
      <w:bookmarkEnd w:id="80027"/>
      <w:bookmarkStart w:id="27" w:name="_Toc19786"/>
      <w:r>
        <w:rPr>
          <w:rFonts w:ascii="黑体" w:hAnsi="黑体" w:eastAsia="黑体" w:cs="黑体"/>
          <w:b/>
          <w:color w:val="000000"/>
          <w:sz w:val="28"/>
          <w:szCs w:val="28"/>
        </w:rPr>
        <w:t>4.5 渠道与合作伙伴</w:t>
      </w:r>
      <w:bookmarkEnd w:id="27"/>
    </w:p>
    <w:p w14:paraId="3764E158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校园进驻路径（重点强化）：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以"联合校团委举办毕业季绿色离校官方活动"为切入口，由后勤处/物业出具场地与电源使用授权，图书馆合作开展图书漂流，形成官方背书后自然进入宿舍区与教学区布点。</w:t>
      </w:r>
    </w:p>
    <w:p w14:paraId="0C470339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高校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：图书馆、后勤、团委、学生处、学院等。</w:t>
      </w:r>
    </w:p>
    <w:p w14:paraId="6AD88CAF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校园组织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：学生会、青年志愿者协会、环保社团。</w:t>
      </w:r>
    </w:p>
    <w:p w14:paraId="3FD778BD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供应链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：二手图书渠道、包装材料、仓储和物流服务商。</w:t>
      </w:r>
    </w:p>
    <w:p w14:paraId="1EE30CA1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公益机构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：开展图书捐赠与公益阅读项目。</w:t>
      </w:r>
    </w:p>
    <w:p w14:paraId="55B526EA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企业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：环保、文具、教育服务及校园消费品牌。</w:t>
      </w:r>
    </w:p>
    <w:p w14:paraId="4F5EDC06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附录C须附：校企合作意向书、社团合作备忘录或创业园区入驻协议（至少1份真实凭证）。</w:t>
      </w:r>
    </w:p>
    <w:p w14:paraId="1FB1B6AF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28" w:name="_Toc80028"/>
      <w:bookmarkEnd w:id="80028"/>
      <w:bookmarkStart w:id="28" w:name="_Toc18632"/>
      <w:r>
        <w:rPr>
          <w:rFonts w:ascii="黑体" w:hAnsi="黑体" w:eastAsia="黑体" w:cs="黑体"/>
          <w:b/>
          <w:color w:val="000000"/>
          <w:sz w:val="32"/>
          <w:szCs w:val="32"/>
        </w:rPr>
        <w:t>第五章 运营与营销策略</w:t>
      </w:r>
      <w:bookmarkEnd w:id="28"/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5-1：运营时间轴｜建议图表类型：流程图｜数据来源：待补充（团队运营计划）】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按 MVP 验证（0-3 个月）→ 单校试点（4-9 个月）→ 多校复制（10-24 个月）→ 区域扩张（25-36 个月）呈现关键里程碑、阶段目标与验收指标。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5-1 运营时间轴（待补充数据）</w:t>
            </w:r>
          </w:p>
        </w:tc>
      </w:tr>
    </w:tbl>
    <w:p w14:paraId="619940EF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29" w:name="_Toc80029"/>
      <w:bookmarkEnd w:id="80029"/>
      <w:bookmarkStart w:id="29" w:name="_Toc14365"/>
      <w:r>
        <w:rPr>
          <w:rFonts w:ascii="黑体" w:hAnsi="黑体" w:eastAsia="黑体" w:cs="黑体"/>
          <w:b/>
          <w:color w:val="000000"/>
          <w:sz w:val="28"/>
          <w:szCs w:val="28"/>
        </w:rPr>
        <w:t>5.1 市场定位与目标客户细分</w:t>
      </w:r>
      <w:bookmarkEnd w:id="29"/>
    </w:p>
    <w:p w14:paraId="049411BE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项目初期定位为"高校校园二手教材与图书循环服务平台"，优先服务教材周期性需求强的专业院校和学生规模大的高校。先做单校深度运营，再复制到其他学校。</w:t>
      </w:r>
    </w:p>
    <w:p w14:paraId="419187C3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30" w:name="_Toc80030"/>
      <w:bookmarkEnd w:id="80030"/>
      <w:bookmarkStart w:id="30" w:name="_Toc6501"/>
      <w:r>
        <w:rPr>
          <w:rFonts w:ascii="黑体" w:hAnsi="黑体" w:eastAsia="黑体" w:cs="黑体"/>
          <w:b/>
          <w:color w:val="000000"/>
          <w:sz w:val="28"/>
          <w:szCs w:val="28"/>
        </w:rPr>
        <w:t>5.2 品牌推广与用户引流策略（含CAC与留存）</w:t>
      </w:r>
      <w:bookmarkEnd w:id="30"/>
    </w:p>
    <w:p w14:paraId="7554A2B1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获客成本与留存目标（示例目标值）：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注册获客成本CAC≤8元/人（校园大使地推+社群裂变为主）；次月留存率目标≥45%，毕业季用户向开学季买书用户的转化率目标≥30%。</w:t>
      </w:r>
    </w:p>
    <w:p w14:paraId="32CD5C94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第一阶段：毕业季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——开展"旧书换绿植/环保袋"活动建立首批库存；通过班级群、宿舍区和学院组织定向推广；重点解决"书多、搬运难、处理麻烦"的卖方问题。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5-2：用户增长漏斗图｜建议图表类型：柱状图｜数据来源：待调研验证（问卷调研/试点运营数据）】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曝光（校园活动/社群）→ 扫码关注 → 注册（CAC≤8 元目标）→ 首单（卖书或买书）→ 复购（次月留存≥45% 目标）→ 推荐裂变，标注各层转化率目标值。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5-2 用户增长漏斗图（待补充数据）</w:t>
            </w:r>
          </w:p>
        </w:tc>
      </w:tr>
    </w:tbl>
    <w:p w14:paraId="213DD309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裂变传播路径设计：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旧书换绿植（线下钩子）→ 扫码入小程序领积分 → 邀请同学下单双方得积分 → 积分兑换绿植/文具/购书券 → UGC晒单二次传播。</w:t>
      </w:r>
    </w:p>
    <w:p w14:paraId="1A9FACDA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第二阶段：开学季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——推出专业教材组合包或课程教材推荐；通过新生群、学院迎新活动和校园社群推广；重点解决"新书贵、找二手书难"的买方问题。</w:t>
      </w:r>
    </w:p>
    <w:p w14:paraId="72A21C1C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第三阶段：日常运营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——联合校团委、青协开展图书漂流和公益捐赠；通过积分、邀请奖励和换书活动提高活跃度；围绕考研、考证、英语等级考试节点建立专题书单。</w:t>
      </w:r>
    </w:p>
    <w:p w14:paraId="58B9BB6C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31" w:name="_Toc80031"/>
      <w:bookmarkEnd w:id="80031"/>
      <w:bookmarkStart w:id="31" w:name="_Toc10662"/>
      <w:r>
        <w:rPr>
          <w:rFonts w:ascii="黑体" w:hAnsi="黑体" w:eastAsia="黑体" w:cs="黑体"/>
          <w:b/>
          <w:color w:val="000000"/>
          <w:sz w:val="28"/>
          <w:szCs w:val="28"/>
        </w:rPr>
        <w:t>5.3 运营计划与时间节点</w:t>
      </w:r>
      <w:bookmarkEnd w:id="31"/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160"/>
        <w:gridCol w:w="2160"/>
        <w:gridCol w:w="2160"/>
        <w:gridCol w:w="2160"/>
      </w:tblGrid>
      <w:tr w14:paraId="656E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2160" w:type="dxa"/>
            <w:vAlign w:val="center"/>
          </w:tcPr>
          <w:p w14:paraId="17D8C18A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阶段</w:t>
            </w:r>
          </w:p>
        </w:tc>
        <w:tc>
          <w:tcPr>
            <w:tcW w:w="2160" w:type="dxa"/>
            <w:vAlign w:val="center"/>
          </w:tcPr>
          <w:p w14:paraId="760FC13B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周期</w:t>
            </w:r>
          </w:p>
        </w:tc>
        <w:tc>
          <w:tcPr>
            <w:tcW w:w="2160" w:type="dxa"/>
            <w:vAlign w:val="center"/>
          </w:tcPr>
          <w:p w14:paraId="2319419E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重点任务</w:t>
            </w:r>
          </w:p>
        </w:tc>
        <w:tc>
          <w:tcPr>
            <w:tcW w:w="2160" w:type="dxa"/>
            <w:vAlign w:val="center"/>
          </w:tcPr>
          <w:p w14:paraId="5DD20158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核心指标</w:t>
            </w:r>
          </w:p>
        </w:tc>
      </w:tr>
      <w:tr w14:paraId="28D93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5B8F7E1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MVP验证</w:t>
            </w:r>
          </w:p>
        </w:tc>
        <w:tc>
          <w:tcPr>
            <w:tcW w:w="2160" w:type="dxa"/>
            <w:vAlign w:val="center"/>
          </w:tcPr>
          <w:p w14:paraId="54BAA5D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0-3个月</w:t>
            </w:r>
          </w:p>
        </w:tc>
        <w:tc>
          <w:tcPr>
            <w:tcW w:w="2160" w:type="dxa"/>
            <w:vAlign w:val="center"/>
          </w:tcPr>
          <w:p w14:paraId="1ED3A02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完成小程序原型、问卷、人工回收点</w:t>
            </w:r>
          </w:p>
        </w:tc>
        <w:tc>
          <w:tcPr>
            <w:tcW w:w="2160" w:type="dxa"/>
            <w:vAlign w:val="center"/>
          </w:tcPr>
          <w:p w14:paraId="5DE53D1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首批注册用户、回收量、成交量</w:t>
            </w:r>
          </w:p>
        </w:tc>
      </w:tr>
      <w:tr w14:paraId="7C0AE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7214854E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单校试点</w:t>
            </w:r>
          </w:p>
        </w:tc>
        <w:tc>
          <w:tcPr>
            <w:tcW w:w="2160" w:type="dxa"/>
            <w:vAlign w:val="center"/>
          </w:tcPr>
          <w:p w14:paraId="236FF39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4-9个月</w:t>
            </w:r>
          </w:p>
        </w:tc>
        <w:tc>
          <w:tcPr>
            <w:tcW w:w="2160" w:type="dxa"/>
            <w:vAlign w:val="center"/>
          </w:tcPr>
          <w:p w14:paraId="0B592E3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完善回收与交易流程，建立库存体系</w:t>
            </w:r>
          </w:p>
        </w:tc>
        <w:tc>
          <w:tcPr>
            <w:tcW w:w="2160" w:type="dxa"/>
            <w:vAlign w:val="center"/>
          </w:tcPr>
          <w:p w14:paraId="1FF4484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月交易额、复购率、库存周转</w:t>
            </w:r>
          </w:p>
        </w:tc>
      </w:tr>
      <w:tr w14:paraId="706F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20D7A91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校内扩张</w:t>
            </w:r>
          </w:p>
        </w:tc>
        <w:tc>
          <w:tcPr>
            <w:tcW w:w="2160" w:type="dxa"/>
            <w:vAlign w:val="center"/>
          </w:tcPr>
          <w:p w14:paraId="12936A9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10-18个月</w:t>
            </w:r>
          </w:p>
        </w:tc>
        <w:tc>
          <w:tcPr>
            <w:tcW w:w="2160" w:type="dxa"/>
            <w:vAlign w:val="center"/>
          </w:tcPr>
          <w:p w14:paraId="0132389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增加回收点/智能柜，扩大用户覆盖</w:t>
            </w:r>
          </w:p>
        </w:tc>
        <w:tc>
          <w:tcPr>
            <w:tcW w:w="2160" w:type="dxa"/>
            <w:vAlign w:val="center"/>
          </w:tcPr>
          <w:p w14:paraId="0CF1210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用户规模、单校毛利、履约成本</w:t>
            </w:r>
          </w:p>
        </w:tc>
      </w:tr>
      <w:tr w14:paraId="5F1B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403CEDC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多校复制</w:t>
            </w:r>
          </w:p>
        </w:tc>
        <w:tc>
          <w:tcPr>
            <w:tcW w:w="2160" w:type="dxa"/>
            <w:vAlign w:val="center"/>
          </w:tcPr>
          <w:p w14:paraId="2B8ED48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19个月以后</w:t>
            </w:r>
          </w:p>
        </w:tc>
        <w:tc>
          <w:tcPr>
            <w:tcW w:w="2160" w:type="dxa"/>
            <w:vAlign w:val="center"/>
          </w:tcPr>
          <w:p w14:paraId="4B16876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复制运营SOP和技术平台</w:t>
            </w:r>
          </w:p>
        </w:tc>
        <w:tc>
          <w:tcPr>
            <w:tcW w:w="2160" w:type="dxa"/>
            <w:vAlign w:val="center"/>
          </w:tcPr>
          <w:p w14:paraId="02C2819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覆盖高校数量、单位获客成本</w:t>
            </w:r>
          </w:p>
        </w:tc>
      </w:tr>
    </w:tbl>
    <w:p w14:paraId="0BAFE47D">
      <w:pPr>
        <w:spacing w:after="40"/>
      </w:pPr>
    </w:p>
    <w:p w14:paraId="5BF0DE25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32" w:name="_Toc80032"/>
      <w:bookmarkEnd w:id="80032"/>
      <w:bookmarkStart w:id="32" w:name="_Toc22215"/>
      <w:r>
        <w:rPr>
          <w:rFonts w:ascii="黑体" w:hAnsi="黑体" w:eastAsia="黑体" w:cs="黑体"/>
          <w:b/>
          <w:color w:val="000000"/>
          <w:sz w:val="28"/>
          <w:szCs w:val="28"/>
        </w:rPr>
        <w:t>5.4 关键运营指标体系</w:t>
      </w:r>
      <w:bookmarkEnd w:id="32"/>
    </w:p>
    <w:p w14:paraId="02F8177A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北极星指标：月成交册数。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过程指标：月回收量、综合售出率（目标≥60%）、复购率（目标≥30%）、库存周转天数（目标≤30天）、单本履约成本、CAC、次月留存率。</w:t>
      </w:r>
    </w:p>
    <w:p w14:paraId="0C244720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33" w:name="_Toc80033"/>
      <w:bookmarkEnd w:id="80033"/>
      <w:bookmarkStart w:id="33" w:name="_Toc1828"/>
      <w:r>
        <w:rPr>
          <w:rFonts w:ascii="黑体" w:hAnsi="黑体" w:eastAsia="黑体" w:cs="黑体"/>
          <w:b/>
          <w:color w:val="000000"/>
          <w:sz w:val="32"/>
          <w:szCs w:val="32"/>
        </w:rPr>
        <w:t>第六章 供应链与物流体系</w:t>
      </w:r>
      <w:bookmarkEnd w:id="33"/>
    </w:p>
    <w:p w14:paraId="3EC27527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34" w:name="_Toc80034"/>
      <w:bookmarkEnd w:id="80034"/>
      <w:bookmarkStart w:id="34" w:name="_Toc6783"/>
      <w:r>
        <w:rPr>
          <w:rFonts w:ascii="黑体" w:hAnsi="黑体" w:eastAsia="黑体" w:cs="黑体"/>
          <w:b/>
          <w:color w:val="000000"/>
          <w:sz w:val="28"/>
          <w:szCs w:val="28"/>
        </w:rPr>
        <w:t>6.1 校园仓储与智能柜终端布局</w:t>
      </w:r>
      <w:bookmarkEnd w:id="34"/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6-1：校园仓储布局示意图｜建议图表类型：示意图｜数据来源：待补充（校园实地勘察）】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标注集中仓储中心、宿舍区回收点、图书馆回收点、教学区回收点与智能柜部署位置的相对关系、服务半径与覆盖学生人数。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6-1 校园仓储布局示意图（待补充数据）</w:t>
            </w:r>
          </w:p>
        </w:tc>
      </w:tr>
    </w:tbl>
    <w:p w14:paraId="230AA40E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项目采用"集中仓储+分布式回收点+按需部署智能柜"模式。前期不追求大量铺设硬件，通过人工回收点验证图书流转密度；达到订单量和库存周转阈值后，再在宿舍区、图书馆等高频位置部署智能柜。</w:t>
      </w:r>
    </w:p>
    <w:p w14:paraId="249CF770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35" w:name="_Toc80035"/>
      <w:bookmarkEnd w:id="80035"/>
      <w:bookmarkStart w:id="35" w:name="_Toc20487"/>
      <w:r>
        <w:rPr>
          <w:rFonts w:ascii="黑体" w:hAnsi="黑体" w:eastAsia="黑体" w:cs="黑体"/>
          <w:b/>
          <w:color w:val="000000"/>
          <w:sz w:val="28"/>
          <w:szCs w:val="28"/>
        </w:rPr>
        <w:t>6.2 旧书回收、质检与整理SOP</w:t>
      </w:r>
      <w:bookmarkEnd w:id="35"/>
    </w:p>
    <w:p w14:paraId="6FE023DB">
      <w:pPr>
        <w:spacing w:after="40"/>
      </w:pPr>
    </w:p>
    <w:p w14:paraId="497EDF3C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说明：原稿"紫外线灭菌"表述已修订为"合规消毒措施"——图书纸张、装订和油墨材料对处理方式存在差异，具体设备与消毒参数需根据供应商说明和安全标准验证后执行。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6-2：供应链与逆向物流流程图｜建议图表类型：流程图｜数据来源：待补充（团队供应链方案）】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回收投递（预约上门/回收点/智能柜）→ 集中揽收 → 质检分级与合规消毒 → 入库上架 → 校内匹配与交付 → 跨校调拨 / 公益捐赠分流 → 滞销预警与再流通，形成闭环逆向物流。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6-2 供应链与逆向物流流程图（待补充数据）</w:t>
            </w:r>
          </w:p>
        </w:tc>
      </w:tr>
    </w:tbl>
    <w:p w14:paraId="69578E79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36" w:name="_Toc80036"/>
      <w:bookmarkEnd w:id="80036"/>
      <w:bookmarkStart w:id="36" w:name="_Toc2519"/>
      <w:r>
        <w:rPr>
          <w:rFonts w:ascii="黑体" w:hAnsi="黑体" w:eastAsia="黑体" w:cs="黑体"/>
          <w:b/>
          <w:color w:val="000000"/>
          <w:sz w:val="28"/>
          <w:szCs w:val="28"/>
        </w:rPr>
        <w:t>6.3 校园逆向物流与末端配送</w:t>
      </w:r>
      <w:bookmarkEnd w:id="36"/>
    </w:p>
    <w:p w14:paraId="7B7CC0DD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校园大使+勤工助学团队负责回收点日常维护、基础巡检与集中揽收，人力成本远低于专职配送。</w:t>
      </w:r>
    </w:p>
    <w:p w14:paraId="52428AA5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集中回收后按专业、课程和品相分类，高频教材优先校内流转，减少跨区域物流。</w:t>
      </w:r>
    </w:p>
    <w:p w14:paraId="18D91005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跨校交易和公益捐赠采用集中批量运输，降低单位物流成本；包装箱循环使用。</w:t>
      </w:r>
    </w:p>
    <w:p w14:paraId="482212FE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通过库存预警和调拨机制降低滞销图书积压。</w:t>
      </w:r>
    </w:p>
    <w:p w14:paraId="32F0C624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37" w:name="_Toc80037"/>
      <w:bookmarkEnd w:id="80037"/>
      <w:bookmarkStart w:id="37" w:name="_Toc4515"/>
      <w:r>
        <w:rPr>
          <w:rFonts w:ascii="黑体" w:hAnsi="黑体" w:eastAsia="黑体" w:cs="黑体"/>
          <w:b/>
          <w:color w:val="000000"/>
          <w:sz w:val="32"/>
          <w:szCs w:val="32"/>
        </w:rPr>
        <w:t>第七章 团队介绍</w:t>
      </w:r>
      <w:bookmarkEnd w:id="37"/>
    </w:p>
    <w:p w14:paraId="53A0F8E7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38" w:name="_Toc80038"/>
      <w:bookmarkEnd w:id="80038"/>
      <w:bookmarkStart w:id="38" w:name="_Toc19769"/>
      <w:r>
        <w:rPr>
          <w:rFonts w:ascii="黑体" w:hAnsi="黑体" w:eastAsia="黑体" w:cs="黑体"/>
          <w:b/>
          <w:color w:val="000000"/>
          <w:sz w:val="28"/>
          <w:szCs w:val="28"/>
        </w:rPr>
        <w:t>7.1 核心团队成员</w:t>
      </w:r>
      <w:bookmarkEnd w:id="38"/>
    </w:p>
    <w:p w14:paraId="262A9D05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注：成员背景为示例写法，正式版须填写真实信息并附证书、获奖证明扫描件。</w:t>
      </w:r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160"/>
        <w:gridCol w:w="2160"/>
        <w:gridCol w:w="2160"/>
        <w:gridCol w:w="2160"/>
      </w:tblGrid>
      <w:tr w14:paraId="5CFB7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2160" w:type="dxa"/>
            <w:vAlign w:val="center"/>
          </w:tcPr>
          <w:p w14:paraId="37A52F0F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岗位</w:t>
            </w:r>
          </w:p>
        </w:tc>
        <w:tc>
          <w:tcPr>
            <w:tcW w:w="2160" w:type="dxa"/>
            <w:vAlign w:val="center"/>
          </w:tcPr>
          <w:p w14:paraId="4ED2B69E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主要职责</w:t>
            </w:r>
          </w:p>
        </w:tc>
        <w:tc>
          <w:tcPr>
            <w:tcW w:w="2160" w:type="dxa"/>
            <w:vAlign w:val="center"/>
          </w:tcPr>
          <w:p w14:paraId="65A291E9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核心能力</w:t>
            </w:r>
          </w:p>
        </w:tc>
        <w:tc>
          <w:tcPr>
            <w:tcW w:w="2160" w:type="dxa"/>
            <w:vAlign w:val="center"/>
          </w:tcPr>
          <w:p w14:paraId="3203DE50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背景亮点（示例）</w:t>
            </w:r>
          </w:p>
        </w:tc>
      </w:tr>
      <w:tr w14:paraId="1BCA0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4D40BAB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项目负责人</w:t>
            </w:r>
          </w:p>
        </w:tc>
        <w:tc>
          <w:tcPr>
            <w:tcW w:w="2160" w:type="dxa"/>
            <w:vAlign w:val="center"/>
          </w:tcPr>
          <w:p w14:paraId="64C0950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战略规划、资源整合、校企合作、项目管理</w:t>
            </w:r>
          </w:p>
        </w:tc>
        <w:tc>
          <w:tcPr>
            <w:tcW w:w="2160" w:type="dxa"/>
            <w:vAlign w:val="center"/>
          </w:tcPr>
          <w:p w14:paraId="26447ED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项目管理、沟通协调</w:t>
            </w:r>
          </w:p>
        </w:tc>
        <w:tc>
          <w:tcPr>
            <w:tcW w:w="2160" w:type="dxa"/>
            <w:vAlign w:val="center"/>
          </w:tcPr>
          <w:p w14:paraId="0590148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曾获省级创新创业大赛奖项，主导校企合作项目2项</w:t>
            </w:r>
          </w:p>
        </w:tc>
      </w:tr>
      <w:tr w14:paraId="20F3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0F5EF5B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技术负责人</w:t>
            </w:r>
          </w:p>
        </w:tc>
        <w:tc>
          <w:tcPr>
            <w:tcW w:w="2160" w:type="dxa"/>
            <w:vAlign w:val="center"/>
          </w:tcPr>
          <w:p w14:paraId="3F8BE3A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小程序、后台、AI识别、IoT系统</w:t>
            </w:r>
          </w:p>
        </w:tc>
        <w:tc>
          <w:tcPr>
            <w:tcW w:w="2160" w:type="dxa"/>
            <w:vAlign w:val="center"/>
          </w:tcPr>
          <w:p w14:paraId="3A0B402E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软件开发、数据与算法</w:t>
            </w:r>
          </w:p>
        </w:tc>
        <w:tc>
          <w:tcPr>
            <w:tcW w:w="2160" w:type="dxa"/>
            <w:vAlign w:val="center"/>
          </w:tcPr>
          <w:p w14:paraId="3E3627E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计算机专业，主导开发校园服务小程序，获软著1项</w:t>
            </w:r>
          </w:p>
        </w:tc>
      </w:tr>
      <w:tr w14:paraId="75A72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58AA7C7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运营负责人</w:t>
            </w:r>
          </w:p>
        </w:tc>
        <w:tc>
          <w:tcPr>
            <w:tcW w:w="2160" w:type="dxa"/>
            <w:vAlign w:val="center"/>
          </w:tcPr>
          <w:p w14:paraId="407F9FA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校园推广、社群运营、活动和校园大使</w:t>
            </w:r>
          </w:p>
        </w:tc>
        <w:tc>
          <w:tcPr>
            <w:tcW w:w="2160" w:type="dxa"/>
            <w:vAlign w:val="center"/>
          </w:tcPr>
          <w:p w14:paraId="584580B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用户运营、活动策划</w:t>
            </w:r>
          </w:p>
        </w:tc>
        <w:tc>
          <w:tcPr>
            <w:tcW w:w="2160" w:type="dxa"/>
            <w:vAlign w:val="center"/>
          </w:tcPr>
          <w:p w14:paraId="5DED24D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校青协部长，组织过千人级校园活动</w:t>
            </w:r>
          </w:p>
        </w:tc>
      </w:tr>
      <w:tr w14:paraId="72EBD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40D85F4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财务负责人</w:t>
            </w:r>
          </w:p>
        </w:tc>
        <w:tc>
          <w:tcPr>
            <w:tcW w:w="2160" w:type="dxa"/>
            <w:vAlign w:val="center"/>
          </w:tcPr>
          <w:p w14:paraId="0D1AB51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预算、成本、财务预测、融资材料</w:t>
            </w:r>
          </w:p>
        </w:tc>
        <w:tc>
          <w:tcPr>
            <w:tcW w:w="2160" w:type="dxa"/>
            <w:vAlign w:val="center"/>
          </w:tcPr>
          <w:p w14:paraId="173306E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财务分析、风险控制</w:t>
            </w:r>
          </w:p>
        </w:tc>
        <w:tc>
          <w:tcPr>
            <w:tcW w:w="2160" w:type="dxa"/>
            <w:vAlign w:val="center"/>
          </w:tcPr>
          <w:p w14:paraId="5E6D28D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会计学专业，持初级会计专业技术资格</w:t>
            </w:r>
          </w:p>
        </w:tc>
      </w:tr>
    </w:tbl>
    <w:p w14:paraId="35105B6A">
      <w:pPr>
        <w:spacing w:after="40"/>
      </w:pPr>
    </w:p>
    <w:p w14:paraId="3CFD1B05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39" w:name="_Toc80039"/>
      <w:bookmarkEnd w:id="80039"/>
      <w:bookmarkStart w:id="39" w:name="_Toc2426"/>
      <w:r>
        <w:rPr>
          <w:rFonts w:ascii="黑体" w:hAnsi="黑体" w:eastAsia="黑体" w:cs="黑体"/>
          <w:b/>
          <w:color w:val="000000"/>
          <w:sz w:val="28"/>
          <w:szCs w:val="28"/>
        </w:rPr>
        <w:t>7.2 组织架构与部门职责</w:t>
      </w:r>
      <w:bookmarkEnd w:id="39"/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7-1：组织架构图｜建议图表类型：架构图｜数据来源：待补充（团队实际分工）】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项目负责人统筹，下设产品技术组、运营市场组、供应链组、财务与合规组，并标注校园大使/勤工助学团队与指导老师、顾问的支撑关系。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7-1 组织架构图（待补充数据）</w:t>
            </w:r>
          </w:p>
        </w:tc>
      </w:tr>
    </w:tbl>
    <w:p w14:paraId="5D0903F5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产品技术组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：平台产品、算法和硬件系统。</w:t>
      </w:r>
    </w:p>
    <w:p w14:paraId="2D8B329C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运营市场组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：用户增长、校园活动和合作。</w:t>
      </w:r>
    </w:p>
    <w:p w14:paraId="41DC8FD3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供应链组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：回收、质检、仓储、调拨。</w:t>
      </w:r>
    </w:p>
    <w:p w14:paraId="08E47D50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财务与合规组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：预算、合同、知识产权、版权和数据合规。</w:t>
      </w:r>
    </w:p>
    <w:p w14:paraId="75D2B051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40" w:name="_Toc80040"/>
      <w:bookmarkEnd w:id="80040"/>
      <w:bookmarkStart w:id="40" w:name="_Toc4058"/>
      <w:r>
        <w:rPr>
          <w:rFonts w:ascii="黑体" w:hAnsi="黑体" w:eastAsia="黑体" w:cs="黑体"/>
          <w:b/>
          <w:color w:val="000000"/>
          <w:sz w:val="28"/>
          <w:szCs w:val="28"/>
        </w:rPr>
        <w:t>7.3 顾问与指导老师团队</w:t>
      </w:r>
      <w:bookmarkEnd w:id="40"/>
    </w:p>
    <w:p w14:paraId="309B9A5C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正式参赛时填写真实指导教师、创业导师、技术顾问和校企合作导师，并附聘书或指导证明。</w:t>
      </w:r>
    </w:p>
    <w:p w14:paraId="6EDF0B84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41" w:name="_Toc80041"/>
      <w:bookmarkEnd w:id="80041"/>
      <w:bookmarkStart w:id="41" w:name="_Toc29375"/>
      <w:r>
        <w:rPr>
          <w:rFonts w:ascii="黑体" w:hAnsi="黑体" w:eastAsia="黑体" w:cs="黑体"/>
          <w:b/>
          <w:color w:val="000000"/>
          <w:sz w:val="28"/>
          <w:szCs w:val="28"/>
        </w:rPr>
        <w:t>7.4 团队核心优势与人岗匹配度</w:t>
      </w:r>
      <w:bookmarkEnd w:id="41"/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728"/>
        <w:gridCol w:w="1728"/>
        <w:gridCol w:w="1728"/>
        <w:gridCol w:w="1728"/>
        <w:gridCol w:w="1728"/>
      </w:tblGrid>
      <w:tr w14:paraId="374C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1728" w:type="dxa"/>
            <w:vAlign w:val="center"/>
          </w:tcPr>
          <w:p w14:paraId="45BBC498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能力项</w:t>
            </w:r>
          </w:p>
        </w:tc>
        <w:tc>
          <w:tcPr>
            <w:tcW w:w="1728" w:type="dxa"/>
            <w:vAlign w:val="center"/>
          </w:tcPr>
          <w:p w14:paraId="5F20E472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项目负责人</w:t>
            </w:r>
          </w:p>
        </w:tc>
        <w:tc>
          <w:tcPr>
            <w:tcW w:w="1728" w:type="dxa"/>
            <w:vAlign w:val="center"/>
          </w:tcPr>
          <w:p w14:paraId="5F3ECBA2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技术负责人</w:t>
            </w:r>
          </w:p>
        </w:tc>
        <w:tc>
          <w:tcPr>
            <w:tcW w:w="1728" w:type="dxa"/>
            <w:vAlign w:val="center"/>
          </w:tcPr>
          <w:p w14:paraId="6AA2DB28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运营负责人</w:t>
            </w:r>
          </w:p>
        </w:tc>
        <w:tc>
          <w:tcPr>
            <w:tcW w:w="1728" w:type="dxa"/>
            <w:vAlign w:val="center"/>
          </w:tcPr>
          <w:p w14:paraId="3E27DBF1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财务负责人</w:t>
            </w:r>
          </w:p>
        </w:tc>
      </w:tr>
      <w:tr w14:paraId="200C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28" w:type="dxa"/>
            <w:vAlign w:val="center"/>
          </w:tcPr>
          <w:p w14:paraId="2AD9037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软件开发/算法</w:t>
            </w:r>
          </w:p>
        </w:tc>
        <w:tc>
          <w:tcPr>
            <w:tcW w:w="1728" w:type="dxa"/>
            <w:vAlign w:val="center"/>
          </w:tcPr>
          <w:p w14:paraId="14B6062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○</w:t>
            </w:r>
          </w:p>
        </w:tc>
        <w:tc>
          <w:tcPr>
            <w:tcW w:w="1728" w:type="dxa"/>
            <w:vAlign w:val="center"/>
          </w:tcPr>
          <w:p w14:paraId="15CB0EC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●</w:t>
            </w:r>
          </w:p>
        </w:tc>
        <w:tc>
          <w:tcPr>
            <w:tcW w:w="1728" w:type="dxa"/>
            <w:vAlign w:val="center"/>
          </w:tcPr>
          <w:p w14:paraId="67A73E8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○</w:t>
            </w:r>
          </w:p>
        </w:tc>
        <w:tc>
          <w:tcPr>
            <w:tcW w:w="1728" w:type="dxa"/>
            <w:vAlign w:val="center"/>
          </w:tcPr>
          <w:p w14:paraId="55FFF89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—</w:t>
            </w:r>
          </w:p>
        </w:tc>
      </w:tr>
      <w:tr w14:paraId="0E9D0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28" w:type="dxa"/>
            <w:vAlign w:val="center"/>
          </w:tcPr>
          <w:p w14:paraId="0C8B29A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校园运营/活动</w:t>
            </w:r>
          </w:p>
        </w:tc>
        <w:tc>
          <w:tcPr>
            <w:tcW w:w="1728" w:type="dxa"/>
            <w:vAlign w:val="center"/>
          </w:tcPr>
          <w:p w14:paraId="14672FA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●</w:t>
            </w:r>
          </w:p>
        </w:tc>
        <w:tc>
          <w:tcPr>
            <w:tcW w:w="1728" w:type="dxa"/>
            <w:vAlign w:val="center"/>
          </w:tcPr>
          <w:p w14:paraId="107FF4E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○</w:t>
            </w:r>
          </w:p>
        </w:tc>
        <w:tc>
          <w:tcPr>
            <w:tcW w:w="1728" w:type="dxa"/>
            <w:vAlign w:val="center"/>
          </w:tcPr>
          <w:p w14:paraId="04B4C57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●</w:t>
            </w:r>
          </w:p>
        </w:tc>
        <w:tc>
          <w:tcPr>
            <w:tcW w:w="1728" w:type="dxa"/>
            <w:vAlign w:val="center"/>
          </w:tcPr>
          <w:p w14:paraId="3B84875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○</w:t>
            </w:r>
          </w:p>
        </w:tc>
      </w:tr>
      <w:tr w14:paraId="26DFF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28" w:type="dxa"/>
            <w:vAlign w:val="center"/>
          </w:tcPr>
          <w:p w14:paraId="5CF9781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财务/合规</w:t>
            </w:r>
          </w:p>
        </w:tc>
        <w:tc>
          <w:tcPr>
            <w:tcW w:w="1728" w:type="dxa"/>
            <w:vAlign w:val="center"/>
          </w:tcPr>
          <w:p w14:paraId="4F62ADF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○</w:t>
            </w:r>
          </w:p>
        </w:tc>
        <w:tc>
          <w:tcPr>
            <w:tcW w:w="1728" w:type="dxa"/>
            <w:vAlign w:val="center"/>
          </w:tcPr>
          <w:p w14:paraId="42C6A87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728" w:type="dxa"/>
            <w:vAlign w:val="center"/>
          </w:tcPr>
          <w:p w14:paraId="1F0AA43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○</w:t>
            </w:r>
          </w:p>
        </w:tc>
        <w:tc>
          <w:tcPr>
            <w:tcW w:w="1728" w:type="dxa"/>
            <w:vAlign w:val="center"/>
          </w:tcPr>
          <w:p w14:paraId="3B2846F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●</w:t>
            </w:r>
          </w:p>
        </w:tc>
      </w:tr>
      <w:tr w14:paraId="62EA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28" w:type="dxa"/>
            <w:vAlign w:val="center"/>
          </w:tcPr>
          <w:p w14:paraId="374A375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校企资源/沟通</w:t>
            </w:r>
          </w:p>
        </w:tc>
        <w:tc>
          <w:tcPr>
            <w:tcW w:w="1728" w:type="dxa"/>
            <w:vAlign w:val="center"/>
          </w:tcPr>
          <w:p w14:paraId="65D8366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●</w:t>
            </w:r>
          </w:p>
        </w:tc>
        <w:tc>
          <w:tcPr>
            <w:tcW w:w="1728" w:type="dxa"/>
            <w:vAlign w:val="center"/>
          </w:tcPr>
          <w:p w14:paraId="64F59FB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○</w:t>
            </w:r>
          </w:p>
        </w:tc>
        <w:tc>
          <w:tcPr>
            <w:tcW w:w="1728" w:type="dxa"/>
            <w:vAlign w:val="center"/>
          </w:tcPr>
          <w:p w14:paraId="56E0978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●</w:t>
            </w:r>
          </w:p>
        </w:tc>
        <w:tc>
          <w:tcPr>
            <w:tcW w:w="1728" w:type="dxa"/>
            <w:vAlign w:val="center"/>
          </w:tcPr>
          <w:p w14:paraId="65B96DF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○</w:t>
            </w:r>
          </w:p>
        </w:tc>
      </w:tr>
    </w:tbl>
    <w:p w14:paraId="18FE1409">
      <w:pPr>
        <w:spacing w:after="40"/>
      </w:pPr>
    </w:p>
    <w:p w14:paraId="290BBBE3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注：●核心承担，○参与协同。团队突出"技术能力+校园场景理解+运营执行"的组合优势，所有成果以真实项目、证书和证明材料为据。</w:t>
      </w:r>
    </w:p>
    <w:p w14:paraId="2343D527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42" w:name="_Toc80042"/>
      <w:bookmarkEnd w:id="80042"/>
      <w:bookmarkStart w:id="42" w:name="_Toc12717"/>
      <w:r>
        <w:rPr>
          <w:rFonts w:ascii="黑体" w:hAnsi="黑体" w:eastAsia="黑体" w:cs="黑体"/>
          <w:b/>
          <w:color w:val="000000"/>
          <w:sz w:val="32"/>
          <w:szCs w:val="32"/>
        </w:rPr>
        <w:t>第八章 财务规划</w:t>
      </w:r>
      <w:bookmarkEnd w:id="42"/>
    </w:p>
    <w:p w14:paraId="69854B6F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43" w:name="_Toc80043"/>
      <w:bookmarkEnd w:id="80043"/>
      <w:bookmarkStart w:id="43" w:name="_Toc8449"/>
      <w:r>
        <w:rPr>
          <w:rFonts w:ascii="黑体" w:hAnsi="黑体" w:eastAsia="黑体" w:cs="黑体"/>
          <w:b/>
          <w:color w:val="000000"/>
          <w:sz w:val="28"/>
          <w:szCs w:val="28"/>
        </w:rPr>
        <w:t>8.1 融资需求与资金使用</w:t>
      </w:r>
      <w:bookmarkEnd w:id="43"/>
    </w:p>
    <w:p w14:paraId="73D3588C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首轮融资目标约30万元，根据硬件采购、平台开发、市场推广和流动资金需求调整。</w:t>
      </w:r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880"/>
        <w:gridCol w:w="2880"/>
        <w:gridCol w:w="2880"/>
      </w:tblGrid>
      <w:tr w14:paraId="64CC1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  <w:cantSplit/>
          <w:tblHeader w:val="true"/>
          <w:trHeight w:val="453" w:hRule="atLeast"/>
        </w:trPr>
        <w:tc>
          <w:tcPr>
            <w:tcW w:w="2880" w:type="dxa"/>
            <w:vAlign w:val="center"/>
          </w:tcPr>
          <w:p w14:paraId="4C07940A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资金用途</w:t>
            </w:r>
          </w:p>
        </w:tc>
        <w:tc>
          <w:tcPr>
            <w:tcW w:w="2880" w:type="dxa"/>
            <w:vAlign w:val="center"/>
          </w:tcPr>
          <w:p w14:paraId="636C3919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建议占比</w:t>
            </w:r>
          </w:p>
        </w:tc>
        <w:tc>
          <w:tcPr>
            <w:tcW w:w="2880" w:type="dxa"/>
            <w:vAlign w:val="center"/>
          </w:tcPr>
          <w:p w14:paraId="760D54C4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主要内容</w:t>
            </w:r>
          </w:p>
        </w:tc>
      </w:tr>
      <w:tr w14:paraId="4EE8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6E98EAB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产品与技术</w:t>
            </w:r>
          </w:p>
        </w:tc>
        <w:tc>
          <w:tcPr>
            <w:tcW w:w="2880" w:type="dxa"/>
            <w:vAlign w:val="center"/>
          </w:tcPr>
          <w:p w14:paraId="09BB9A4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25%</w:t>
            </w:r>
          </w:p>
        </w:tc>
        <w:tc>
          <w:tcPr>
            <w:tcW w:w="2880" w:type="dxa"/>
            <w:vAlign w:val="center"/>
          </w:tcPr>
          <w:p w14:paraId="70E6061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小程序、后台、服务器、基础算法研发</w:t>
            </w:r>
          </w:p>
        </w:tc>
      </w:tr>
      <w:tr w14:paraId="35309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307EDC0E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智能硬件试点</w:t>
            </w:r>
          </w:p>
        </w:tc>
        <w:tc>
          <w:tcPr>
            <w:tcW w:w="2880" w:type="dxa"/>
            <w:vAlign w:val="center"/>
          </w:tcPr>
          <w:p w14:paraId="4B85263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25%</w:t>
            </w:r>
          </w:p>
        </w:tc>
        <w:tc>
          <w:tcPr>
            <w:tcW w:w="2880" w:type="dxa"/>
            <w:vAlign w:val="center"/>
          </w:tcPr>
          <w:p w14:paraId="325C1FF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回收柜样机、IoT模块、安装调试</w:t>
            </w:r>
          </w:p>
        </w:tc>
      </w:tr>
      <w:tr w14:paraId="42A4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69DBABC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市场与推广</w:t>
            </w:r>
          </w:p>
        </w:tc>
        <w:tc>
          <w:tcPr>
            <w:tcW w:w="2880" w:type="dxa"/>
            <w:vAlign w:val="center"/>
          </w:tcPr>
          <w:p w14:paraId="7D8554C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20%</w:t>
            </w:r>
          </w:p>
        </w:tc>
        <w:tc>
          <w:tcPr>
            <w:tcW w:w="2880" w:type="dxa"/>
            <w:vAlign w:val="center"/>
          </w:tcPr>
          <w:p w14:paraId="7D47A9A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校园活动、物料、用户激励</w:t>
            </w:r>
          </w:p>
        </w:tc>
      </w:tr>
      <w:tr w14:paraId="18C96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3E3FBBC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供应链与仓储</w:t>
            </w:r>
          </w:p>
        </w:tc>
        <w:tc>
          <w:tcPr>
            <w:tcW w:w="2880" w:type="dxa"/>
            <w:vAlign w:val="center"/>
          </w:tcPr>
          <w:p w14:paraId="013DD3A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15%</w:t>
            </w:r>
          </w:p>
        </w:tc>
        <w:tc>
          <w:tcPr>
            <w:tcW w:w="2880" w:type="dxa"/>
            <w:vAlign w:val="center"/>
          </w:tcPr>
          <w:p w14:paraId="1EBAA59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仓储、包装、运输、质检</w:t>
            </w:r>
          </w:p>
        </w:tc>
      </w:tr>
      <w:tr w14:paraId="62295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7815ACF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流动资金</w:t>
            </w:r>
          </w:p>
        </w:tc>
        <w:tc>
          <w:tcPr>
            <w:tcW w:w="2880" w:type="dxa"/>
            <w:vAlign w:val="center"/>
          </w:tcPr>
          <w:p w14:paraId="77B6E88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15%</w:t>
            </w:r>
          </w:p>
        </w:tc>
        <w:tc>
          <w:tcPr>
            <w:tcW w:w="2880" w:type="dxa"/>
            <w:vAlign w:val="center"/>
          </w:tcPr>
          <w:p w14:paraId="5876BB3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日常运营和风险准备金</w:t>
            </w:r>
          </w:p>
        </w:tc>
      </w:tr>
    </w:tbl>
    <w:p w14:paraId="1DCDA76C">
      <w:pPr>
        <w:spacing w:after="40"/>
      </w:pPr>
    </w:p>
    <w:p w14:paraId="7F769B3C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44" w:name="_Toc80044"/>
      <w:bookmarkEnd w:id="80044"/>
      <w:bookmarkStart w:id="44" w:name="_Toc26081"/>
      <w:r>
        <w:rPr>
          <w:rFonts w:ascii="黑体" w:hAnsi="黑体" w:eastAsia="黑体" w:cs="黑体"/>
          <w:b/>
          <w:color w:val="000000"/>
          <w:sz w:val="28"/>
          <w:szCs w:val="28"/>
        </w:rPr>
        <w:t>8.2 未来3年收入预测</w:t>
      </w:r>
      <w:bookmarkEnd w:id="44"/>
    </w:p>
    <w:p w14:paraId="39A584B8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原稿Y1/Y2/Y3数字作为"目标情景"，以单校订单量、客单价、学校数量、毛利率和硬件折旧等假设逐项推导，并采用保守/基准/乐观三情景管理。</w:t>
      </w:r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160"/>
        <w:gridCol w:w="2160"/>
        <w:gridCol w:w="2160"/>
        <w:gridCol w:w="2160"/>
      </w:tblGrid>
      <w:tr w14:paraId="7B2A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2160" w:type="dxa"/>
            <w:vAlign w:val="center"/>
          </w:tcPr>
          <w:p w14:paraId="65AC721E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指标</w:t>
            </w:r>
          </w:p>
        </w:tc>
        <w:tc>
          <w:tcPr>
            <w:tcW w:w="2160" w:type="dxa"/>
            <w:vAlign w:val="center"/>
          </w:tcPr>
          <w:p w14:paraId="4DCBEADC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Y1 目标情景</w:t>
            </w:r>
          </w:p>
        </w:tc>
        <w:tc>
          <w:tcPr>
            <w:tcW w:w="2160" w:type="dxa"/>
            <w:vAlign w:val="center"/>
          </w:tcPr>
          <w:p w14:paraId="4EACA212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Y2 目标情景</w:t>
            </w:r>
          </w:p>
        </w:tc>
        <w:tc>
          <w:tcPr>
            <w:tcW w:w="2160" w:type="dxa"/>
            <w:vAlign w:val="center"/>
          </w:tcPr>
          <w:p w14:paraId="4DE76811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Y3 目标情景</w:t>
            </w:r>
          </w:p>
        </w:tc>
      </w:tr>
      <w:tr w14:paraId="6BA30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50C676C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覆盖高校</w:t>
            </w:r>
          </w:p>
        </w:tc>
        <w:tc>
          <w:tcPr>
            <w:tcW w:w="2160" w:type="dxa"/>
            <w:vAlign w:val="center"/>
          </w:tcPr>
          <w:p w14:paraId="0DA71C3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2所</w:t>
            </w:r>
          </w:p>
        </w:tc>
        <w:tc>
          <w:tcPr>
            <w:tcW w:w="2160" w:type="dxa"/>
            <w:vAlign w:val="center"/>
          </w:tcPr>
          <w:p w14:paraId="6E00072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10所</w:t>
            </w:r>
          </w:p>
        </w:tc>
        <w:tc>
          <w:tcPr>
            <w:tcW w:w="2160" w:type="dxa"/>
            <w:vAlign w:val="center"/>
          </w:tcPr>
          <w:p w14:paraId="7318E8B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35所</w:t>
            </w:r>
          </w:p>
        </w:tc>
      </w:tr>
      <w:tr w14:paraId="66881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574AC06E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营业收入</w:t>
            </w:r>
          </w:p>
        </w:tc>
        <w:tc>
          <w:tcPr>
            <w:tcW w:w="2160" w:type="dxa"/>
            <w:vAlign w:val="center"/>
          </w:tcPr>
          <w:p w14:paraId="27454F8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12.5万元</w:t>
            </w:r>
          </w:p>
        </w:tc>
        <w:tc>
          <w:tcPr>
            <w:tcW w:w="2160" w:type="dxa"/>
            <w:vAlign w:val="center"/>
          </w:tcPr>
          <w:p w14:paraId="2629EC7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68万元</w:t>
            </w:r>
          </w:p>
        </w:tc>
        <w:tc>
          <w:tcPr>
            <w:tcW w:w="2160" w:type="dxa"/>
            <w:vAlign w:val="center"/>
          </w:tcPr>
          <w:p w14:paraId="402A773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240万元</w:t>
            </w:r>
          </w:p>
        </w:tc>
      </w:tr>
      <w:tr w14:paraId="24491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614C879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收入构成（目标）</w:t>
            </w:r>
          </w:p>
        </w:tc>
        <w:tc>
          <w:tcPr>
            <w:tcW w:w="2160" w:type="dxa"/>
            <w:vAlign w:val="center"/>
          </w:tcPr>
          <w:p w14:paraId="4DED2B9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差价80%/租赁10%/广告5%/其他5%</w:t>
            </w:r>
          </w:p>
        </w:tc>
        <w:tc>
          <w:tcPr>
            <w:tcW w:w="2160" w:type="dxa"/>
            <w:vAlign w:val="center"/>
          </w:tcPr>
          <w:p w14:paraId="42A3F62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差价75%/租赁12%/广告8%/其他5%</w:t>
            </w:r>
          </w:p>
        </w:tc>
        <w:tc>
          <w:tcPr>
            <w:tcW w:w="2160" w:type="dxa"/>
            <w:vAlign w:val="center"/>
          </w:tcPr>
          <w:p w14:paraId="2F268AD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差价70%/租赁15%/广告10%/其他5%</w:t>
            </w:r>
          </w:p>
        </w:tc>
      </w:tr>
      <w:tr w14:paraId="71B1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67F7A2D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硬件投入</w:t>
            </w:r>
          </w:p>
        </w:tc>
        <w:tc>
          <w:tcPr>
            <w:tcW w:w="2160" w:type="dxa"/>
            <w:vAlign w:val="center"/>
          </w:tcPr>
          <w:p w14:paraId="5AEF861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8万元</w:t>
            </w:r>
          </w:p>
        </w:tc>
        <w:tc>
          <w:tcPr>
            <w:tcW w:w="2160" w:type="dxa"/>
            <w:vAlign w:val="center"/>
          </w:tcPr>
          <w:p w14:paraId="431B2A7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30万元</w:t>
            </w:r>
          </w:p>
        </w:tc>
        <w:tc>
          <w:tcPr>
            <w:tcW w:w="2160" w:type="dxa"/>
            <w:vAlign w:val="center"/>
          </w:tcPr>
          <w:p w14:paraId="4817BAB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按扩张计划动态投入</w:t>
            </w:r>
          </w:p>
        </w:tc>
      </w:tr>
      <w:tr w14:paraId="784D1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01D452B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净利润</w:t>
            </w:r>
          </w:p>
        </w:tc>
        <w:tc>
          <w:tcPr>
            <w:tcW w:w="2160" w:type="dxa"/>
            <w:vAlign w:val="center"/>
          </w:tcPr>
          <w:p w14:paraId="3959250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2.5万元</w:t>
            </w:r>
          </w:p>
        </w:tc>
        <w:tc>
          <w:tcPr>
            <w:tcW w:w="2160" w:type="dxa"/>
            <w:vAlign w:val="center"/>
          </w:tcPr>
          <w:p w14:paraId="1F96876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26万元</w:t>
            </w:r>
          </w:p>
        </w:tc>
        <w:tc>
          <w:tcPr>
            <w:tcW w:w="2160" w:type="dxa"/>
            <w:vAlign w:val="center"/>
          </w:tcPr>
          <w:p w14:paraId="0FD152F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105万元</w:t>
            </w:r>
          </w:p>
        </w:tc>
      </w:tr>
    </w:tbl>
    <w:p w14:paraId="77116F95">
      <w:pPr>
        <w:spacing w:after="40"/>
      </w:pPr>
    </w:p>
    <w:p w14:paraId="3BD86B40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正式参赛时须附：收入构成明细、单位经济模型、成本明细和现金流测算，并进行敏感性分析（见8.6）。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8-1：未来 3 年收入预测柱状图｜建议图表类型：柱状图｜数据来源：待补充（团队财务模型，须以试点实测数据校准）】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按 Y1/Y2/Y3 目标情景（覆盖高校 2 所 → 10 所 → 35 所）呈现营业收入规模，并同时给出保守 / 基准 / 乐观三情景区间。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8-1 未来 3 年收入预测柱状图（待补充数据）</w:t>
            </w:r>
          </w:p>
        </w:tc>
      </w:tr>
    </w:tbl>
    <w:p w14:paraId="54B81478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45" w:name="_Toc80045"/>
      <w:bookmarkEnd w:id="80045"/>
      <w:bookmarkStart w:id="45" w:name="_Toc22813"/>
      <w:r>
        <w:rPr>
          <w:rFonts w:ascii="黑体" w:hAnsi="黑体" w:eastAsia="黑体" w:cs="黑体"/>
          <w:b/>
          <w:color w:val="000000"/>
          <w:sz w:val="28"/>
          <w:szCs w:val="28"/>
        </w:rPr>
        <w:t>8.3 成本与费用预测</w:t>
      </w:r>
      <w:bookmarkEnd w:id="45"/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8-2：成本结构饼图｜建议图表类型：饼图｜数据来源：待补充（团队财务模型，须以试点实测数据校准）】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呈现图书采购（变动成本）、包装运输、平台支付手续费、用户激励、固定成本与折旧摊销的构成比例。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8-2 成本结构饼图（待补充数据）</w:t>
            </w:r>
          </w:p>
        </w:tc>
      </w:tr>
    </w:tbl>
    <w:p w14:paraId="2830134E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固定成本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：平台开发维护、仓储基础费用、软件服务和必要的设备折旧。</w:t>
      </w:r>
    </w:p>
    <w:p w14:paraId="6C7812B9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变动成本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：图书采购、包装、运输、平台支付手续费和用户激励（合计约为收入的53.7%，含单本成本与履约费用）。</w:t>
      </w:r>
    </w:p>
    <w:p w14:paraId="3914DC54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扩张成本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：智能柜采购、安装、维护和新学校市场推广。</w:t>
      </w:r>
    </w:p>
    <w:p w14:paraId="1C796523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人工成本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：前期以校园大使、勤工助学和核心团队为主，规模化后逐步引入专职人员。</w:t>
      </w:r>
    </w:p>
    <w:p w14:paraId="598C4ACF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46" w:name="_Toc80046"/>
      <w:bookmarkEnd w:id="80046"/>
      <w:bookmarkStart w:id="46" w:name="_Toc2691"/>
      <w:r>
        <w:rPr>
          <w:rFonts w:ascii="黑体" w:hAnsi="黑体" w:eastAsia="黑体" w:cs="黑体"/>
          <w:b/>
          <w:color w:val="000000"/>
          <w:sz w:val="28"/>
          <w:szCs w:val="28"/>
        </w:rPr>
        <w:t>8.4 利润表与现金流分析</w:t>
      </w:r>
      <w:bookmarkEnd w:id="46"/>
    </w:p>
    <w:p w14:paraId="6FF3269A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财务模型按月建立前18个月现金流预测，并按年度形成3-5年财务预测。前18个月分季度现金流目标情景如下（单位：万元）：</w:t>
      </w:r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0AA67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1234" w:type="dxa"/>
            <w:vAlign w:val="center"/>
          </w:tcPr>
          <w:p w14:paraId="2E024506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季度</w:t>
            </w:r>
          </w:p>
        </w:tc>
        <w:tc>
          <w:tcPr>
            <w:tcW w:w="1234" w:type="dxa"/>
            <w:vAlign w:val="center"/>
          </w:tcPr>
          <w:p w14:paraId="2E4497F9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营业收入</w:t>
            </w:r>
          </w:p>
        </w:tc>
        <w:tc>
          <w:tcPr>
            <w:tcW w:w="1234" w:type="dxa"/>
            <w:vAlign w:val="center"/>
          </w:tcPr>
          <w:p w14:paraId="748CADB4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变动成本</w:t>
            </w:r>
          </w:p>
        </w:tc>
        <w:tc>
          <w:tcPr>
            <w:tcW w:w="1234" w:type="dxa"/>
            <w:vAlign w:val="center"/>
          </w:tcPr>
          <w:p w14:paraId="43A293C2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固定成本</w:t>
            </w:r>
          </w:p>
        </w:tc>
        <w:tc>
          <w:tcPr>
            <w:tcW w:w="1234" w:type="dxa"/>
            <w:vAlign w:val="center"/>
          </w:tcPr>
          <w:p w14:paraId="11F41C0C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硬件投入</w:t>
            </w:r>
          </w:p>
        </w:tc>
        <w:tc>
          <w:tcPr>
            <w:tcW w:w="1234" w:type="dxa"/>
            <w:vAlign w:val="center"/>
          </w:tcPr>
          <w:p w14:paraId="7CD0B9D4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净现金流</w:t>
            </w:r>
          </w:p>
        </w:tc>
        <w:tc>
          <w:tcPr>
            <w:tcW w:w="1234" w:type="dxa"/>
            <w:vAlign w:val="center"/>
          </w:tcPr>
          <w:p w14:paraId="7428588B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期末现金</w:t>
            </w:r>
          </w:p>
        </w:tc>
      </w:tr>
      <w:tr w14:paraId="6D658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234" w:type="dxa"/>
            <w:vAlign w:val="center"/>
          </w:tcPr>
          <w:p w14:paraId="2075D26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Q1</w:t>
            </w:r>
          </w:p>
        </w:tc>
        <w:tc>
          <w:tcPr>
            <w:tcW w:w="1234" w:type="dxa"/>
            <w:vAlign w:val="center"/>
          </w:tcPr>
          <w:p w14:paraId="2DC4B8E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1234" w:type="dxa"/>
            <w:vAlign w:val="center"/>
          </w:tcPr>
          <w:p w14:paraId="1FCDCD5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0.54</w:t>
            </w:r>
          </w:p>
        </w:tc>
        <w:tc>
          <w:tcPr>
            <w:tcW w:w="1234" w:type="dxa"/>
            <w:vAlign w:val="center"/>
          </w:tcPr>
          <w:p w14:paraId="3CAC0EA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3.90</w:t>
            </w:r>
          </w:p>
        </w:tc>
        <w:tc>
          <w:tcPr>
            <w:tcW w:w="1234" w:type="dxa"/>
            <w:vAlign w:val="center"/>
          </w:tcPr>
          <w:p w14:paraId="3B93FA7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4.00</w:t>
            </w:r>
          </w:p>
        </w:tc>
        <w:tc>
          <w:tcPr>
            <w:tcW w:w="1234" w:type="dxa"/>
            <w:vAlign w:val="center"/>
          </w:tcPr>
          <w:p w14:paraId="7EB9E63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-7.44</w:t>
            </w:r>
          </w:p>
        </w:tc>
        <w:tc>
          <w:tcPr>
            <w:tcW w:w="1234" w:type="dxa"/>
            <w:vAlign w:val="center"/>
          </w:tcPr>
          <w:p w14:paraId="4DBD03A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22.56</w:t>
            </w:r>
          </w:p>
        </w:tc>
      </w:tr>
      <w:tr w14:paraId="4BCA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234" w:type="dxa"/>
            <w:vAlign w:val="center"/>
          </w:tcPr>
          <w:p w14:paraId="7C64A3A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Q2</w:t>
            </w:r>
          </w:p>
        </w:tc>
        <w:tc>
          <w:tcPr>
            <w:tcW w:w="1234" w:type="dxa"/>
            <w:vAlign w:val="center"/>
          </w:tcPr>
          <w:p w14:paraId="3405956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4.00</w:t>
            </w:r>
          </w:p>
        </w:tc>
        <w:tc>
          <w:tcPr>
            <w:tcW w:w="1234" w:type="dxa"/>
            <w:vAlign w:val="center"/>
          </w:tcPr>
          <w:p w14:paraId="777FBCE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2.15</w:t>
            </w:r>
          </w:p>
        </w:tc>
        <w:tc>
          <w:tcPr>
            <w:tcW w:w="1234" w:type="dxa"/>
            <w:vAlign w:val="center"/>
          </w:tcPr>
          <w:p w14:paraId="06597A1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3.90</w:t>
            </w:r>
          </w:p>
        </w:tc>
        <w:tc>
          <w:tcPr>
            <w:tcW w:w="1234" w:type="dxa"/>
            <w:vAlign w:val="center"/>
          </w:tcPr>
          <w:p w14:paraId="79E596A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4.00</w:t>
            </w:r>
          </w:p>
        </w:tc>
        <w:tc>
          <w:tcPr>
            <w:tcW w:w="1234" w:type="dxa"/>
            <w:vAlign w:val="center"/>
          </w:tcPr>
          <w:p w14:paraId="74399A9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-6.05</w:t>
            </w:r>
          </w:p>
        </w:tc>
        <w:tc>
          <w:tcPr>
            <w:tcW w:w="1234" w:type="dxa"/>
            <w:vAlign w:val="center"/>
          </w:tcPr>
          <w:p w14:paraId="5363F7C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16.51</w:t>
            </w:r>
          </w:p>
        </w:tc>
      </w:tr>
      <w:tr w14:paraId="29990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234" w:type="dxa"/>
            <w:vAlign w:val="center"/>
          </w:tcPr>
          <w:p w14:paraId="5BC4373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Q3</w:t>
            </w:r>
          </w:p>
        </w:tc>
        <w:tc>
          <w:tcPr>
            <w:tcW w:w="1234" w:type="dxa"/>
            <w:vAlign w:val="center"/>
          </w:tcPr>
          <w:p w14:paraId="2D7CC0FE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3.50</w:t>
            </w:r>
          </w:p>
        </w:tc>
        <w:tc>
          <w:tcPr>
            <w:tcW w:w="1234" w:type="dxa"/>
            <w:vAlign w:val="center"/>
          </w:tcPr>
          <w:p w14:paraId="0C59039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1.88</w:t>
            </w:r>
          </w:p>
        </w:tc>
        <w:tc>
          <w:tcPr>
            <w:tcW w:w="1234" w:type="dxa"/>
            <w:vAlign w:val="center"/>
          </w:tcPr>
          <w:p w14:paraId="43BD54E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3.90</w:t>
            </w:r>
          </w:p>
        </w:tc>
        <w:tc>
          <w:tcPr>
            <w:tcW w:w="1234" w:type="dxa"/>
            <w:vAlign w:val="center"/>
          </w:tcPr>
          <w:p w14:paraId="00A0E2A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2.00</w:t>
            </w:r>
          </w:p>
        </w:tc>
        <w:tc>
          <w:tcPr>
            <w:tcW w:w="1234" w:type="dxa"/>
            <w:vAlign w:val="center"/>
          </w:tcPr>
          <w:p w14:paraId="0AB61AF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-4.28</w:t>
            </w:r>
          </w:p>
        </w:tc>
        <w:tc>
          <w:tcPr>
            <w:tcW w:w="1234" w:type="dxa"/>
            <w:vAlign w:val="center"/>
          </w:tcPr>
          <w:p w14:paraId="11AAA7B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12.23</w:t>
            </w:r>
          </w:p>
        </w:tc>
      </w:tr>
      <w:tr w14:paraId="02125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234" w:type="dxa"/>
            <w:vAlign w:val="center"/>
          </w:tcPr>
          <w:p w14:paraId="4499DD3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Q4</w:t>
            </w:r>
          </w:p>
        </w:tc>
        <w:tc>
          <w:tcPr>
            <w:tcW w:w="1234" w:type="dxa"/>
            <w:vAlign w:val="center"/>
          </w:tcPr>
          <w:p w14:paraId="3AE7AEA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4.00</w:t>
            </w:r>
          </w:p>
        </w:tc>
        <w:tc>
          <w:tcPr>
            <w:tcW w:w="1234" w:type="dxa"/>
            <w:vAlign w:val="center"/>
          </w:tcPr>
          <w:p w14:paraId="336ADB7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2.15</w:t>
            </w:r>
          </w:p>
        </w:tc>
        <w:tc>
          <w:tcPr>
            <w:tcW w:w="1234" w:type="dxa"/>
            <w:vAlign w:val="center"/>
          </w:tcPr>
          <w:p w14:paraId="603959F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4.50</w:t>
            </w:r>
          </w:p>
        </w:tc>
        <w:tc>
          <w:tcPr>
            <w:tcW w:w="1234" w:type="dxa"/>
            <w:vAlign w:val="center"/>
          </w:tcPr>
          <w:p w14:paraId="1EF66A4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234" w:type="dxa"/>
            <w:vAlign w:val="center"/>
          </w:tcPr>
          <w:p w14:paraId="319E4E2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-2.65</w:t>
            </w:r>
          </w:p>
        </w:tc>
        <w:tc>
          <w:tcPr>
            <w:tcW w:w="1234" w:type="dxa"/>
            <w:vAlign w:val="center"/>
          </w:tcPr>
          <w:p w14:paraId="47E07A9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9.58</w:t>
            </w:r>
          </w:p>
        </w:tc>
      </w:tr>
      <w:tr w14:paraId="6630F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234" w:type="dxa"/>
            <w:vAlign w:val="center"/>
          </w:tcPr>
          <w:p w14:paraId="2BB1680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Q5</w:t>
            </w:r>
          </w:p>
        </w:tc>
        <w:tc>
          <w:tcPr>
            <w:tcW w:w="1234" w:type="dxa"/>
            <w:vAlign w:val="center"/>
          </w:tcPr>
          <w:p w14:paraId="6C9D36F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12.00</w:t>
            </w:r>
          </w:p>
        </w:tc>
        <w:tc>
          <w:tcPr>
            <w:tcW w:w="1234" w:type="dxa"/>
            <w:vAlign w:val="center"/>
          </w:tcPr>
          <w:p w14:paraId="5E820DE3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6.44</w:t>
            </w:r>
          </w:p>
        </w:tc>
        <w:tc>
          <w:tcPr>
            <w:tcW w:w="1234" w:type="dxa"/>
            <w:vAlign w:val="center"/>
          </w:tcPr>
          <w:p w14:paraId="6514C0FE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4.50</w:t>
            </w:r>
          </w:p>
        </w:tc>
        <w:tc>
          <w:tcPr>
            <w:tcW w:w="1234" w:type="dxa"/>
            <w:vAlign w:val="center"/>
          </w:tcPr>
          <w:p w14:paraId="73056A6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3.00</w:t>
            </w:r>
          </w:p>
        </w:tc>
        <w:tc>
          <w:tcPr>
            <w:tcW w:w="1234" w:type="dxa"/>
            <w:vAlign w:val="center"/>
          </w:tcPr>
          <w:p w14:paraId="12A44EB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-1.94</w:t>
            </w:r>
          </w:p>
        </w:tc>
        <w:tc>
          <w:tcPr>
            <w:tcW w:w="1234" w:type="dxa"/>
            <w:vAlign w:val="center"/>
          </w:tcPr>
          <w:p w14:paraId="2E57052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7.64</w:t>
            </w:r>
          </w:p>
        </w:tc>
      </w:tr>
      <w:tr w14:paraId="575E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234" w:type="dxa"/>
            <w:vAlign w:val="center"/>
          </w:tcPr>
          <w:p w14:paraId="359296D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Q6</w:t>
            </w:r>
          </w:p>
        </w:tc>
        <w:tc>
          <w:tcPr>
            <w:tcW w:w="1234" w:type="dxa"/>
            <w:vAlign w:val="center"/>
          </w:tcPr>
          <w:p w14:paraId="444129F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16.00</w:t>
            </w:r>
          </w:p>
        </w:tc>
        <w:tc>
          <w:tcPr>
            <w:tcW w:w="1234" w:type="dxa"/>
            <w:vAlign w:val="center"/>
          </w:tcPr>
          <w:p w14:paraId="405272D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8.59</w:t>
            </w:r>
          </w:p>
        </w:tc>
        <w:tc>
          <w:tcPr>
            <w:tcW w:w="1234" w:type="dxa"/>
            <w:vAlign w:val="center"/>
          </w:tcPr>
          <w:p w14:paraId="6DA79D26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4.50</w:t>
            </w:r>
          </w:p>
        </w:tc>
        <w:tc>
          <w:tcPr>
            <w:tcW w:w="1234" w:type="dxa"/>
            <w:vAlign w:val="center"/>
          </w:tcPr>
          <w:p w14:paraId="5C752BB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234" w:type="dxa"/>
            <w:vAlign w:val="center"/>
          </w:tcPr>
          <w:p w14:paraId="004E447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+2.91</w:t>
            </w:r>
          </w:p>
        </w:tc>
        <w:tc>
          <w:tcPr>
            <w:tcW w:w="1234" w:type="dxa"/>
            <w:vAlign w:val="center"/>
          </w:tcPr>
          <w:p w14:paraId="2D53EB2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10.55</w:t>
            </w:r>
          </w:p>
        </w:tc>
      </w:tr>
    </w:tbl>
    <w:p w14:paraId="47EA8454">
      <w:pPr>
        <w:spacing w:after="40"/>
      </w:pPr>
    </w:p>
    <w:p w14:paraId="5274CBE0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要点：目标情景下首轮30万元资金可支撑18个月以上运营，第6季度实现季度净现金流转正；重点监控现金余额、库存占用、单位获客成本、单本毛利、库存周转天数和盈亏平衡点。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8-3：现金流折线图｜建议图表类型：折线图｜数据来源：待补充（团队财务模型，须以试点实测数据校准）】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按季度呈现净现金流与期末现金余额走势，标注第 6 季度季度净现金流转正的关键拐点与 30 万元首轮资金的支撑周期。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8-3 现金流折线图（待补充数据）</w:t>
            </w:r>
          </w:p>
        </w:tc>
      </w:tr>
    </w:tbl>
    <w:p w14:paraId="1ACC59B1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47" w:name="_Toc80047"/>
      <w:bookmarkEnd w:id="80047"/>
      <w:bookmarkStart w:id="47" w:name="_Toc8944"/>
      <w:r>
        <w:rPr>
          <w:rFonts w:ascii="黑体" w:hAnsi="黑体" w:eastAsia="黑体" w:cs="黑体"/>
          <w:b/>
          <w:color w:val="000000"/>
          <w:sz w:val="28"/>
          <w:szCs w:val="28"/>
        </w:rPr>
        <w:t>8.5 盈亏平衡点与ROI</w:t>
      </w:r>
      <w:bookmarkEnd w:id="47"/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8-4：盈亏平衡分析图｜建议图表类型：折线图｜数据来源：待补充（团队财务模型，须以试点实测数据校准）】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以月成交册数为横轴，呈现营业收入线、总成本线与固定成本线，标注单校月盈亏平衡点约 1,858 册（日均约 62 册）。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8-4 盈亏平衡分析图（待补充数据）</w:t>
            </w:r>
          </w:p>
        </w:tc>
      </w:tr>
    </w:tbl>
    <w:p w14:paraId="76BB0ACE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盈亏平衡点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：固定成本÷单位贡献毛利＝13,000元÷7.0元≈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月成交1,858册（单校）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。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ROI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：目标情景下三年累计净利润约133.5万元，首轮投入30万元，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三年累计ROI约4.4倍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。正式版以实际单位成本、客单价和固定成本数据校准。</w:t>
      </w:r>
    </w:p>
    <w:p w14:paraId="3FF3C762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48" w:name="_Toc80048"/>
      <w:bookmarkEnd w:id="80048"/>
      <w:bookmarkStart w:id="48" w:name="_Toc10745"/>
      <w:r>
        <w:rPr>
          <w:rFonts w:ascii="黑体" w:hAnsi="黑体" w:eastAsia="黑体" w:cs="黑体"/>
          <w:b/>
          <w:color w:val="000000"/>
          <w:sz w:val="28"/>
          <w:szCs w:val="28"/>
        </w:rPr>
        <w:t>8.6 敏感性分析</w:t>
      </w:r>
      <w:bookmarkEnd w:id="48"/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160"/>
        <w:gridCol w:w="2160"/>
        <w:gridCol w:w="2160"/>
        <w:gridCol w:w="2160"/>
      </w:tblGrid>
      <w:tr w14:paraId="7AD1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2160" w:type="dxa"/>
            <w:vAlign w:val="center"/>
          </w:tcPr>
          <w:p w14:paraId="6563A017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变量</w:t>
            </w:r>
          </w:p>
        </w:tc>
        <w:tc>
          <w:tcPr>
            <w:tcW w:w="2160" w:type="dxa"/>
            <w:vAlign w:val="center"/>
          </w:tcPr>
          <w:p w14:paraId="37624C07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变动幅度</w:t>
            </w:r>
          </w:p>
        </w:tc>
        <w:tc>
          <w:tcPr>
            <w:tcW w:w="2160" w:type="dxa"/>
            <w:vAlign w:val="center"/>
          </w:tcPr>
          <w:p w14:paraId="46DFD120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对单本毛利/毛利率的影响</w:t>
            </w:r>
          </w:p>
        </w:tc>
        <w:tc>
          <w:tcPr>
            <w:tcW w:w="2160" w:type="dxa"/>
            <w:vAlign w:val="center"/>
          </w:tcPr>
          <w:p w14:paraId="2E70891B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量化影响（按单校月成交2,000册测算）</w:t>
            </w:r>
          </w:p>
        </w:tc>
      </w:tr>
      <w:tr w14:paraId="7311A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4AB787F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回收成本</w:t>
            </w:r>
          </w:p>
        </w:tc>
        <w:tc>
          <w:tcPr>
            <w:tcW w:w="2160" w:type="dxa"/>
            <w:vAlign w:val="center"/>
          </w:tcPr>
          <w:p w14:paraId="15413DC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+10%</w:t>
            </w:r>
          </w:p>
        </w:tc>
        <w:tc>
          <w:tcPr>
            <w:tcW w:w="2160" w:type="dxa"/>
            <w:vAlign w:val="center"/>
          </w:tcPr>
          <w:p w14:paraId="2E34B22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毛利率58.3%→56.3%</w:t>
            </w:r>
          </w:p>
        </w:tc>
        <w:tc>
          <w:tcPr>
            <w:tcW w:w="2160" w:type="dxa"/>
            <w:vAlign w:val="center"/>
          </w:tcPr>
          <w:p w14:paraId="7617F4A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月毛利减少约500元</w:t>
            </w:r>
          </w:p>
        </w:tc>
      </w:tr>
      <w:tr w14:paraId="073B8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152F345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平均售价</w:t>
            </w:r>
          </w:p>
        </w:tc>
        <w:tc>
          <w:tcPr>
            <w:tcW w:w="2160" w:type="dxa"/>
            <w:vAlign w:val="center"/>
          </w:tcPr>
          <w:p w14:paraId="3DE273F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-10%</w:t>
            </w:r>
          </w:p>
        </w:tc>
        <w:tc>
          <w:tcPr>
            <w:tcW w:w="2160" w:type="dxa"/>
            <w:vAlign w:val="center"/>
          </w:tcPr>
          <w:p w14:paraId="0445F0D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单本毛利7.0→5.8元，毛利率53.7%</w:t>
            </w:r>
          </w:p>
        </w:tc>
        <w:tc>
          <w:tcPr>
            <w:tcW w:w="2160" w:type="dxa"/>
            <w:vAlign w:val="center"/>
          </w:tcPr>
          <w:p w14:paraId="0CB7EC5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月毛利减少约2,400元</w:t>
            </w:r>
          </w:p>
        </w:tc>
      </w:tr>
      <w:tr w14:paraId="2E475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2D1F3A7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综合售出率</w:t>
            </w:r>
          </w:p>
        </w:tc>
        <w:tc>
          <w:tcPr>
            <w:tcW w:w="2160" w:type="dxa"/>
            <w:vAlign w:val="center"/>
          </w:tcPr>
          <w:p w14:paraId="648215F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-15%</w:t>
            </w:r>
          </w:p>
        </w:tc>
        <w:tc>
          <w:tcPr>
            <w:tcW w:w="2160" w:type="dxa"/>
            <w:vAlign w:val="center"/>
          </w:tcPr>
          <w:p w14:paraId="7E51BAE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月成交2,000→1,700册，库存周转变慢</w:t>
            </w:r>
          </w:p>
        </w:tc>
        <w:tc>
          <w:tcPr>
            <w:tcW w:w="2160" w:type="dxa"/>
            <w:vAlign w:val="center"/>
          </w:tcPr>
          <w:p w14:paraId="4C336869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月毛利减少约2,100元，资金占用增加</w:t>
            </w:r>
          </w:p>
        </w:tc>
      </w:tr>
      <w:tr w14:paraId="11141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160" w:type="dxa"/>
            <w:vAlign w:val="center"/>
          </w:tcPr>
          <w:p w14:paraId="66CE1090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月固定成本</w:t>
            </w:r>
          </w:p>
        </w:tc>
        <w:tc>
          <w:tcPr>
            <w:tcW w:w="2160" w:type="dxa"/>
            <w:vAlign w:val="center"/>
          </w:tcPr>
          <w:p w14:paraId="4854A7C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+20%</w:t>
            </w:r>
          </w:p>
        </w:tc>
        <w:tc>
          <w:tcPr>
            <w:tcW w:w="2160" w:type="dxa"/>
            <w:vAlign w:val="center"/>
          </w:tcPr>
          <w:p w14:paraId="48F486B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盈亏平衡销量1,858→2,229册</w:t>
            </w:r>
          </w:p>
        </w:tc>
        <w:tc>
          <w:tcPr>
            <w:tcW w:w="2160" w:type="dxa"/>
            <w:vAlign w:val="center"/>
          </w:tcPr>
          <w:p w14:paraId="6B5BF93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回本周期延后约1-2个月</w:t>
            </w:r>
          </w:p>
        </w:tc>
      </w:tr>
    </w:tbl>
    <w:p w14:paraId="7E077A16">
      <w:pPr>
        <w:spacing w:after="40"/>
      </w:pPr>
    </w:p>
    <w:p w14:paraId="56E8BEBB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结论：模型对"售价"和"售出率"最敏感，运营核心是保障定价能力与库存周转；对此已通过动态定价引擎、库存预警调拨和换书/捐赠分流机制对冲。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9-1：风险矩阵图｜建议图表类型：矩阵图｜数据来源：待补充（团队风险评估）】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以“发生可能性”为横轴、“影响程度”为纵轴，标注技术硬件、市场竞争、政策合规、版权、运营与财务等风险的位置及应对优先级。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9-1 风险矩阵图（待补充数据）</w:t>
            </w:r>
          </w:p>
        </w:tc>
      </w:tr>
    </w:tbl>
    <w:p w14:paraId="1A6E8D54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49" w:name="_Toc80049"/>
      <w:bookmarkEnd w:id="80049"/>
      <w:bookmarkStart w:id="49" w:name="_Toc24925"/>
      <w:r>
        <w:rPr>
          <w:rFonts w:ascii="黑体" w:hAnsi="黑体" w:eastAsia="黑体" w:cs="黑体"/>
          <w:b/>
          <w:color w:val="000000"/>
          <w:sz w:val="32"/>
          <w:szCs w:val="32"/>
        </w:rPr>
        <w:t>第九章 风险分析与应对措施</w:t>
      </w:r>
      <w:bookmarkEnd w:id="49"/>
    </w:p>
    <w:tbl>
      <w:tblPr>
        <w:tblStyle w:val="3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880"/>
        <w:gridCol w:w="2880"/>
        <w:gridCol w:w="2880"/>
      </w:tblGrid>
      <w:tr w14:paraId="2B03E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  <w:trHeight w:val="453" w:hRule="atLeast"/>
        </w:trPr>
        <w:tc>
          <w:tcPr>
            <w:tcW w:w="2880" w:type="dxa"/>
            <w:vAlign w:val="center"/>
          </w:tcPr>
          <w:p w14:paraId="60B5847A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风险</w:t>
            </w:r>
          </w:p>
        </w:tc>
        <w:tc>
          <w:tcPr>
            <w:tcW w:w="2880" w:type="dxa"/>
            <w:vAlign w:val="center"/>
          </w:tcPr>
          <w:p w14:paraId="228BA28A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表现</w:t>
            </w:r>
          </w:p>
        </w:tc>
        <w:tc>
          <w:tcPr>
            <w:tcW w:w="2880" w:type="dxa"/>
            <w:vAlign w:val="center"/>
          </w:tcPr>
          <w:p w14:paraId="543AEAEE">
            <w:pPr>
              <w:spacing w:after="40" w:line="276" w:lineRule="auto" w:before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>应对措施</w:t>
            </w:r>
          </w:p>
        </w:tc>
      </w:tr>
      <w:tr w14:paraId="15518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345286C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技术与硬件风险</w:t>
            </w:r>
          </w:p>
        </w:tc>
        <w:tc>
          <w:tcPr>
            <w:tcW w:w="2880" w:type="dxa"/>
            <w:vAlign w:val="center"/>
          </w:tcPr>
          <w:p w14:paraId="7AD9859E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智能柜故障、识别误差、网络中断</w:t>
            </w:r>
          </w:p>
        </w:tc>
        <w:tc>
          <w:tcPr>
            <w:tcW w:w="2880" w:type="dxa"/>
            <w:vAlign w:val="center"/>
          </w:tcPr>
          <w:p w14:paraId="068C57FF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先人工回收验证需求；硬件模块化；设置人工接管和故障报警</w:t>
            </w:r>
          </w:p>
        </w:tc>
      </w:tr>
      <w:tr w14:paraId="485A9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521F3E58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市场竞争风险</w:t>
            </w:r>
          </w:p>
        </w:tc>
        <w:tc>
          <w:tcPr>
            <w:tcW w:w="2880" w:type="dxa"/>
            <w:vAlign w:val="center"/>
          </w:tcPr>
          <w:p w14:paraId="161DE26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综合二手平台抢占用户</w:t>
            </w:r>
          </w:p>
        </w:tc>
        <w:tc>
          <w:tcPr>
            <w:tcW w:w="2880" w:type="dxa"/>
            <w:vAlign w:val="center"/>
          </w:tcPr>
          <w:p w14:paraId="74686DB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聚焦校园专业教材、线下即时交付和校园合作</w:t>
            </w:r>
          </w:p>
        </w:tc>
      </w:tr>
      <w:tr w14:paraId="43E1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52C1ABF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用户留存风险</w:t>
            </w:r>
          </w:p>
        </w:tc>
        <w:tc>
          <w:tcPr>
            <w:tcW w:w="2880" w:type="dxa"/>
            <w:vAlign w:val="center"/>
          </w:tcPr>
          <w:p w14:paraId="6A55411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用户仅在毕业季使用</w:t>
            </w:r>
          </w:p>
        </w:tc>
        <w:tc>
          <w:tcPr>
            <w:tcW w:w="2880" w:type="dxa"/>
            <w:vAlign w:val="center"/>
          </w:tcPr>
          <w:p w14:paraId="48BC5E1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增加租赁、换书、考研/考证专题和日常图书服务</w:t>
            </w:r>
          </w:p>
        </w:tc>
      </w:tr>
      <w:tr w14:paraId="5963E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00161FB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校园进驻风险</w:t>
            </w:r>
          </w:p>
        </w:tc>
        <w:tc>
          <w:tcPr>
            <w:tcW w:w="2880" w:type="dxa"/>
            <w:vAlign w:val="center"/>
          </w:tcPr>
          <w:p w14:paraId="2D10C2BC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场地、宣传和设备安装受管理制度约束</w:t>
            </w:r>
          </w:p>
        </w:tc>
        <w:tc>
          <w:tcPr>
            <w:tcW w:w="2880" w:type="dxa"/>
            <w:vAlign w:val="center"/>
          </w:tcPr>
          <w:p w14:paraId="07DCC26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提前取得学校/后勤/物业书面授权，遵守校园管理规定</w:t>
            </w:r>
          </w:p>
        </w:tc>
      </w:tr>
      <w:tr w14:paraId="4174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5101AE9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库存风险</w:t>
            </w:r>
          </w:p>
        </w:tc>
        <w:tc>
          <w:tcPr>
            <w:tcW w:w="2880" w:type="dxa"/>
            <w:vAlign w:val="center"/>
          </w:tcPr>
          <w:p w14:paraId="2A7B3F0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滞销图书积压、资金占用</w:t>
            </w:r>
          </w:p>
        </w:tc>
        <w:tc>
          <w:tcPr>
            <w:tcW w:w="2880" w:type="dxa"/>
            <w:vAlign w:val="center"/>
          </w:tcPr>
          <w:p w14:paraId="21025732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设置库存上限、动态定价、捐赠和回收处理机制</w:t>
            </w:r>
          </w:p>
        </w:tc>
      </w:tr>
      <w:tr w14:paraId="4AD21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5906C7C5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版权合规风险</w:t>
            </w:r>
          </w:p>
        </w:tc>
        <w:tc>
          <w:tcPr>
            <w:tcW w:w="2880" w:type="dxa"/>
            <w:vAlign w:val="center"/>
          </w:tcPr>
          <w:p w14:paraId="443FAD9A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盗版教材、非法复制资料</w:t>
            </w:r>
          </w:p>
        </w:tc>
        <w:tc>
          <w:tcPr>
            <w:tcW w:w="2880" w:type="dxa"/>
            <w:vAlign w:val="center"/>
          </w:tcPr>
          <w:p w14:paraId="2D1A285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ISBN权威库比对+人工二次审核+黑名单（见9.1）</w:t>
            </w:r>
          </w:p>
        </w:tc>
      </w:tr>
      <w:tr w14:paraId="4EDCC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7D029C7B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数据安全风险</w:t>
            </w:r>
          </w:p>
        </w:tc>
        <w:tc>
          <w:tcPr>
            <w:tcW w:w="2880" w:type="dxa"/>
            <w:vAlign w:val="center"/>
          </w:tcPr>
          <w:p w14:paraId="56AF0D5D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个人信息和订单数据泄露</w:t>
            </w:r>
          </w:p>
        </w:tc>
        <w:tc>
          <w:tcPr>
            <w:tcW w:w="2880" w:type="dxa"/>
            <w:vAlign w:val="center"/>
          </w:tcPr>
          <w:p w14:paraId="68E3A4B1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最小化采集、权限控制、加密存储和日志审计</w:t>
            </w:r>
          </w:p>
        </w:tc>
      </w:tr>
      <w:tr w14:paraId="547A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80" w:type="dxa"/>
            <w:vAlign w:val="center"/>
          </w:tcPr>
          <w:p w14:paraId="0C71CEB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季节性风险</w:t>
            </w:r>
          </w:p>
        </w:tc>
        <w:tc>
          <w:tcPr>
            <w:tcW w:w="2880" w:type="dxa"/>
            <w:vAlign w:val="center"/>
          </w:tcPr>
          <w:p w14:paraId="15339634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毕业季和开学季订单波动</w:t>
            </w:r>
          </w:p>
        </w:tc>
        <w:tc>
          <w:tcPr>
            <w:tcW w:w="2880" w:type="dxa"/>
            <w:vAlign w:val="center"/>
          </w:tcPr>
          <w:p w14:paraId="20324157">
            <w:pPr>
              <w:spacing w:after="40" w:line="276" w:lineRule="auto" w:before="4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淡季推考研资料预售、租赁续租与跨校库存调拨；寒暑假轻运营降本</w:t>
            </w:r>
          </w:p>
        </w:tc>
      </w:tr>
    </w:tbl>
    <w:p w14:paraId="4E8607DE">
      <w:pPr>
        <w:spacing w:after="40"/>
      </w:pPr>
    </w:p>
    <w:p w14:paraId="3F988014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50" w:name="_Toc80050"/>
      <w:bookmarkEnd w:id="80050"/>
      <w:bookmarkStart w:id="50" w:name="_Toc23911"/>
      <w:r>
        <w:rPr>
          <w:rFonts w:ascii="黑体" w:hAnsi="黑体" w:eastAsia="黑体" w:cs="黑体"/>
          <w:b/>
          <w:color w:val="000000"/>
          <w:sz w:val="28"/>
          <w:szCs w:val="28"/>
        </w:rPr>
        <w:t>9.1 版权与合规（含技术风控）</w:t>
      </w:r>
      <w:bookmarkEnd w:id="50"/>
    </w:p>
    <w:p w14:paraId="5C04D54D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平台原则上仅流转合法取得的正版实体图书，并建立三层技术风控：</w:t>
      </w:r>
    </w:p>
    <w:p w14:paraId="03505FF3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ISBN权威库比对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：扫码识别ISBN时自动对接国家版本图书馆/权威图书数据库，无ISBN、书号信息不符或具备盗版特征的图书系统自动拒绝收录。</w:t>
      </w:r>
    </w:p>
    <w:p w14:paraId="479D0BA0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人工二次审核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：对AI识别置信度低或用户上传资料类物品进行人工复核；严禁流转翻印、复印及未授权的内部讲义/考研资料，发现即下架并对违规用户实施平台黑名单处理。</w:t>
      </w:r>
    </w:p>
    <w:p w14:paraId="5B998891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系统对接合规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：涉及学校教务系统对接时，在获得学校正式授权并完成数据安全评估的前提下进行，遵循最小必要原则。</w:t>
      </w:r>
    </w:p>
    <w:p w14:paraId="43663F3E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51" w:name="_Toc80051"/>
      <w:bookmarkEnd w:id="80051"/>
      <w:bookmarkStart w:id="51" w:name="_Toc11160"/>
      <w:r>
        <w:rPr>
          <w:rFonts w:ascii="黑体" w:hAnsi="黑体" w:eastAsia="黑体" w:cs="黑体"/>
          <w:b/>
          <w:color w:val="000000"/>
          <w:sz w:val="32"/>
          <w:szCs w:val="32"/>
        </w:rPr>
        <w:t>第十章 社会价值与育人成果</w:t>
      </w:r>
      <w:bookmarkEnd w:id="51"/>
    </w:p>
    <w:p w14:paraId="5FA43E8E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52" w:name="_Toc80052"/>
      <w:bookmarkEnd w:id="80052"/>
      <w:bookmarkStart w:id="52" w:name="_Toc16200"/>
      <w:r>
        <w:rPr>
          <w:rFonts w:ascii="黑体" w:hAnsi="黑体" w:eastAsia="黑体" w:cs="黑体"/>
          <w:b/>
          <w:color w:val="000000"/>
          <w:sz w:val="28"/>
          <w:szCs w:val="28"/>
        </w:rPr>
        <w:t>10.1 绿色低碳效应（LCA方法学）</w:t>
      </w:r>
      <w:bookmarkEnd w:id="52"/>
    </w:p>
    <w:p w14:paraId="778B0812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项目依据 ISO 14040/14044 生命周期评价标准建立碳减排测算方法，公式为：</w:t>
      </w:r>
    </w:p>
    <w:p w14:paraId="51FA56C0">
      <w:pPr>
        <w:spacing w:after="40"/>
      </w:pPr>
    </w:p>
    <w:p w14:paraId="2343EDBD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按一本300g胶版纸教材测算（示例参数，正式版须委托或参照有明确方法学依据的LCA研究出具计算报告）：原生环节约1.05 kg CO₂e，二手履约环节约0.20 kg CO₂e，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即每循环利用1册教材约减排0.85 kg CO₂e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。平台在小程序内为用户呈现"个人碳账簿"，并以可核验的回收册数、流转册数、捐赠册数作为ESG数据服务基础。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10-1：碳减排测算逻辑图｜建议图表类型：流程图｜数据来源：待验证（ISO 14040/14044 方法学，须委托或参照有明确依据的 LCA 研究）】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单册减排量 =（原生造纸与印刷碳排放 + 新书流通配送碳排放）−（二手回收消毒碳排放 + 二手履约配送碳排放）；示例参数下每循环 1 册约减排 0.85 kg CO₂e（原稿“1.2kg”口径须重新核验后方可使用）。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10-1 碳减排测算逻辑图（待补充数据）</w:t>
            </w:r>
          </w:p>
        </w:tc>
      </w:tr>
    </w:tbl>
    <w:p w14:paraId="1F39FABA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53" w:name="_Toc80053"/>
      <w:bookmarkEnd w:id="80053"/>
      <w:bookmarkStart w:id="53" w:name="_Toc31204"/>
      <w:r>
        <w:rPr>
          <w:rFonts w:ascii="黑体" w:hAnsi="黑体" w:eastAsia="黑体" w:cs="黑体"/>
          <w:b/>
          <w:color w:val="000000"/>
          <w:sz w:val="28"/>
          <w:szCs w:val="28"/>
        </w:rPr>
        <w:t>10.2 产教融合</w:t>
      </w:r>
      <w:bookmarkEnd w:id="53"/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6" w:space="0" w:color="D0D0D0"/>
          <w:left w:val="single" w:sz="4" w:space="0" w:color="D0D0D0"/>
          <w:bottom w:val="single" w:sz="6" w:space="0" w:color="D0D0D0"/>
          <w:right w:val="single" w:sz="4" w:space="0" w:color="D0D0D0"/>
          <w:insideH w:val="none" w:sz="4" w:space="0" w:color="D0D0D0"/>
          <w:insideV w:val="none" w:sz="4" w:space="0" w:color="D0D0D0"/>
        </w:tblBorders>
      </w:tblPr>
      <w:tblGrid>
        <w:gridCol w:w="8640"/>
      </w:tblGrid>
      <w:tr>
        <w:trPr>
          <w:cantSplit/>
          <w:trHeight w:val="3402" w:hRule="atLeast"/>
        </w:trPr>
        <w:tc>
          <w:tcPr>
            <w:tcW w:type="dxa" w:w="8640"/>
            <w:vAlign w:val="center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>
            <w:pPr>
              <w:spacing w:before="120" w:after="120"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808080"/>
                <w:sz w:val="21"/>
                <w:szCs w:val="21"/>
              </w:rPr>
              <w:t>【图表占位｜图 10-2：社会价值与育人成果图｜建议图表类型：架构图｜数据来源：待补充（三年目标值，非既成事实）】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808080"/>
                <w:sz w:val="21"/>
                <w:szCs w:val="21"/>
              </w:rPr>
              <w:t>呈现环保价值（图书循环册数、碳减排量）、社会价值（公益捐赠、无废校园）与育人成果（勤工俭学岗位 20 个以上、带动创业孵化 10 名以上、实践课程与竞赛成果）三条主线。</w:t>
            </w:r>
          </w:p>
          <w:p>
            <w:pPr>
              <w:spacing w:before="120" w:after="120" w:line="30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A6A6A6"/>
                <w:sz w:val="18"/>
                <w:szCs w:val="18"/>
              </w:rPr>
              <w:t>（此处插入图片/图表，替换本占位框并删除占位文字）</w:t>
            </w:r>
          </w:p>
          <w:p>
            <w:pPr>
              <w:spacing w:before="160" w:after="8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595959"/>
                <w:sz w:val="18"/>
                <w:szCs w:val="18"/>
              </w:rPr>
              <w:t>图 10-2 社会价值与育人成果图（待补充数据）</w:t>
            </w:r>
          </w:p>
        </w:tc>
      </w:tr>
    </w:tbl>
    <w:p w14:paraId="2E89B813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项目将软件开发、产品设计、市场调研、校园运营、财务管理和商务合作融入大学生创新创业实践，形成"课程学习—项目实践—创业孵化"的实践链条。</w:t>
      </w: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三年目标（目标值，非既成事实）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：累计提供勤工俭学岗位20个以上，直接带动大学生创业孵化10名以上，并与学校共建创新创业实践学分认定机制。</w:t>
      </w:r>
    </w:p>
    <w:p w14:paraId="33BB98AD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54" w:name="_Toc80054"/>
      <w:bookmarkEnd w:id="80054"/>
      <w:bookmarkStart w:id="54" w:name="_Toc22458"/>
      <w:r>
        <w:rPr>
          <w:rFonts w:ascii="黑体" w:hAnsi="黑体" w:eastAsia="黑体" w:cs="黑体"/>
          <w:b/>
          <w:color w:val="000000"/>
          <w:sz w:val="28"/>
          <w:szCs w:val="28"/>
        </w:rPr>
        <w:t>10.3 "无废校园"与书香校园</w:t>
      </w:r>
      <w:bookmarkEnd w:id="54"/>
    </w:p>
    <w:p w14:paraId="18952750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通过旧书循环、图书漂流和公益捐赠等活动，项目服务绿色校园建设，并通过数字化数据记录形成可展示的校园循环利用成果，为学校开展环保教育、劳动教育和创新创业教育提供实践场景。</w:t>
      </w:r>
    </w:p>
    <w:p w14:paraId="2F9FA86A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55" w:name="_Toc80055"/>
      <w:bookmarkEnd w:id="80055"/>
      <w:bookmarkStart w:id="55" w:name="_Toc2339"/>
      <w:r>
        <w:rPr>
          <w:rFonts w:ascii="黑体" w:hAnsi="黑体" w:eastAsia="黑体" w:cs="黑体"/>
          <w:b/>
          <w:color w:val="000000"/>
          <w:sz w:val="32"/>
          <w:szCs w:val="32"/>
        </w:rPr>
        <w:t>附录</w:t>
      </w:r>
      <w:bookmarkEnd w:id="55"/>
    </w:p>
    <w:p w14:paraId="302557B7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56" w:name="_Toc80056"/>
      <w:bookmarkEnd w:id="80056"/>
      <w:bookmarkStart w:id="56" w:name="_Toc30808"/>
      <w:r>
        <w:rPr>
          <w:rFonts w:ascii="黑体" w:hAnsi="黑体" w:eastAsia="黑体" w:cs="黑体"/>
          <w:b/>
          <w:color w:val="000000"/>
          <w:sz w:val="28"/>
          <w:szCs w:val="28"/>
        </w:rPr>
        <w:t>附录A 专利证书及软件著作权列表</w:t>
      </w:r>
      <w:bookmarkEnd w:id="56"/>
    </w:p>
    <w:p w14:paraId="28D731B0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待项目形成正式知识产权成果后补充；至少包括：旧书智能回收与匹配系统软著、校园图书循环管理平台软著（附受理通知书）。</w:t>
      </w:r>
    </w:p>
    <w:p w14:paraId="53CF1539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57" w:name="_Toc80057"/>
      <w:bookmarkEnd w:id="80057"/>
      <w:bookmarkStart w:id="57" w:name="_Toc13279"/>
      <w:r>
        <w:rPr>
          <w:rFonts w:ascii="黑体" w:hAnsi="黑体" w:eastAsia="黑体" w:cs="黑体"/>
          <w:b/>
          <w:color w:val="000000"/>
          <w:sz w:val="28"/>
          <w:szCs w:val="28"/>
        </w:rPr>
        <w:t>附录B 团队荣誉与资质证书</w:t>
      </w:r>
      <w:bookmarkEnd w:id="57"/>
    </w:p>
    <w:p w14:paraId="7BBAE3ED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补充团队成员创新创业比赛、软件开发、项目实践、专利/软著等真实证明材料扫描件。</w:t>
      </w:r>
    </w:p>
    <w:p w14:paraId="4940CF78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58" w:name="_Toc80058"/>
      <w:bookmarkEnd w:id="80058"/>
      <w:bookmarkStart w:id="58" w:name="_Toc27528"/>
      <w:r>
        <w:rPr>
          <w:rFonts w:ascii="黑体" w:hAnsi="黑体" w:eastAsia="黑体" w:cs="黑体"/>
          <w:b/>
          <w:color w:val="000000"/>
          <w:sz w:val="28"/>
          <w:szCs w:val="28"/>
        </w:rPr>
        <w:t>附录C 校企合作与后勤合作意向书</w:t>
      </w:r>
      <w:bookmarkEnd w:id="58"/>
    </w:p>
    <w:p w14:paraId="0C67948F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必须补充至少1份真实凭证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：校企合作意向书、社团合作备忘录或学校创业园区入驻协议。意向书要点：合作主体、合作内容（场地/活动/宣传）、期限、双方权责。</w:t>
      </w:r>
    </w:p>
    <w:p w14:paraId="1884A21E">
      <w:pPr>
        <w:pStyle w:val="4"/>
        <w:keepNext/>
        <w:keepLines/>
        <w:spacing w:before="280" w:after="160" w:line="360" w:lineRule="auto"/>
        <w:ind w:firstLine="0"/>
        <w:jc w:val="left"/>
      </w:pPr>
      <w:bookmarkStart w:id="80059" w:name="_Toc80059"/>
      <w:bookmarkEnd w:id="80059"/>
      <w:bookmarkStart w:id="59" w:name="_Toc13503"/>
      <w:r>
        <w:rPr>
          <w:rFonts w:ascii="黑体" w:hAnsi="黑体" w:eastAsia="黑体" w:cs="黑体"/>
          <w:b/>
          <w:color w:val="000000"/>
          <w:sz w:val="28"/>
          <w:szCs w:val="28"/>
        </w:rPr>
        <w:t>附录D 校园市场调研报告与问卷分析</w:t>
      </w:r>
      <w:bookmarkEnd w:id="59"/>
    </w:p>
    <w:p w14:paraId="1C95360F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正式版须包含：问卷原始数据、样本数量与结构（821份有效问卷）、旧书数量与处理方式、购买意愿、价格接受度、平台使用意愿、痛点排序等图表，以及2周试点运营完整数据（回收量、成交率、客单价、复购率、用户反馈记录）。</w:t>
      </w:r>
    </w:p>
    <w:p w14:paraId="25062FAA">
      <w:pPr>
        <w:pStyle w:val="3"/>
        <w:keepNext/>
        <w:keepLines/>
        <w:spacing w:before="360" w:after="200" w:line="360" w:lineRule="auto"/>
        <w:ind w:firstLine="0"/>
        <w:jc w:val="left"/>
      </w:pPr>
      <w:bookmarkStart w:id="80060" w:name="_Toc80060"/>
      <w:bookmarkEnd w:id="80060"/>
      <w:bookmarkStart w:id="60" w:name="_Toc15282"/>
      <w:r>
        <w:rPr>
          <w:rFonts w:ascii="黑体" w:hAnsi="黑体" w:eastAsia="黑体" w:cs="黑体"/>
          <w:b/>
          <w:color w:val="000000"/>
          <w:sz w:val="32"/>
          <w:szCs w:val="32"/>
        </w:rPr>
        <w:t>项目一句话总结</w:t>
      </w:r>
      <w:bookmarkEnd w:id="60"/>
    </w:p>
    <w:p w14:paraId="6A651937">
      <w:pPr>
        <w:spacing w:after="120" w:before="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"青阅循环"以校园二手教材和图书为切入口，通过"数字平台+线下回收+标准化质检+智能匹配+循环交易"的模式，让闲置图书在校园内部高效流转，在降低学生购书和处理成本的同时，探索具有商业可持续性、环保价值和育人价值的校园循环经济服务模式。</w:t>
      </w:r>
    </w:p>
    <w:p>
      <w:pPr>
        <w:spacing w:before="0" w:after="120" w:line="360" w:lineRule="auto"/>
        <w:ind w:firstLine="482"/>
        <w:jc w:val="both"/>
      </w:pPr>
      <w:r>
        <w:rPr>
          <w:rFonts w:ascii="Times New Roman" w:hAnsi="Times New Roman" w:eastAsia="宋体" w:cs="Times New Roman"/>
          <w:b w:val="0"/>
          <w:color w:val="595959"/>
          <w:sz w:val="21"/>
          <w:szCs w:val="21"/>
        </w:rPr>
        <w:t>注：本段为项目定位总结；其中毛利率、回本周期、净利润等均为示例数据与目标情景值，须以团队试点实测数据替换后方可对外使用。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797" w:bottom="1440" w:left="1797" w:header="850" w:footer="850" w:gutter="0"/>
      <w:cols w:space="720" w:num="1"/>
      <w:docGrid w:linePitch="360" w:charSpace="0"/>
      <w:pgNumType w:fmt="decimal" w:start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 w:line="240" w:lineRule="auto"/>
      <w:ind w:firstLine="0"/>
      <w:jc w:val="left"/>
      <w:tabs>
        <w:tab w:val="right" w:leader="none" w:pos="8641"/>
      </w:tabs>
    </w:pPr>
    <w:r>
      <w:rPr>
        <w:rFonts w:ascii="Times New Roman" w:hAnsi="Times New Roman" w:eastAsia="宋体" w:cs="Times New Roman"/>
        <w:b w:val="0"/>
        <w:color w:val="595959"/>
        <w:sz w:val="18"/>
        <w:szCs w:val="18"/>
      </w:rPr>
      <w:t>让闲置的书，再一次被需要</w:t>
    </w:r>
    <w:r>
      <w:tab/>
    </w:r>
    <w:r>
      <w:rPr>
        <w:rFonts w:ascii="Times New Roman" w:hAnsi="Times New Roman" w:eastAsia="宋体" w:cs="Times New Roman"/>
        <w:b w:val="0"/>
        <w:color w:val="595959"/>
        <w:sz w:val="18"/>
        <w:szCs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jc w:val="center"/>
      <w:tblLayout w:type="fixed"/>
      <w:tblBorders>
        <w:top w:val="single" w:sz="2" w:space="0" w:color="FFFFFF"/>
        <w:left w:val="single" w:sz="4" w:space="0" w:color="FFFFFF"/>
        <w:bottom w:val="single" w:sz="2" w:space="0" w:color="FFFFFF"/>
        <w:right w:val="single" w:sz="4" w:space="0" w:color="FFFFFF"/>
        <w:insideH w:val="none" w:sz="2" w:space="0" w:color="FFFFFF"/>
        <w:insideV w:val="none" w:sz="2" w:space="0" w:color="FFFFFF"/>
      </w:tblBorders>
    </w:tblPr>
    <w:tblGrid>
      <w:gridCol w:w="4320"/>
      <w:gridCol w:w="4320"/>
    </w:tblGrid>
    <w:tr>
      <w:tc>
        <w:tcPr>
          <w:tcW w:type="dxa" w:w="5669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vAlign w:val="center"/>
        </w:tcPr>
        <w:p>
          <w:pPr>
            <w:spacing w:after="0" w:line="240" w:lineRule="auto"/>
            <w:ind w:firstLine="0"/>
            <w:jc w:val="left"/>
          </w:pPr>
          <w:r>
            <w:rPr>
              <w:rFonts w:ascii="Times New Roman" w:hAnsi="Times New Roman" w:eastAsia="宋体" w:cs="Times New Roman"/>
              <w:b w:val="0"/>
              <w:color w:val="595959"/>
              <w:sz w:val="18"/>
              <w:szCs w:val="18"/>
            </w:rPr>
            <w:t>青阅循环 · 校园二手图书智能循环与生态服务平台</w:t>
          </w:r>
        </w:p>
      </w:tc>
      <w:tc>
        <w:tcPr>
          <w:tcW w:type="dxa" w:w="2971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vAlign w:val="center"/>
        </w:tcPr>
        <w:p>
          <w:pPr>
            <w:spacing w:after="0" w:line="240" w:lineRule="auto"/>
            <w:ind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6000" cy="30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青阅循环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40" w:lineRule="auto"/>
      <w:pBdr>
        <w:bottom w:val="single" w:sz="6" w:space="1" w:color="D0D0D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updateFields w:val="true"/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CA3B16"/>
    <w:rsid w:val="711A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4325</Words>
  <Characters>4671</Characters>
  <Lines>0</Lines>
  <Paragraphs>0</Paragraphs>
  <TotalTime>1</TotalTime>
  <ScaleCrop>false</ScaleCrop>
  <LinksUpToDate>false</LinksUpToDate>
  <CharactersWithSpaces>4796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青阅循环</dc:creator>
  <dc:description/>
  <cp:lastModifiedBy>JIASF</cp:lastModifiedBy>
  <dcterms:modified xsi:type="dcterms:W3CDTF">2026-09-22T12:38:36Z</dcterms:modified>
  <cp:revision>1</cp:revision>
  <dc:title>青阅循环 校园二手图书智能循环与生态服务平台 商业计划书</dc:title>
  <dc:subject>校园二手图书智能循环与生态服务平台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eyJoZGlkIjoiY2RmODI1NWZkNjZiYWU1YTRhNjBmMjRkMjNiYTZiODkiLCJ1c2VySWQiOiIxNTMxMTM4OTA5In0=</vt:lpwstr>
  </property>
  <property fmtid="{D5CDD505-2E9C-101B-9397-08002B2CF9AE}" pid="3" name="KSOProductBuildVer">
    <vt:lpwstr>2052-12.1.0.28488</vt:lpwstr>
  </property>
  <property fmtid="{D5CDD505-2E9C-101B-9397-08002B2CF9AE}" pid="4" name="ICV">
    <vt:lpwstr>5E40415A73F7468ABEEA393CEFE81F77_12</vt:lpwstr>
  </property>
</Properties>
</file>