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6CB53">
      <w:pPr>
        <w:spacing w:before="1600" w:after="200"/>
        <w:jc w:val="center"/>
      </w:pPr>
      <w:r>
        <w:rPr>
          <w:rFonts w:ascii="黑体" w:hAnsi="黑体" w:eastAsia="黑体"/>
          <w:b/>
          <w:sz w:val="56"/>
        </w:rPr>
        <w:t>商业计划书</w:t>
      </w:r>
    </w:p>
    <w:p w14:paraId="3F2BF6BC">
      <w:pPr>
        <w:spacing w:before="700" w:after="200"/>
        <w:jc w:val="center"/>
      </w:pPr>
      <w:r>
        <w:rPr>
          <w:rFonts w:ascii="黑体" w:hAnsi="黑体" w:eastAsia="黑体"/>
          <w:b/>
          <w:sz w:val="50"/>
        </w:rPr>
        <w:t>“书环智循环”</w:t>
      </w:r>
    </w:p>
    <w:p w14:paraId="10A31ACA">
      <w:pPr>
        <w:jc w:val="center"/>
      </w:pPr>
      <w:r>
        <w:rPr>
          <w:rFonts w:ascii="黑体" w:hAnsi="黑体" w:eastAsia="黑体"/>
          <w:b/>
          <w:sz w:val="38"/>
        </w:rPr>
        <w:t>校园二手图书智能循环与生态服务平台</w:t>
      </w:r>
    </w:p>
    <w:p w14:paraId="6513245F">
      <w:pPr>
        <w:spacing w:before="900" w:after="200"/>
        <w:jc w:val="center"/>
      </w:pPr>
      <w:r>
        <w:rPr>
          <w:rFonts w:ascii="宋体" w:hAnsi="宋体"/>
          <w:sz w:val="28"/>
        </w:rPr>
        <w:t>项目宣传语：让闲置的书，再一次被需要</w:t>
      </w:r>
    </w:p>
    <w:p w14:paraId="067BEC4F">
      <w:pPr>
        <w:spacing w:before="2000" w:after="200"/>
        <w:jc w:val="center"/>
      </w:pPr>
      <w:r>
        <w:rPr>
          <w:rFonts w:ascii="宋体" w:hAnsi="宋体"/>
          <w:sz w:val="24"/>
        </w:rPr>
        <w:t>创新创业项目商业计划书（大赛标准版）</w:t>
      </w:r>
    </w:p>
    <w:p w14:paraId="09A1C0D3">
      <w:pPr>
        <w:spacing w:after="200"/>
      </w:pPr>
      <w:r>
        <w:br w:type="page"/>
      </w:r>
    </w:p>
    <w:sdt>
      <w:sdtPr>
        <w:rPr>
          <w:rFonts w:ascii="宋体" w:hAnsi="宋体" w:eastAsia="宋体" w:cstheme="minorBidi"/>
          <w:color w:val="auto"/>
          <w:kern w:val="0"/>
          <w:sz w:val="21"/>
          <w:szCs w:val="22"/>
          <w:lang w:val="en-US" w:eastAsia="en-US" w:bidi="ar-SA"/>
        </w:rPr>
        <w:id w:val="147452479"/>
        <w15:color w:val="DBDBDB"/>
        <w:docPartObj>
          <w:docPartGallery w:val="Table of Contents"/>
          <w:docPartUnique/>
        </w:docPartObj>
      </w:sdtPr>
      <w:sdtEndPr>
        <w:rPr>
          <w:rFonts w:ascii="宋体" w:hAnsi="宋体" w:eastAsia="宋体" w:cstheme="minorBidi"/>
          <w:color w:val="auto"/>
          <w:kern w:val="0"/>
          <w:sz w:val="21"/>
          <w:szCs w:val="22"/>
          <w:lang w:val="en-US" w:eastAsia="en-US" w:bidi="ar-SA"/>
        </w:rPr>
      </w:sdtEndPr>
      <w:sdtContent>
        <w:p w14:paraId="0980D63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E4076D0">
          <w:pPr>
            <w:pStyle w:val="26"/>
            <w:tabs>
              <w:tab w:val="right" w:leader="dot" w:pos="9178"/>
            </w:tabs>
          </w:pPr>
          <w:r>
            <w:fldChar w:fldCharType="begin"/>
          </w:r>
          <w:r>
            <w:instrText xml:space="preserve">TOC \o "1-3" \h \u </w:instrText>
          </w:r>
          <w:r>
            <w:fldChar w:fldCharType="separate"/>
          </w:r>
          <w:r>
            <w:fldChar w:fldCharType="begin"/>
          </w:r>
          <w:r>
            <w:instrText xml:space="preserve"> HYPERLINK \l _Toc6774 </w:instrText>
          </w:r>
          <w:r>
            <w:fldChar w:fldCharType="separate"/>
          </w:r>
          <w:r>
            <w:t>第一章 执行摘要</w:t>
          </w:r>
          <w:r>
            <w:tab/>
          </w:r>
          <w:r>
            <w:fldChar w:fldCharType="begin"/>
          </w:r>
          <w:r>
            <w:instrText xml:space="preserve"> PAGEREF _Toc6774 \h </w:instrText>
          </w:r>
          <w:r>
            <w:fldChar w:fldCharType="separate"/>
          </w:r>
          <w:r>
            <w:t>4</w:t>
          </w:r>
          <w:r>
            <w:fldChar w:fldCharType="end"/>
          </w:r>
          <w:r>
            <w:fldChar w:fldCharType="end"/>
          </w:r>
        </w:p>
        <w:p w14:paraId="0CE5B04F">
          <w:pPr>
            <w:pStyle w:val="26"/>
            <w:tabs>
              <w:tab w:val="right" w:leader="dot" w:pos="9178"/>
            </w:tabs>
          </w:pPr>
          <w:r>
            <w:fldChar w:fldCharType="begin"/>
          </w:r>
          <w:r>
            <w:instrText xml:space="preserve"> HYPERLINK \l _Toc3094 </w:instrText>
          </w:r>
          <w:r>
            <w:fldChar w:fldCharType="separate"/>
          </w:r>
          <w:r>
            <w:t>1.1 项目概述</w:t>
          </w:r>
          <w:r>
            <w:tab/>
          </w:r>
          <w:r>
            <w:fldChar w:fldCharType="begin"/>
          </w:r>
          <w:r>
            <w:instrText xml:space="preserve"> PAGEREF _Toc3094 \h </w:instrText>
          </w:r>
          <w:r>
            <w:fldChar w:fldCharType="separate"/>
          </w:r>
          <w:r>
            <w:t>4</w:t>
          </w:r>
          <w:r>
            <w:fldChar w:fldCharType="end"/>
          </w:r>
          <w:r>
            <w:fldChar w:fldCharType="end"/>
          </w:r>
        </w:p>
        <w:p w14:paraId="42C721FB">
          <w:pPr>
            <w:pStyle w:val="26"/>
            <w:tabs>
              <w:tab w:val="right" w:leader="dot" w:pos="9178"/>
            </w:tabs>
          </w:pPr>
          <w:r>
            <w:fldChar w:fldCharType="begin"/>
          </w:r>
          <w:r>
            <w:instrText xml:space="preserve"> HYPERLINK \l _Toc14428 </w:instrText>
          </w:r>
          <w:r>
            <w:fldChar w:fldCharType="separate"/>
          </w:r>
          <w:r>
            <w:t>1.2 核心竞争力</w:t>
          </w:r>
          <w:r>
            <w:tab/>
          </w:r>
          <w:r>
            <w:fldChar w:fldCharType="begin"/>
          </w:r>
          <w:r>
            <w:instrText xml:space="preserve"> PAGEREF _Toc14428 \h </w:instrText>
          </w:r>
          <w:r>
            <w:fldChar w:fldCharType="separate"/>
          </w:r>
          <w:r>
            <w:t>5</w:t>
          </w:r>
          <w:r>
            <w:fldChar w:fldCharType="end"/>
          </w:r>
          <w:r>
            <w:fldChar w:fldCharType="end"/>
          </w:r>
        </w:p>
        <w:p w14:paraId="4BB384AA">
          <w:pPr>
            <w:pStyle w:val="26"/>
            <w:tabs>
              <w:tab w:val="right" w:leader="dot" w:pos="9178"/>
            </w:tabs>
          </w:pPr>
          <w:r>
            <w:fldChar w:fldCharType="begin"/>
          </w:r>
          <w:r>
            <w:instrText xml:space="preserve"> HYPERLINK \l _Toc23115 </w:instrText>
          </w:r>
          <w:r>
            <w:fldChar w:fldCharType="separate"/>
          </w:r>
          <w:r>
            <w:t>1.3 市场机会</w:t>
          </w:r>
          <w:r>
            <w:tab/>
          </w:r>
          <w:r>
            <w:fldChar w:fldCharType="begin"/>
          </w:r>
          <w:r>
            <w:instrText xml:space="preserve"> PAGEREF _Toc23115 \h </w:instrText>
          </w:r>
          <w:r>
            <w:fldChar w:fldCharType="separate"/>
          </w:r>
          <w:r>
            <w:t>5</w:t>
          </w:r>
          <w:r>
            <w:fldChar w:fldCharType="end"/>
          </w:r>
          <w:r>
            <w:fldChar w:fldCharType="end"/>
          </w:r>
        </w:p>
        <w:p w14:paraId="6DED855A">
          <w:pPr>
            <w:pStyle w:val="26"/>
            <w:tabs>
              <w:tab w:val="right" w:leader="dot" w:pos="9178"/>
            </w:tabs>
          </w:pPr>
          <w:r>
            <w:fldChar w:fldCharType="begin"/>
          </w:r>
          <w:r>
            <w:instrText xml:space="preserve"> HYPERLINK \l _Toc16809 </w:instrText>
          </w:r>
          <w:r>
            <w:fldChar w:fldCharType="separate"/>
          </w:r>
          <w:r>
            <w:t>1.4 财务与融资概要</w:t>
          </w:r>
          <w:r>
            <w:tab/>
          </w:r>
          <w:r>
            <w:fldChar w:fldCharType="begin"/>
          </w:r>
          <w:r>
            <w:instrText xml:space="preserve"> PAGEREF _Toc16809 \h </w:instrText>
          </w:r>
          <w:r>
            <w:fldChar w:fldCharType="separate"/>
          </w:r>
          <w:r>
            <w:t>5</w:t>
          </w:r>
          <w:r>
            <w:fldChar w:fldCharType="end"/>
          </w:r>
          <w:r>
            <w:fldChar w:fldCharType="end"/>
          </w:r>
        </w:p>
        <w:p w14:paraId="0D47A7CA">
          <w:pPr>
            <w:pStyle w:val="26"/>
            <w:tabs>
              <w:tab w:val="right" w:leader="dot" w:pos="9178"/>
            </w:tabs>
          </w:pPr>
          <w:r>
            <w:fldChar w:fldCharType="begin"/>
          </w:r>
          <w:r>
            <w:instrText xml:space="preserve"> HYPERLINK \l _Toc8126 </w:instrText>
          </w:r>
          <w:r>
            <w:fldChar w:fldCharType="separate"/>
          </w:r>
          <w:r>
            <w:t>第二章 项目背景与市场分析</w:t>
          </w:r>
          <w:r>
            <w:tab/>
          </w:r>
          <w:r>
            <w:fldChar w:fldCharType="begin"/>
          </w:r>
          <w:r>
            <w:instrText xml:space="preserve"> PAGEREF _Toc8126 \h </w:instrText>
          </w:r>
          <w:r>
            <w:fldChar w:fldCharType="separate"/>
          </w:r>
          <w:r>
            <w:t>6</w:t>
          </w:r>
          <w:r>
            <w:fldChar w:fldCharType="end"/>
          </w:r>
          <w:r>
            <w:fldChar w:fldCharType="end"/>
          </w:r>
        </w:p>
        <w:p w14:paraId="0DDA8331">
          <w:pPr>
            <w:pStyle w:val="26"/>
            <w:tabs>
              <w:tab w:val="right" w:leader="dot" w:pos="9178"/>
            </w:tabs>
          </w:pPr>
          <w:r>
            <w:fldChar w:fldCharType="begin"/>
          </w:r>
          <w:r>
            <w:instrText xml:space="preserve"> HYPERLINK \l _Toc5604 </w:instrText>
          </w:r>
          <w:r>
            <w:fldChar w:fldCharType="separate"/>
          </w:r>
          <w:r>
            <w:t>2.1 行业背景：循环经济与校园绿色消费</w:t>
          </w:r>
          <w:r>
            <w:tab/>
          </w:r>
          <w:r>
            <w:fldChar w:fldCharType="begin"/>
          </w:r>
          <w:r>
            <w:instrText xml:space="preserve"> PAGEREF _Toc5604 \h </w:instrText>
          </w:r>
          <w:r>
            <w:fldChar w:fldCharType="separate"/>
          </w:r>
          <w:r>
            <w:t>6</w:t>
          </w:r>
          <w:r>
            <w:fldChar w:fldCharType="end"/>
          </w:r>
          <w:r>
            <w:fldChar w:fldCharType="end"/>
          </w:r>
        </w:p>
        <w:p w14:paraId="6F0AB1F3">
          <w:pPr>
            <w:pStyle w:val="26"/>
            <w:tabs>
              <w:tab w:val="right" w:leader="dot" w:pos="9178"/>
            </w:tabs>
          </w:pPr>
          <w:r>
            <w:fldChar w:fldCharType="begin"/>
          </w:r>
          <w:r>
            <w:instrText xml:space="preserve"> HYPERLINK \l _Toc23412 </w:instrText>
          </w:r>
          <w:r>
            <w:fldChar w:fldCharType="separate"/>
          </w:r>
          <w:r>
            <w:t>2.2 政策环境</w:t>
          </w:r>
          <w:r>
            <w:tab/>
          </w:r>
          <w:r>
            <w:fldChar w:fldCharType="begin"/>
          </w:r>
          <w:r>
            <w:instrText xml:space="preserve"> PAGEREF _Toc23412 \h </w:instrText>
          </w:r>
          <w:r>
            <w:fldChar w:fldCharType="separate"/>
          </w:r>
          <w:r>
            <w:t>6</w:t>
          </w:r>
          <w:r>
            <w:fldChar w:fldCharType="end"/>
          </w:r>
          <w:r>
            <w:fldChar w:fldCharType="end"/>
          </w:r>
        </w:p>
        <w:p w14:paraId="798E5AB9">
          <w:pPr>
            <w:pStyle w:val="26"/>
            <w:tabs>
              <w:tab w:val="right" w:leader="dot" w:pos="9178"/>
            </w:tabs>
          </w:pPr>
          <w:r>
            <w:fldChar w:fldCharType="begin"/>
          </w:r>
          <w:r>
            <w:instrText xml:space="preserve"> HYPERLINK \l _Toc18220 </w:instrText>
          </w:r>
          <w:r>
            <w:fldChar w:fldCharType="separate"/>
          </w:r>
          <w:r>
            <w:t>2.3 市场规模与增长趋势</w:t>
          </w:r>
          <w:r>
            <w:tab/>
          </w:r>
          <w:r>
            <w:fldChar w:fldCharType="begin"/>
          </w:r>
          <w:r>
            <w:instrText xml:space="preserve"> PAGEREF _Toc18220 \h </w:instrText>
          </w:r>
          <w:r>
            <w:fldChar w:fldCharType="separate"/>
          </w:r>
          <w:r>
            <w:t>6</w:t>
          </w:r>
          <w:r>
            <w:fldChar w:fldCharType="end"/>
          </w:r>
          <w:r>
            <w:fldChar w:fldCharType="end"/>
          </w:r>
        </w:p>
        <w:p w14:paraId="46B7DC46">
          <w:pPr>
            <w:pStyle w:val="26"/>
            <w:tabs>
              <w:tab w:val="right" w:leader="dot" w:pos="9178"/>
            </w:tabs>
          </w:pPr>
          <w:r>
            <w:fldChar w:fldCharType="begin"/>
          </w:r>
          <w:r>
            <w:instrText xml:space="preserve"> HYPERLINK \l _Toc29049 </w:instrText>
          </w:r>
          <w:r>
            <w:fldChar w:fldCharType="separate"/>
          </w:r>
          <w:r>
            <w:t>2.4 目标市场与用户痛点</w:t>
          </w:r>
          <w:r>
            <w:tab/>
          </w:r>
          <w:r>
            <w:fldChar w:fldCharType="begin"/>
          </w:r>
          <w:r>
            <w:instrText xml:space="preserve"> PAGEREF _Toc29049 \h </w:instrText>
          </w:r>
          <w:r>
            <w:fldChar w:fldCharType="separate"/>
          </w:r>
          <w:r>
            <w:t>6</w:t>
          </w:r>
          <w:r>
            <w:fldChar w:fldCharType="end"/>
          </w:r>
          <w:r>
            <w:fldChar w:fldCharType="end"/>
          </w:r>
        </w:p>
        <w:p w14:paraId="3D15D51C">
          <w:pPr>
            <w:pStyle w:val="26"/>
            <w:tabs>
              <w:tab w:val="right" w:leader="dot" w:pos="9178"/>
            </w:tabs>
          </w:pPr>
          <w:r>
            <w:fldChar w:fldCharType="begin"/>
          </w:r>
          <w:r>
            <w:instrText xml:space="preserve"> HYPERLINK \l _Toc546 </w:instrText>
          </w:r>
          <w:r>
            <w:fldChar w:fldCharType="separate"/>
          </w:r>
          <w:r>
            <w:t>2.5 竞争格局与竞品分析</w:t>
          </w:r>
          <w:r>
            <w:tab/>
          </w:r>
          <w:r>
            <w:fldChar w:fldCharType="begin"/>
          </w:r>
          <w:r>
            <w:instrText xml:space="preserve"> PAGEREF _Toc546 \h </w:instrText>
          </w:r>
          <w:r>
            <w:fldChar w:fldCharType="separate"/>
          </w:r>
          <w:r>
            <w:t>6</w:t>
          </w:r>
          <w:r>
            <w:fldChar w:fldCharType="end"/>
          </w:r>
          <w:r>
            <w:fldChar w:fldCharType="end"/>
          </w:r>
        </w:p>
        <w:p w14:paraId="589C5FDC">
          <w:pPr>
            <w:pStyle w:val="26"/>
            <w:tabs>
              <w:tab w:val="right" w:leader="dot" w:pos="9178"/>
            </w:tabs>
          </w:pPr>
          <w:r>
            <w:fldChar w:fldCharType="begin"/>
          </w:r>
          <w:r>
            <w:instrText xml:space="preserve"> HYPERLINK \l _Toc22951 </w:instrText>
          </w:r>
          <w:r>
            <w:fldChar w:fldCharType="separate"/>
          </w:r>
          <w:r>
            <w:t>2.6 SWOT分析</w:t>
          </w:r>
          <w:r>
            <w:tab/>
          </w:r>
          <w:r>
            <w:fldChar w:fldCharType="begin"/>
          </w:r>
          <w:r>
            <w:instrText xml:space="preserve"> PAGEREF _Toc22951 \h </w:instrText>
          </w:r>
          <w:r>
            <w:fldChar w:fldCharType="separate"/>
          </w:r>
          <w:r>
            <w:t>7</w:t>
          </w:r>
          <w:r>
            <w:fldChar w:fldCharType="end"/>
          </w:r>
          <w:r>
            <w:fldChar w:fldCharType="end"/>
          </w:r>
        </w:p>
        <w:p w14:paraId="4E0DC8D2">
          <w:pPr>
            <w:pStyle w:val="26"/>
            <w:tabs>
              <w:tab w:val="right" w:leader="dot" w:pos="9178"/>
            </w:tabs>
          </w:pPr>
          <w:r>
            <w:fldChar w:fldCharType="begin"/>
          </w:r>
          <w:r>
            <w:instrText xml:space="preserve"> HYPERLINK \l _Toc19979 </w:instrText>
          </w:r>
          <w:r>
            <w:fldChar w:fldCharType="separate"/>
          </w:r>
          <w:r>
            <w:t>第三章 产品与技术</w:t>
          </w:r>
          <w:r>
            <w:tab/>
          </w:r>
          <w:r>
            <w:fldChar w:fldCharType="begin"/>
          </w:r>
          <w:r>
            <w:instrText xml:space="preserve"> PAGEREF _Toc19979 \h </w:instrText>
          </w:r>
          <w:r>
            <w:fldChar w:fldCharType="separate"/>
          </w:r>
          <w:r>
            <w:t>7</w:t>
          </w:r>
          <w:r>
            <w:fldChar w:fldCharType="end"/>
          </w:r>
          <w:r>
            <w:fldChar w:fldCharType="end"/>
          </w:r>
        </w:p>
        <w:p w14:paraId="37CBE0E8">
          <w:pPr>
            <w:pStyle w:val="26"/>
            <w:tabs>
              <w:tab w:val="right" w:leader="dot" w:pos="9178"/>
            </w:tabs>
          </w:pPr>
          <w:r>
            <w:fldChar w:fldCharType="begin"/>
          </w:r>
          <w:r>
            <w:instrText xml:space="preserve"> HYPERLINK \l _Toc31159 </w:instrText>
          </w:r>
          <w:r>
            <w:fldChar w:fldCharType="separate"/>
          </w:r>
          <w:r>
            <w:t>3.1 产品概述与功能架构</w:t>
          </w:r>
          <w:r>
            <w:tab/>
          </w:r>
          <w:r>
            <w:fldChar w:fldCharType="begin"/>
          </w:r>
          <w:r>
            <w:instrText xml:space="preserve"> PAGEREF _Toc31159 \h </w:instrText>
          </w:r>
          <w:r>
            <w:fldChar w:fldCharType="separate"/>
          </w:r>
          <w:r>
            <w:t>7</w:t>
          </w:r>
          <w:r>
            <w:fldChar w:fldCharType="end"/>
          </w:r>
          <w:r>
            <w:fldChar w:fldCharType="end"/>
          </w:r>
        </w:p>
        <w:p w14:paraId="75313D37">
          <w:pPr>
            <w:pStyle w:val="31"/>
            <w:tabs>
              <w:tab w:val="right" w:leader="dot" w:pos="9178"/>
            </w:tabs>
          </w:pPr>
          <w:r>
            <w:fldChar w:fldCharType="begin"/>
          </w:r>
          <w:r>
            <w:instrText xml:space="preserve"> HYPERLINK \l _Toc12059 </w:instrText>
          </w:r>
          <w:r>
            <w:fldChar w:fldCharType="separate"/>
          </w:r>
          <w:r>
            <w:t>3.1.1 微信小程序/APP核心功能</w:t>
          </w:r>
          <w:r>
            <w:tab/>
          </w:r>
          <w:r>
            <w:fldChar w:fldCharType="begin"/>
          </w:r>
          <w:r>
            <w:instrText xml:space="preserve"> PAGEREF _Toc12059 \h </w:instrText>
          </w:r>
          <w:r>
            <w:fldChar w:fldCharType="separate"/>
          </w:r>
          <w:r>
            <w:t>7</w:t>
          </w:r>
          <w:r>
            <w:fldChar w:fldCharType="end"/>
          </w:r>
          <w:r>
            <w:fldChar w:fldCharType="end"/>
          </w:r>
        </w:p>
        <w:p w14:paraId="2957CB26">
          <w:pPr>
            <w:pStyle w:val="31"/>
            <w:tabs>
              <w:tab w:val="right" w:leader="dot" w:pos="9178"/>
            </w:tabs>
          </w:pPr>
          <w:r>
            <w:fldChar w:fldCharType="begin"/>
          </w:r>
          <w:r>
            <w:instrText xml:space="preserve"> HYPERLINK \l _Toc11495 </w:instrText>
          </w:r>
          <w:r>
            <w:fldChar w:fldCharType="separate"/>
          </w:r>
          <w:r>
            <w:t>3.1.2 校园智能回收柜硬件交互系统</w:t>
          </w:r>
          <w:r>
            <w:tab/>
          </w:r>
          <w:r>
            <w:fldChar w:fldCharType="begin"/>
          </w:r>
          <w:r>
            <w:instrText xml:space="preserve"> PAGEREF _Toc11495 \h </w:instrText>
          </w:r>
          <w:r>
            <w:fldChar w:fldCharType="separate"/>
          </w:r>
          <w:r>
            <w:t>7</w:t>
          </w:r>
          <w:r>
            <w:fldChar w:fldCharType="end"/>
          </w:r>
          <w:r>
            <w:fldChar w:fldCharType="end"/>
          </w:r>
        </w:p>
        <w:p w14:paraId="61B8E0EE">
          <w:pPr>
            <w:pStyle w:val="26"/>
            <w:tabs>
              <w:tab w:val="right" w:leader="dot" w:pos="9178"/>
            </w:tabs>
          </w:pPr>
          <w:r>
            <w:fldChar w:fldCharType="begin"/>
          </w:r>
          <w:r>
            <w:instrText xml:space="preserve"> HYPERLINK \l _Toc17420 </w:instrText>
          </w:r>
          <w:r>
            <w:fldChar w:fldCharType="separate"/>
          </w:r>
          <w:r>
            <w:t>3.2 核心技术一：图书品相识别与动态定价</w:t>
          </w:r>
          <w:r>
            <w:tab/>
          </w:r>
          <w:r>
            <w:fldChar w:fldCharType="begin"/>
          </w:r>
          <w:r>
            <w:instrText xml:space="preserve"> PAGEREF _Toc17420 \h </w:instrText>
          </w:r>
          <w:r>
            <w:fldChar w:fldCharType="separate"/>
          </w:r>
          <w:r>
            <w:t>8</w:t>
          </w:r>
          <w:r>
            <w:fldChar w:fldCharType="end"/>
          </w:r>
          <w:r>
            <w:fldChar w:fldCharType="end"/>
          </w:r>
        </w:p>
        <w:p w14:paraId="1F8FBA85">
          <w:pPr>
            <w:pStyle w:val="26"/>
            <w:tabs>
              <w:tab w:val="right" w:leader="dot" w:pos="9178"/>
            </w:tabs>
          </w:pPr>
          <w:r>
            <w:fldChar w:fldCharType="begin"/>
          </w:r>
          <w:r>
            <w:instrText xml:space="preserve"> HYPERLINK \l _Toc19892 </w:instrText>
          </w:r>
          <w:r>
            <w:fldChar w:fldCharType="separate"/>
          </w:r>
          <w:r>
            <w:t>3.3 核心技术二：智能硬件端与云端协同</w:t>
          </w:r>
          <w:r>
            <w:tab/>
          </w:r>
          <w:r>
            <w:fldChar w:fldCharType="begin"/>
          </w:r>
          <w:r>
            <w:instrText xml:space="preserve"> PAGEREF _Toc19892 \h </w:instrText>
          </w:r>
          <w:r>
            <w:fldChar w:fldCharType="separate"/>
          </w:r>
          <w:r>
            <w:t>8</w:t>
          </w:r>
          <w:r>
            <w:fldChar w:fldCharType="end"/>
          </w:r>
          <w:r>
            <w:fldChar w:fldCharType="end"/>
          </w:r>
        </w:p>
        <w:p w14:paraId="487C8E8B">
          <w:pPr>
            <w:pStyle w:val="26"/>
            <w:tabs>
              <w:tab w:val="right" w:leader="dot" w:pos="9178"/>
            </w:tabs>
          </w:pPr>
          <w:r>
            <w:fldChar w:fldCharType="begin"/>
          </w:r>
          <w:r>
            <w:instrText xml:space="preserve"> HYPERLINK \l _Toc360 </w:instrText>
          </w:r>
          <w:r>
            <w:fldChar w:fldCharType="separate"/>
          </w:r>
          <w:r>
            <w:t>3.4 产品创新点与技术壁垒</w:t>
          </w:r>
          <w:r>
            <w:tab/>
          </w:r>
          <w:r>
            <w:fldChar w:fldCharType="begin"/>
          </w:r>
          <w:r>
            <w:instrText xml:space="preserve"> PAGEREF _Toc360 \h </w:instrText>
          </w:r>
          <w:r>
            <w:fldChar w:fldCharType="separate"/>
          </w:r>
          <w:r>
            <w:t>8</w:t>
          </w:r>
          <w:r>
            <w:fldChar w:fldCharType="end"/>
          </w:r>
          <w:r>
            <w:fldChar w:fldCharType="end"/>
          </w:r>
        </w:p>
        <w:p w14:paraId="17D5D098">
          <w:pPr>
            <w:pStyle w:val="26"/>
            <w:tabs>
              <w:tab w:val="right" w:leader="dot" w:pos="9178"/>
            </w:tabs>
          </w:pPr>
          <w:r>
            <w:fldChar w:fldCharType="begin"/>
          </w:r>
          <w:r>
            <w:instrText xml:space="preserve"> HYPERLINK \l _Toc31351 </w:instrText>
          </w:r>
          <w:r>
            <w:fldChar w:fldCharType="separate"/>
          </w:r>
          <w:r>
            <w:t>3.5 知识产权布局</w:t>
          </w:r>
          <w:r>
            <w:tab/>
          </w:r>
          <w:r>
            <w:fldChar w:fldCharType="begin"/>
          </w:r>
          <w:r>
            <w:instrText xml:space="preserve"> PAGEREF _Toc31351 \h </w:instrText>
          </w:r>
          <w:r>
            <w:fldChar w:fldCharType="separate"/>
          </w:r>
          <w:r>
            <w:t>8</w:t>
          </w:r>
          <w:r>
            <w:fldChar w:fldCharType="end"/>
          </w:r>
          <w:r>
            <w:fldChar w:fldCharType="end"/>
          </w:r>
        </w:p>
        <w:p w14:paraId="532B9076">
          <w:pPr>
            <w:pStyle w:val="26"/>
            <w:tabs>
              <w:tab w:val="right" w:leader="dot" w:pos="9178"/>
            </w:tabs>
          </w:pPr>
          <w:r>
            <w:fldChar w:fldCharType="begin"/>
          </w:r>
          <w:r>
            <w:instrText xml:space="preserve"> HYPERLINK \l _Toc52 </w:instrText>
          </w:r>
          <w:r>
            <w:fldChar w:fldCharType="separate"/>
          </w:r>
          <w:r>
            <w:t>第四章 商业模式</w:t>
          </w:r>
          <w:r>
            <w:tab/>
          </w:r>
          <w:r>
            <w:fldChar w:fldCharType="begin"/>
          </w:r>
          <w:r>
            <w:instrText xml:space="preserve"> PAGEREF _Toc52 \h </w:instrText>
          </w:r>
          <w:r>
            <w:fldChar w:fldCharType="separate"/>
          </w:r>
          <w:r>
            <w:t>8</w:t>
          </w:r>
          <w:r>
            <w:fldChar w:fldCharType="end"/>
          </w:r>
          <w:r>
            <w:fldChar w:fldCharType="end"/>
          </w:r>
        </w:p>
        <w:p w14:paraId="42F2DF2D">
          <w:pPr>
            <w:pStyle w:val="26"/>
            <w:tabs>
              <w:tab w:val="right" w:leader="dot" w:pos="9178"/>
            </w:tabs>
          </w:pPr>
          <w:r>
            <w:fldChar w:fldCharType="begin"/>
          </w:r>
          <w:r>
            <w:instrText xml:space="preserve"> HYPERLINK \l _Toc21486 </w:instrText>
          </w:r>
          <w:r>
            <w:fldChar w:fldCharType="separate"/>
          </w:r>
          <w:r>
            <w:t>4.1 价值主张</w:t>
          </w:r>
          <w:r>
            <w:tab/>
          </w:r>
          <w:r>
            <w:fldChar w:fldCharType="begin"/>
          </w:r>
          <w:r>
            <w:instrText xml:space="preserve"> PAGEREF _Toc21486 \h </w:instrText>
          </w:r>
          <w:r>
            <w:fldChar w:fldCharType="separate"/>
          </w:r>
          <w:r>
            <w:t>8</w:t>
          </w:r>
          <w:r>
            <w:fldChar w:fldCharType="end"/>
          </w:r>
          <w:r>
            <w:fldChar w:fldCharType="end"/>
          </w:r>
        </w:p>
        <w:p w14:paraId="4737E008">
          <w:pPr>
            <w:pStyle w:val="26"/>
            <w:tabs>
              <w:tab w:val="right" w:leader="dot" w:pos="9178"/>
            </w:tabs>
          </w:pPr>
          <w:r>
            <w:fldChar w:fldCharType="begin"/>
          </w:r>
          <w:r>
            <w:instrText xml:space="preserve"> HYPERLINK \l _Toc17116 </w:instrText>
          </w:r>
          <w:r>
            <w:fldChar w:fldCharType="separate"/>
          </w:r>
          <w:r>
            <w:t>4.2 盈利模式</w:t>
          </w:r>
          <w:r>
            <w:tab/>
          </w:r>
          <w:r>
            <w:fldChar w:fldCharType="begin"/>
          </w:r>
          <w:r>
            <w:instrText xml:space="preserve"> PAGEREF _Toc17116 \h </w:instrText>
          </w:r>
          <w:r>
            <w:fldChar w:fldCharType="separate"/>
          </w:r>
          <w:r>
            <w:t>9</w:t>
          </w:r>
          <w:r>
            <w:fldChar w:fldCharType="end"/>
          </w:r>
          <w:r>
            <w:fldChar w:fldCharType="end"/>
          </w:r>
        </w:p>
        <w:p w14:paraId="3C8E5464">
          <w:pPr>
            <w:pStyle w:val="31"/>
            <w:tabs>
              <w:tab w:val="right" w:leader="dot" w:pos="9178"/>
            </w:tabs>
          </w:pPr>
          <w:r>
            <w:fldChar w:fldCharType="begin"/>
          </w:r>
          <w:r>
            <w:instrText xml:space="preserve"> HYPERLINK \l _Toc11503 </w:instrText>
          </w:r>
          <w:r>
            <w:fldChar w:fldCharType="separate"/>
          </w:r>
          <w:r>
            <w:t>4.2.1 二手图书买卖差价</w:t>
          </w:r>
          <w:r>
            <w:tab/>
          </w:r>
          <w:r>
            <w:fldChar w:fldCharType="begin"/>
          </w:r>
          <w:r>
            <w:instrText xml:space="preserve"> PAGEREF _Toc11503 \h </w:instrText>
          </w:r>
          <w:r>
            <w:fldChar w:fldCharType="separate"/>
          </w:r>
          <w:r>
            <w:t>9</w:t>
          </w:r>
          <w:r>
            <w:fldChar w:fldCharType="end"/>
          </w:r>
          <w:r>
            <w:fldChar w:fldCharType="end"/>
          </w:r>
        </w:p>
        <w:p w14:paraId="6BE9EAB3">
          <w:pPr>
            <w:pStyle w:val="31"/>
            <w:tabs>
              <w:tab w:val="right" w:leader="dot" w:pos="9178"/>
            </w:tabs>
          </w:pPr>
          <w:r>
            <w:fldChar w:fldCharType="begin"/>
          </w:r>
          <w:r>
            <w:instrText xml:space="preserve"> HYPERLINK \l _Toc10893 </w:instrText>
          </w:r>
          <w:r>
            <w:fldChar w:fldCharType="separate"/>
          </w:r>
          <w:r>
            <w:t>4.2.2 教材/考研资料租赁服务</w:t>
          </w:r>
          <w:r>
            <w:tab/>
          </w:r>
          <w:r>
            <w:fldChar w:fldCharType="begin"/>
          </w:r>
          <w:r>
            <w:instrText xml:space="preserve"> PAGEREF _Toc10893 \h </w:instrText>
          </w:r>
          <w:r>
            <w:fldChar w:fldCharType="separate"/>
          </w:r>
          <w:r>
            <w:t>9</w:t>
          </w:r>
          <w:r>
            <w:fldChar w:fldCharType="end"/>
          </w:r>
          <w:r>
            <w:fldChar w:fldCharType="end"/>
          </w:r>
        </w:p>
        <w:p w14:paraId="503407F1">
          <w:pPr>
            <w:pStyle w:val="31"/>
            <w:tabs>
              <w:tab w:val="right" w:leader="dot" w:pos="9178"/>
            </w:tabs>
          </w:pPr>
          <w:r>
            <w:fldChar w:fldCharType="begin"/>
          </w:r>
          <w:r>
            <w:instrText xml:space="preserve"> HYPERLINK \l _Toc7388 </w:instrText>
          </w:r>
          <w:r>
            <w:fldChar w:fldCharType="separate"/>
          </w:r>
          <w:r>
            <w:t>4.2.3 校园广告与品牌赞助</w:t>
          </w:r>
          <w:r>
            <w:tab/>
          </w:r>
          <w:r>
            <w:fldChar w:fldCharType="begin"/>
          </w:r>
          <w:r>
            <w:instrText xml:space="preserve"> PAGEREF _Toc7388 \h </w:instrText>
          </w:r>
          <w:r>
            <w:fldChar w:fldCharType="separate"/>
          </w:r>
          <w:r>
            <w:t>9</w:t>
          </w:r>
          <w:r>
            <w:fldChar w:fldCharType="end"/>
          </w:r>
          <w:r>
            <w:fldChar w:fldCharType="end"/>
          </w:r>
        </w:p>
        <w:p w14:paraId="7E7D9012">
          <w:pPr>
            <w:pStyle w:val="31"/>
            <w:tabs>
              <w:tab w:val="right" w:leader="dot" w:pos="9178"/>
            </w:tabs>
          </w:pPr>
          <w:r>
            <w:fldChar w:fldCharType="begin"/>
          </w:r>
          <w:r>
            <w:instrText xml:space="preserve"> HYPERLINK \l _Toc26727 </w:instrText>
          </w:r>
          <w:r>
            <w:fldChar w:fldCharType="separate"/>
          </w:r>
          <w:r>
            <w:t>4.2.4 ESG数据服务与企业合作</w:t>
          </w:r>
          <w:r>
            <w:tab/>
          </w:r>
          <w:r>
            <w:fldChar w:fldCharType="begin"/>
          </w:r>
          <w:r>
            <w:instrText xml:space="preserve"> PAGEREF _Toc26727 \h </w:instrText>
          </w:r>
          <w:r>
            <w:fldChar w:fldCharType="separate"/>
          </w:r>
          <w:r>
            <w:t>9</w:t>
          </w:r>
          <w:r>
            <w:fldChar w:fldCharType="end"/>
          </w:r>
          <w:r>
            <w:fldChar w:fldCharType="end"/>
          </w:r>
        </w:p>
        <w:p w14:paraId="7A5CFF91">
          <w:pPr>
            <w:pStyle w:val="26"/>
            <w:tabs>
              <w:tab w:val="right" w:leader="dot" w:pos="9178"/>
            </w:tabs>
          </w:pPr>
          <w:r>
            <w:fldChar w:fldCharType="begin"/>
          </w:r>
          <w:r>
            <w:instrText xml:space="preserve"> HYPERLINK \l _Toc12944 </w:instrText>
          </w:r>
          <w:r>
            <w:fldChar w:fldCharType="separate"/>
          </w:r>
          <w:r>
            <w:t>4.3 定价策略</w:t>
          </w:r>
          <w:r>
            <w:tab/>
          </w:r>
          <w:r>
            <w:fldChar w:fldCharType="begin"/>
          </w:r>
          <w:r>
            <w:instrText xml:space="preserve"> PAGEREF _Toc12944 \h </w:instrText>
          </w:r>
          <w:r>
            <w:fldChar w:fldCharType="separate"/>
          </w:r>
          <w:r>
            <w:t>9</w:t>
          </w:r>
          <w:r>
            <w:fldChar w:fldCharType="end"/>
          </w:r>
          <w:r>
            <w:fldChar w:fldCharType="end"/>
          </w:r>
        </w:p>
        <w:p w14:paraId="324EE954">
          <w:pPr>
            <w:pStyle w:val="26"/>
            <w:tabs>
              <w:tab w:val="right" w:leader="dot" w:pos="9178"/>
            </w:tabs>
          </w:pPr>
          <w:r>
            <w:fldChar w:fldCharType="begin"/>
          </w:r>
          <w:r>
            <w:instrText xml:space="preserve"> HYPERLINK \l _Toc20775 </w:instrText>
          </w:r>
          <w:r>
            <w:fldChar w:fldCharType="separate"/>
          </w:r>
          <w:r>
            <w:t>4.4 渠道与合作伙伴</w:t>
          </w:r>
          <w:r>
            <w:tab/>
          </w:r>
          <w:r>
            <w:fldChar w:fldCharType="begin"/>
          </w:r>
          <w:r>
            <w:instrText xml:space="preserve"> PAGEREF _Toc20775 \h </w:instrText>
          </w:r>
          <w:r>
            <w:fldChar w:fldCharType="separate"/>
          </w:r>
          <w:r>
            <w:t>9</w:t>
          </w:r>
          <w:r>
            <w:fldChar w:fldCharType="end"/>
          </w:r>
          <w:r>
            <w:fldChar w:fldCharType="end"/>
          </w:r>
        </w:p>
        <w:p w14:paraId="4364A842">
          <w:pPr>
            <w:pStyle w:val="26"/>
            <w:tabs>
              <w:tab w:val="right" w:leader="dot" w:pos="9178"/>
            </w:tabs>
          </w:pPr>
          <w:r>
            <w:fldChar w:fldCharType="begin"/>
          </w:r>
          <w:r>
            <w:instrText xml:space="preserve"> HYPERLINK \l _Toc13277 </w:instrText>
          </w:r>
          <w:r>
            <w:fldChar w:fldCharType="separate"/>
          </w:r>
          <w:r>
            <w:t>第五章 运营与营销策略</w:t>
          </w:r>
          <w:r>
            <w:tab/>
          </w:r>
          <w:r>
            <w:fldChar w:fldCharType="begin"/>
          </w:r>
          <w:r>
            <w:instrText xml:space="preserve"> PAGEREF _Toc13277 \h </w:instrText>
          </w:r>
          <w:r>
            <w:fldChar w:fldCharType="separate"/>
          </w:r>
          <w:r>
            <w:t>10</w:t>
          </w:r>
          <w:r>
            <w:fldChar w:fldCharType="end"/>
          </w:r>
          <w:r>
            <w:fldChar w:fldCharType="end"/>
          </w:r>
        </w:p>
        <w:p w14:paraId="5C47C864">
          <w:pPr>
            <w:pStyle w:val="26"/>
            <w:tabs>
              <w:tab w:val="right" w:leader="dot" w:pos="9178"/>
            </w:tabs>
          </w:pPr>
          <w:r>
            <w:fldChar w:fldCharType="begin"/>
          </w:r>
          <w:r>
            <w:instrText xml:space="preserve"> HYPERLINK \l _Toc28474 </w:instrText>
          </w:r>
          <w:r>
            <w:fldChar w:fldCharType="separate"/>
          </w:r>
          <w:r>
            <w:t>5.1 市场定位与目标客户细分</w:t>
          </w:r>
          <w:r>
            <w:tab/>
          </w:r>
          <w:r>
            <w:fldChar w:fldCharType="begin"/>
          </w:r>
          <w:r>
            <w:instrText xml:space="preserve"> PAGEREF _Toc28474 \h </w:instrText>
          </w:r>
          <w:r>
            <w:fldChar w:fldCharType="separate"/>
          </w:r>
          <w:r>
            <w:t>10</w:t>
          </w:r>
          <w:r>
            <w:fldChar w:fldCharType="end"/>
          </w:r>
          <w:r>
            <w:fldChar w:fldCharType="end"/>
          </w:r>
        </w:p>
        <w:p w14:paraId="64462A36">
          <w:pPr>
            <w:pStyle w:val="26"/>
            <w:tabs>
              <w:tab w:val="right" w:leader="dot" w:pos="9178"/>
            </w:tabs>
          </w:pPr>
          <w:r>
            <w:fldChar w:fldCharType="begin"/>
          </w:r>
          <w:r>
            <w:instrText xml:space="preserve"> HYPERLINK \l _Toc30165 </w:instrText>
          </w:r>
          <w:r>
            <w:fldChar w:fldCharType="separate"/>
          </w:r>
          <w:r>
            <w:t>5.2 品牌推广与用户引流策略</w:t>
          </w:r>
          <w:r>
            <w:tab/>
          </w:r>
          <w:r>
            <w:fldChar w:fldCharType="begin"/>
          </w:r>
          <w:r>
            <w:instrText xml:space="preserve"> PAGEREF _Toc30165 \h </w:instrText>
          </w:r>
          <w:r>
            <w:fldChar w:fldCharType="separate"/>
          </w:r>
          <w:r>
            <w:t>10</w:t>
          </w:r>
          <w:r>
            <w:fldChar w:fldCharType="end"/>
          </w:r>
          <w:r>
            <w:fldChar w:fldCharType="end"/>
          </w:r>
        </w:p>
        <w:p w14:paraId="2745F8F4">
          <w:pPr>
            <w:pStyle w:val="26"/>
            <w:tabs>
              <w:tab w:val="right" w:leader="dot" w:pos="9178"/>
            </w:tabs>
          </w:pPr>
          <w:r>
            <w:fldChar w:fldCharType="begin"/>
          </w:r>
          <w:r>
            <w:instrText xml:space="preserve"> HYPERLINK \l _Toc20061 </w:instrText>
          </w:r>
          <w:r>
            <w:fldChar w:fldCharType="separate"/>
          </w:r>
          <w:r>
            <w:t>5.3 运营计划与时间节点</w:t>
          </w:r>
          <w:r>
            <w:tab/>
          </w:r>
          <w:r>
            <w:fldChar w:fldCharType="begin"/>
          </w:r>
          <w:r>
            <w:instrText xml:space="preserve"> PAGEREF _Toc20061 \h </w:instrText>
          </w:r>
          <w:r>
            <w:fldChar w:fldCharType="separate"/>
          </w:r>
          <w:r>
            <w:t>10</w:t>
          </w:r>
          <w:r>
            <w:fldChar w:fldCharType="end"/>
          </w:r>
          <w:r>
            <w:fldChar w:fldCharType="end"/>
          </w:r>
        </w:p>
        <w:p w14:paraId="16407AFA">
          <w:pPr>
            <w:pStyle w:val="26"/>
            <w:tabs>
              <w:tab w:val="right" w:leader="dot" w:pos="9178"/>
            </w:tabs>
          </w:pPr>
          <w:r>
            <w:fldChar w:fldCharType="begin"/>
          </w:r>
          <w:r>
            <w:instrText xml:space="preserve"> HYPERLINK \l _Toc31855 </w:instrText>
          </w:r>
          <w:r>
            <w:fldChar w:fldCharType="separate"/>
          </w:r>
          <w:r>
            <w:t>第六章 供应链与物流体系</w:t>
          </w:r>
          <w:r>
            <w:tab/>
          </w:r>
          <w:r>
            <w:fldChar w:fldCharType="begin"/>
          </w:r>
          <w:r>
            <w:instrText xml:space="preserve"> PAGEREF _Toc31855 \h </w:instrText>
          </w:r>
          <w:r>
            <w:fldChar w:fldCharType="separate"/>
          </w:r>
          <w:r>
            <w:t>11</w:t>
          </w:r>
          <w:r>
            <w:fldChar w:fldCharType="end"/>
          </w:r>
          <w:r>
            <w:fldChar w:fldCharType="end"/>
          </w:r>
        </w:p>
        <w:p w14:paraId="631BED38">
          <w:pPr>
            <w:pStyle w:val="26"/>
            <w:tabs>
              <w:tab w:val="right" w:leader="dot" w:pos="9178"/>
            </w:tabs>
          </w:pPr>
          <w:r>
            <w:fldChar w:fldCharType="begin"/>
          </w:r>
          <w:r>
            <w:instrText xml:space="preserve"> HYPERLINK \l _Toc5420 </w:instrText>
          </w:r>
          <w:r>
            <w:fldChar w:fldCharType="separate"/>
          </w:r>
          <w:r>
            <w:t>6.1 校园仓储与智能柜终端布局</w:t>
          </w:r>
          <w:r>
            <w:tab/>
          </w:r>
          <w:r>
            <w:fldChar w:fldCharType="begin"/>
          </w:r>
          <w:r>
            <w:instrText xml:space="preserve"> PAGEREF _Toc5420 \h </w:instrText>
          </w:r>
          <w:r>
            <w:fldChar w:fldCharType="separate"/>
          </w:r>
          <w:r>
            <w:t>11</w:t>
          </w:r>
          <w:r>
            <w:fldChar w:fldCharType="end"/>
          </w:r>
          <w:r>
            <w:fldChar w:fldCharType="end"/>
          </w:r>
        </w:p>
        <w:p w14:paraId="0FCF5F80">
          <w:pPr>
            <w:pStyle w:val="26"/>
            <w:tabs>
              <w:tab w:val="right" w:leader="dot" w:pos="9178"/>
            </w:tabs>
          </w:pPr>
          <w:r>
            <w:fldChar w:fldCharType="begin"/>
          </w:r>
          <w:r>
            <w:instrText xml:space="preserve"> HYPERLINK \l _Toc17482 </w:instrText>
          </w:r>
          <w:r>
            <w:fldChar w:fldCharType="separate"/>
          </w:r>
          <w:r>
            <w:t>6.2 旧书回收、质检与整理SOP</w:t>
          </w:r>
          <w:r>
            <w:tab/>
          </w:r>
          <w:r>
            <w:fldChar w:fldCharType="begin"/>
          </w:r>
          <w:r>
            <w:instrText xml:space="preserve"> PAGEREF _Toc17482 \h </w:instrText>
          </w:r>
          <w:r>
            <w:fldChar w:fldCharType="separate"/>
          </w:r>
          <w:r>
            <w:t>11</w:t>
          </w:r>
          <w:r>
            <w:fldChar w:fldCharType="end"/>
          </w:r>
          <w:r>
            <w:fldChar w:fldCharType="end"/>
          </w:r>
        </w:p>
        <w:p w14:paraId="7EDEF775">
          <w:pPr>
            <w:pStyle w:val="26"/>
            <w:tabs>
              <w:tab w:val="right" w:leader="dot" w:pos="9178"/>
            </w:tabs>
          </w:pPr>
          <w:r>
            <w:fldChar w:fldCharType="begin"/>
          </w:r>
          <w:r>
            <w:instrText xml:space="preserve"> HYPERLINK \l _Toc25689 </w:instrText>
          </w:r>
          <w:r>
            <w:fldChar w:fldCharType="separate"/>
          </w:r>
          <w:r>
            <w:t>6.3 校园逆向物流与末端配送</w:t>
          </w:r>
          <w:r>
            <w:tab/>
          </w:r>
          <w:r>
            <w:fldChar w:fldCharType="begin"/>
          </w:r>
          <w:r>
            <w:instrText xml:space="preserve"> PAGEREF _Toc25689 \h </w:instrText>
          </w:r>
          <w:r>
            <w:fldChar w:fldCharType="separate"/>
          </w:r>
          <w:r>
            <w:t>11</w:t>
          </w:r>
          <w:r>
            <w:fldChar w:fldCharType="end"/>
          </w:r>
          <w:r>
            <w:fldChar w:fldCharType="end"/>
          </w:r>
        </w:p>
        <w:p w14:paraId="6D7903EB">
          <w:pPr>
            <w:pStyle w:val="26"/>
            <w:tabs>
              <w:tab w:val="right" w:leader="dot" w:pos="9178"/>
            </w:tabs>
          </w:pPr>
          <w:r>
            <w:fldChar w:fldCharType="begin"/>
          </w:r>
          <w:r>
            <w:instrText xml:space="preserve"> HYPERLINK \l _Toc28577 </w:instrText>
          </w:r>
          <w:r>
            <w:fldChar w:fldCharType="separate"/>
          </w:r>
          <w:r>
            <w:t>第七章 团队介绍</w:t>
          </w:r>
          <w:r>
            <w:tab/>
          </w:r>
          <w:r>
            <w:fldChar w:fldCharType="begin"/>
          </w:r>
          <w:r>
            <w:instrText xml:space="preserve"> PAGEREF _Toc28577 \h </w:instrText>
          </w:r>
          <w:r>
            <w:fldChar w:fldCharType="separate"/>
          </w:r>
          <w:r>
            <w:t>11</w:t>
          </w:r>
          <w:r>
            <w:fldChar w:fldCharType="end"/>
          </w:r>
          <w:r>
            <w:fldChar w:fldCharType="end"/>
          </w:r>
        </w:p>
        <w:p w14:paraId="42052177">
          <w:pPr>
            <w:pStyle w:val="26"/>
            <w:tabs>
              <w:tab w:val="right" w:leader="dot" w:pos="9178"/>
            </w:tabs>
          </w:pPr>
          <w:r>
            <w:fldChar w:fldCharType="begin"/>
          </w:r>
          <w:r>
            <w:instrText xml:space="preserve"> HYPERLINK \l _Toc28765 </w:instrText>
          </w:r>
          <w:r>
            <w:fldChar w:fldCharType="separate"/>
          </w:r>
          <w:r>
            <w:t>7.1 核心团队成员</w:t>
          </w:r>
          <w:r>
            <w:tab/>
          </w:r>
          <w:r>
            <w:fldChar w:fldCharType="begin"/>
          </w:r>
          <w:r>
            <w:instrText xml:space="preserve"> PAGEREF _Toc28765 \h </w:instrText>
          </w:r>
          <w:r>
            <w:fldChar w:fldCharType="separate"/>
          </w:r>
          <w:r>
            <w:t>11</w:t>
          </w:r>
          <w:r>
            <w:fldChar w:fldCharType="end"/>
          </w:r>
          <w:r>
            <w:fldChar w:fldCharType="end"/>
          </w:r>
        </w:p>
        <w:p w14:paraId="0E6A89E2">
          <w:pPr>
            <w:pStyle w:val="26"/>
            <w:tabs>
              <w:tab w:val="right" w:leader="dot" w:pos="9178"/>
            </w:tabs>
          </w:pPr>
          <w:r>
            <w:fldChar w:fldCharType="begin"/>
          </w:r>
          <w:r>
            <w:instrText xml:space="preserve"> HYPERLINK \l _Toc6049 </w:instrText>
          </w:r>
          <w:r>
            <w:fldChar w:fldCharType="separate"/>
          </w:r>
          <w:r>
            <w:t>7.2 组织架构与部门职责</w:t>
          </w:r>
          <w:r>
            <w:tab/>
          </w:r>
          <w:r>
            <w:fldChar w:fldCharType="begin"/>
          </w:r>
          <w:r>
            <w:instrText xml:space="preserve"> PAGEREF _Toc6049 \h </w:instrText>
          </w:r>
          <w:r>
            <w:fldChar w:fldCharType="separate"/>
          </w:r>
          <w:r>
            <w:t>11</w:t>
          </w:r>
          <w:r>
            <w:fldChar w:fldCharType="end"/>
          </w:r>
          <w:r>
            <w:fldChar w:fldCharType="end"/>
          </w:r>
        </w:p>
        <w:p w14:paraId="6CC05BF8">
          <w:pPr>
            <w:pStyle w:val="26"/>
            <w:tabs>
              <w:tab w:val="right" w:leader="dot" w:pos="9178"/>
            </w:tabs>
          </w:pPr>
          <w:r>
            <w:fldChar w:fldCharType="begin"/>
          </w:r>
          <w:r>
            <w:instrText xml:space="preserve"> HYPERLINK \l _Toc12763 </w:instrText>
          </w:r>
          <w:r>
            <w:fldChar w:fldCharType="separate"/>
          </w:r>
          <w:r>
            <w:t>7.3 顾问与指导老师团队</w:t>
          </w:r>
          <w:r>
            <w:tab/>
          </w:r>
          <w:r>
            <w:fldChar w:fldCharType="begin"/>
          </w:r>
          <w:r>
            <w:instrText xml:space="preserve"> PAGEREF _Toc12763 \h </w:instrText>
          </w:r>
          <w:r>
            <w:fldChar w:fldCharType="separate"/>
          </w:r>
          <w:r>
            <w:t>12</w:t>
          </w:r>
          <w:r>
            <w:fldChar w:fldCharType="end"/>
          </w:r>
          <w:r>
            <w:fldChar w:fldCharType="end"/>
          </w:r>
        </w:p>
        <w:p w14:paraId="16721B14">
          <w:pPr>
            <w:pStyle w:val="26"/>
            <w:tabs>
              <w:tab w:val="right" w:leader="dot" w:pos="9178"/>
            </w:tabs>
          </w:pPr>
          <w:r>
            <w:fldChar w:fldCharType="begin"/>
          </w:r>
          <w:r>
            <w:instrText xml:space="preserve"> HYPERLINK \l _Toc19915 </w:instrText>
          </w:r>
          <w:r>
            <w:fldChar w:fldCharType="separate"/>
          </w:r>
          <w:r>
            <w:t>7.4 团队核心优势与人岗匹配度</w:t>
          </w:r>
          <w:r>
            <w:tab/>
          </w:r>
          <w:r>
            <w:fldChar w:fldCharType="begin"/>
          </w:r>
          <w:r>
            <w:instrText xml:space="preserve"> PAGEREF _Toc19915 \h </w:instrText>
          </w:r>
          <w:r>
            <w:fldChar w:fldCharType="separate"/>
          </w:r>
          <w:r>
            <w:t>12</w:t>
          </w:r>
          <w:r>
            <w:fldChar w:fldCharType="end"/>
          </w:r>
          <w:r>
            <w:fldChar w:fldCharType="end"/>
          </w:r>
        </w:p>
        <w:p w14:paraId="35D12984">
          <w:pPr>
            <w:pStyle w:val="26"/>
            <w:tabs>
              <w:tab w:val="right" w:leader="dot" w:pos="9178"/>
            </w:tabs>
          </w:pPr>
          <w:r>
            <w:fldChar w:fldCharType="begin"/>
          </w:r>
          <w:r>
            <w:instrText xml:space="preserve"> HYPERLINK \l _Toc10777 </w:instrText>
          </w:r>
          <w:r>
            <w:fldChar w:fldCharType="separate"/>
          </w:r>
          <w:r>
            <w:t>第八章 财务规划</w:t>
          </w:r>
          <w:r>
            <w:tab/>
          </w:r>
          <w:r>
            <w:fldChar w:fldCharType="begin"/>
          </w:r>
          <w:r>
            <w:instrText xml:space="preserve"> PAGEREF _Toc10777 \h </w:instrText>
          </w:r>
          <w:r>
            <w:fldChar w:fldCharType="separate"/>
          </w:r>
          <w:r>
            <w:t>12</w:t>
          </w:r>
          <w:r>
            <w:fldChar w:fldCharType="end"/>
          </w:r>
          <w:r>
            <w:fldChar w:fldCharType="end"/>
          </w:r>
        </w:p>
        <w:p w14:paraId="3CF944C8">
          <w:pPr>
            <w:pStyle w:val="26"/>
            <w:tabs>
              <w:tab w:val="right" w:leader="dot" w:pos="9178"/>
            </w:tabs>
          </w:pPr>
          <w:r>
            <w:fldChar w:fldCharType="begin"/>
          </w:r>
          <w:r>
            <w:instrText xml:space="preserve"> HYPERLINK \l _Toc29955 </w:instrText>
          </w:r>
          <w:r>
            <w:fldChar w:fldCharType="separate"/>
          </w:r>
          <w:r>
            <w:t>8.1 融资需求与资金使用</w:t>
          </w:r>
          <w:r>
            <w:tab/>
          </w:r>
          <w:r>
            <w:fldChar w:fldCharType="begin"/>
          </w:r>
          <w:r>
            <w:instrText xml:space="preserve"> PAGEREF _Toc29955 \h </w:instrText>
          </w:r>
          <w:r>
            <w:fldChar w:fldCharType="separate"/>
          </w:r>
          <w:r>
            <w:t>12</w:t>
          </w:r>
          <w:r>
            <w:fldChar w:fldCharType="end"/>
          </w:r>
          <w:r>
            <w:fldChar w:fldCharType="end"/>
          </w:r>
        </w:p>
        <w:p w14:paraId="0D4BA409">
          <w:pPr>
            <w:pStyle w:val="26"/>
            <w:tabs>
              <w:tab w:val="right" w:leader="dot" w:pos="9178"/>
            </w:tabs>
          </w:pPr>
          <w:r>
            <w:fldChar w:fldCharType="begin"/>
          </w:r>
          <w:r>
            <w:instrText xml:space="preserve"> HYPERLINK \l _Toc25653 </w:instrText>
          </w:r>
          <w:r>
            <w:fldChar w:fldCharType="separate"/>
          </w:r>
          <w:r>
            <w:t>8.2 未来3年收入预测</w:t>
          </w:r>
          <w:r>
            <w:tab/>
          </w:r>
          <w:r>
            <w:fldChar w:fldCharType="begin"/>
          </w:r>
          <w:r>
            <w:instrText xml:space="preserve"> PAGEREF _Toc25653 \h </w:instrText>
          </w:r>
          <w:r>
            <w:fldChar w:fldCharType="separate"/>
          </w:r>
          <w:r>
            <w:t>12</w:t>
          </w:r>
          <w:r>
            <w:fldChar w:fldCharType="end"/>
          </w:r>
          <w:r>
            <w:fldChar w:fldCharType="end"/>
          </w:r>
        </w:p>
        <w:p w14:paraId="3F529BFA">
          <w:pPr>
            <w:pStyle w:val="26"/>
            <w:tabs>
              <w:tab w:val="right" w:leader="dot" w:pos="9178"/>
            </w:tabs>
          </w:pPr>
          <w:r>
            <w:fldChar w:fldCharType="begin"/>
          </w:r>
          <w:r>
            <w:instrText xml:space="preserve"> HYPERLINK \l _Toc6268 </w:instrText>
          </w:r>
          <w:r>
            <w:fldChar w:fldCharType="separate"/>
          </w:r>
          <w:r>
            <w:t>8.3 成本与费用预测</w:t>
          </w:r>
          <w:r>
            <w:tab/>
          </w:r>
          <w:r>
            <w:fldChar w:fldCharType="begin"/>
          </w:r>
          <w:r>
            <w:instrText xml:space="preserve"> PAGEREF _Toc6268 \h </w:instrText>
          </w:r>
          <w:r>
            <w:fldChar w:fldCharType="separate"/>
          </w:r>
          <w:r>
            <w:t>13</w:t>
          </w:r>
          <w:r>
            <w:fldChar w:fldCharType="end"/>
          </w:r>
          <w:r>
            <w:fldChar w:fldCharType="end"/>
          </w:r>
        </w:p>
        <w:p w14:paraId="18BF17DF">
          <w:pPr>
            <w:pStyle w:val="26"/>
            <w:tabs>
              <w:tab w:val="right" w:leader="dot" w:pos="9178"/>
            </w:tabs>
          </w:pPr>
          <w:r>
            <w:fldChar w:fldCharType="begin"/>
          </w:r>
          <w:r>
            <w:instrText xml:space="preserve"> HYPERLINK \l _Toc24831 </w:instrText>
          </w:r>
          <w:r>
            <w:fldChar w:fldCharType="separate"/>
          </w:r>
          <w:r>
            <w:t>8.4 利润表与现金流分析</w:t>
          </w:r>
          <w:r>
            <w:tab/>
          </w:r>
          <w:r>
            <w:fldChar w:fldCharType="begin"/>
          </w:r>
          <w:r>
            <w:instrText xml:space="preserve"> PAGEREF _Toc24831 \h </w:instrText>
          </w:r>
          <w:r>
            <w:fldChar w:fldCharType="separate"/>
          </w:r>
          <w:r>
            <w:t>13</w:t>
          </w:r>
          <w:r>
            <w:fldChar w:fldCharType="end"/>
          </w:r>
          <w:r>
            <w:fldChar w:fldCharType="end"/>
          </w:r>
        </w:p>
        <w:p w14:paraId="49E6343D">
          <w:pPr>
            <w:pStyle w:val="26"/>
            <w:tabs>
              <w:tab w:val="right" w:leader="dot" w:pos="9178"/>
            </w:tabs>
          </w:pPr>
          <w:r>
            <w:fldChar w:fldCharType="begin"/>
          </w:r>
          <w:r>
            <w:instrText xml:space="preserve"> HYPERLINK \l _Toc22180 </w:instrText>
          </w:r>
          <w:r>
            <w:fldChar w:fldCharType="separate"/>
          </w:r>
          <w:r>
            <w:t>8.5 盈亏平衡点与ROI</w:t>
          </w:r>
          <w:r>
            <w:tab/>
          </w:r>
          <w:r>
            <w:fldChar w:fldCharType="begin"/>
          </w:r>
          <w:r>
            <w:instrText xml:space="preserve"> PAGEREF _Toc22180 \h </w:instrText>
          </w:r>
          <w:r>
            <w:fldChar w:fldCharType="separate"/>
          </w:r>
          <w:r>
            <w:t>13</w:t>
          </w:r>
          <w:r>
            <w:fldChar w:fldCharType="end"/>
          </w:r>
          <w:r>
            <w:fldChar w:fldCharType="end"/>
          </w:r>
        </w:p>
        <w:p w14:paraId="468E9EF0">
          <w:pPr>
            <w:pStyle w:val="26"/>
            <w:tabs>
              <w:tab w:val="right" w:leader="dot" w:pos="9178"/>
            </w:tabs>
          </w:pPr>
          <w:r>
            <w:fldChar w:fldCharType="begin"/>
          </w:r>
          <w:r>
            <w:instrText xml:space="preserve"> HYPERLINK \l _Toc19099 </w:instrText>
          </w:r>
          <w:r>
            <w:fldChar w:fldCharType="separate"/>
          </w:r>
          <w:r>
            <w:t>第九章 风险分析与应对措施</w:t>
          </w:r>
          <w:r>
            <w:tab/>
          </w:r>
          <w:r>
            <w:fldChar w:fldCharType="begin"/>
          </w:r>
          <w:r>
            <w:instrText xml:space="preserve"> PAGEREF _Toc19099 \h </w:instrText>
          </w:r>
          <w:r>
            <w:fldChar w:fldCharType="separate"/>
          </w:r>
          <w:r>
            <w:t>13</w:t>
          </w:r>
          <w:r>
            <w:fldChar w:fldCharType="end"/>
          </w:r>
          <w:r>
            <w:fldChar w:fldCharType="end"/>
          </w:r>
        </w:p>
        <w:p w14:paraId="25A5E715">
          <w:pPr>
            <w:pStyle w:val="26"/>
            <w:tabs>
              <w:tab w:val="right" w:leader="dot" w:pos="9178"/>
            </w:tabs>
          </w:pPr>
          <w:r>
            <w:fldChar w:fldCharType="begin"/>
          </w:r>
          <w:r>
            <w:instrText xml:space="preserve"> HYPERLINK \l _Toc26804 </w:instrText>
          </w:r>
          <w:r>
            <w:fldChar w:fldCharType="separate"/>
          </w:r>
          <w:r>
            <w:t>9.1 版权与合规</w:t>
          </w:r>
          <w:r>
            <w:tab/>
          </w:r>
          <w:r>
            <w:fldChar w:fldCharType="begin"/>
          </w:r>
          <w:r>
            <w:instrText xml:space="preserve"> PAGEREF _Toc26804 \h </w:instrText>
          </w:r>
          <w:r>
            <w:fldChar w:fldCharType="separate"/>
          </w:r>
          <w:r>
            <w:t>14</w:t>
          </w:r>
          <w:r>
            <w:fldChar w:fldCharType="end"/>
          </w:r>
          <w:r>
            <w:fldChar w:fldCharType="end"/>
          </w:r>
        </w:p>
        <w:p w14:paraId="5E5EF9E9">
          <w:pPr>
            <w:pStyle w:val="26"/>
            <w:tabs>
              <w:tab w:val="right" w:leader="dot" w:pos="9178"/>
            </w:tabs>
          </w:pPr>
          <w:r>
            <w:fldChar w:fldCharType="begin"/>
          </w:r>
          <w:r>
            <w:instrText xml:space="preserve"> HYPERLINK \l _Toc30306 </w:instrText>
          </w:r>
          <w:r>
            <w:fldChar w:fldCharType="separate"/>
          </w:r>
          <w:r>
            <w:t>第十章 社会价值与育人成果</w:t>
          </w:r>
          <w:r>
            <w:tab/>
          </w:r>
          <w:r>
            <w:fldChar w:fldCharType="begin"/>
          </w:r>
          <w:r>
            <w:instrText xml:space="preserve"> PAGEREF _Toc30306 \h </w:instrText>
          </w:r>
          <w:r>
            <w:fldChar w:fldCharType="separate"/>
          </w:r>
          <w:r>
            <w:t>14</w:t>
          </w:r>
          <w:r>
            <w:fldChar w:fldCharType="end"/>
          </w:r>
          <w:r>
            <w:fldChar w:fldCharType="end"/>
          </w:r>
        </w:p>
        <w:p w14:paraId="60200D47">
          <w:pPr>
            <w:pStyle w:val="26"/>
            <w:tabs>
              <w:tab w:val="right" w:leader="dot" w:pos="9178"/>
            </w:tabs>
          </w:pPr>
          <w:r>
            <w:fldChar w:fldCharType="begin"/>
          </w:r>
          <w:r>
            <w:instrText xml:space="preserve"> HYPERLINK \l _Toc21402 </w:instrText>
          </w:r>
          <w:r>
            <w:fldChar w:fldCharType="separate"/>
          </w:r>
          <w:r>
            <w:t>10.1 绿色低碳效应</w:t>
          </w:r>
          <w:r>
            <w:tab/>
          </w:r>
          <w:r>
            <w:fldChar w:fldCharType="begin"/>
          </w:r>
          <w:r>
            <w:instrText xml:space="preserve"> PAGEREF _Toc21402 \h </w:instrText>
          </w:r>
          <w:r>
            <w:fldChar w:fldCharType="separate"/>
          </w:r>
          <w:r>
            <w:t>14</w:t>
          </w:r>
          <w:r>
            <w:fldChar w:fldCharType="end"/>
          </w:r>
          <w:r>
            <w:fldChar w:fldCharType="end"/>
          </w:r>
        </w:p>
        <w:p w14:paraId="2E47B3BB">
          <w:pPr>
            <w:pStyle w:val="26"/>
            <w:tabs>
              <w:tab w:val="right" w:leader="dot" w:pos="9178"/>
            </w:tabs>
          </w:pPr>
          <w:r>
            <w:fldChar w:fldCharType="begin"/>
          </w:r>
          <w:r>
            <w:instrText xml:space="preserve"> HYPERLINK \l _Toc11929 </w:instrText>
          </w:r>
          <w:r>
            <w:fldChar w:fldCharType="separate"/>
          </w:r>
          <w:r>
            <w:t>10.2 产教融合</w:t>
          </w:r>
          <w:r>
            <w:tab/>
          </w:r>
          <w:r>
            <w:fldChar w:fldCharType="begin"/>
          </w:r>
          <w:r>
            <w:instrText xml:space="preserve"> PAGEREF _Toc11929 \h </w:instrText>
          </w:r>
          <w:r>
            <w:fldChar w:fldCharType="separate"/>
          </w:r>
          <w:r>
            <w:t>14</w:t>
          </w:r>
          <w:r>
            <w:fldChar w:fldCharType="end"/>
          </w:r>
          <w:r>
            <w:fldChar w:fldCharType="end"/>
          </w:r>
        </w:p>
        <w:p w14:paraId="2B84509F">
          <w:pPr>
            <w:pStyle w:val="26"/>
            <w:tabs>
              <w:tab w:val="right" w:leader="dot" w:pos="9178"/>
            </w:tabs>
          </w:pPr>
          <w:r>
            <w:fldChar w:fldCharType="begin"/>
          </w:r>
          <w:r>
            <w:instrText xml:space="preserve"> HYPERLINK \l _Toc30035 </w:instrText>
          </w:r>
          <w:r>
            <w:fldChar w:fldCharType="separate"/>
          </w:r>
          <w:r>
            <w:t>10.3 “无废校园”与书香校园</w:t>
          </w:r>
          <w:r>
            <w:tab/>
          </w:r>
          <w:r>
            <w:fldChar w:fldCharType="begin"/>
          </w:r>
          <w:r>
            <w:instrText xml:space="preserve"> PAGEREF _Toc30035 \h </w:instrText>
          </w:r>
          <w:r>
            <w:fldChar w:fldCharType="separate"/>
          </w:r>
          <w:r>
            <w:t>14</w:t>
          </w:r>
          <w:r>
            <w:fldChar w:fldCharType="end"/>
          </w:r>
          <w:r>
            <w:fldChar w:fldCharType="end"/>
          </w:r>
        </w:p>
        <w:p w14:paraId="33AA2FBC">
          <w:pPr>
            <w:pStyle w:val="26"/>
            <w:tabs>
              <w:tab w:val="right" w:leader="dot" w:pos="9178"/>
            </w:tabs>
          </w:pPr>
          <w:r>
            <w:fldChar w:fldCharType="begin"/>
          </w:r>
          <w:r>
            <w:instrText xml:space="preserve"> HYPERLINK \l _Toc19183 </w:instrText>
          </w:r>
          <w:r>
            <w:fldChar w:fldCharType="separate"/>
          </w:r>
          <w:r>
            <w:t>附录A 专利证书及软件著作权列表</w:t>
          </w:r>
          <w:r>
            <w:tab/>
          </w:r>
          <w:r>
            <w:fldChar w:fldCharType="begin"/>
          </w:r>
          <w:r>
            <w:instrText xml:space="preserve"> PAGEREF _Toc19183 \h </w:instrText>
          </w:r>
          <w:r>
            <w:fldChar w:fldCharType="separate"/>
          </w:r>
          <w:r>
            <w:t>14</w:t>
          </w:r>
          <w:r>
            <w:fldChar w:fldCharType="end"/>
          </w:r>
          <w:r>
            <w:fldChar w:fldCharType="end"/>
          </w:r>
        </w:p>
        <w:p w14:paraId="2CEA60DF">
          <w:pPr>
            <w:pStyle w:val="26"/>
            <w:tabs>
              <w:tab w:val="right" w:leader="dot" w:pos="9178"/>
            </w:tabs>
          </w:pPr>
          <w:r>
            <w:fldChar w:fldCharType="begin"/>
          </w:r>
          <w:r>
            <w:instrText xml:space="preserve"> HYPERLINK \l _Toc31215 </w:instrText>
          </w:r>
          <w:r>
            <w:fldChar w:fldCharType="separate"/>
          </w:r>
          <w:r>
            <w:t>附录B 团队荣誉与资质证书</w:t>
          </w:r>
          <w:r>
            <w:tab/>
          </w:r>
          <w:r>
            <w:fldChar w:fldCharType="begin"/>
          </w:r>
          <w:r>
            <w:instrText xml:space="preserve"> PAGEREF _Toc31215 \h </w:instrText>
          </w:r>
          <w:r>
            <w:fldChar w:fldCharType="separate"/>
          </w:r>
          <w:r>
            <w:t>14</w:t>
          </w:r>
          <w:r>
            <w:fldChar w:fldCharType="end"/>
          </w:r>
          <w:r>
            <w:fldChar w:fldCharType="end"/>
          </w:r>
        </w:p>
        <w:p w14:paraId="0C850A1A">
          <w:pPr>
            <w:pStyle w:val="26"/>
            <w:tabs>
              <w:tab w:val="right" w:leader="dot" w:pos="9178"/>
            </w:tabs>
          </w:pPr>
          <w:r>
            <w:fldChar w:fldCharType="begin"/>
          </w:r>
          <w:r>
            <w:instrText xml:space="preserve"> HYPERLINK \l _Toc5605 </w:instrText>
          </w:r>
          <w:r>
            <w:fldChar w:fldCharType="separate"/>
          </w:r>
          <w:r>
            <w:t>附录C 校企合作与后勤合作意向书</w:t>
          </w:r>
          <w:r>
            <w:tab/>
          </w:r>
          <w:r>
            <w:fldChar w:fldCharType="begin"/>
          </w:r>
          <w:r>
            <w:instrText xml:space="preserve"> PAGEREF _Toc5605 \h </w:instrText>
          </w:r>
          <w:r>
            <w:fldChar w:fldCharType="separate"/>
          </w:r>
          <w:r>
            <w:t>15</w:t>
          </w:r>
          <w:r>
            <w:fldChar w:fldCharType="end"/>
          </w:r>
          <w:r>
            <w:fldChar w:fldCharType="end"/>
          </w:r>
        </w:p>
        <w:p w14:paraId="6903F15B">
          <w:pPr>
            <w:pStyle w:val="31"/>
            <w:tabs>
              <w:tab w:val="right" w:leader="dot" w:pos="9178"/>
            </w:tabs>
          </w:pPr>
          <w:r>
            <w:fldChar w:fldCharType="begin"/>
          </w:r>
          <w:r>
            <w:instrText xml:space="preserve"> HYPERLINK \l _Toc24018 </w:instrText>
          </w:r>
          <w:r>
            <w:fldChar w:fldCharType="separate"/>
          </w:r>
          <w:r>
            <w:t>附录D 校园市场调研报告与问卷分析</w:t>
          </w:r>
          <w:r>
            <w:tab/>
          </w:r>
          <w:r>
            <w:fldChar w:fldCharType="begin"/>
          </w:r>
          <w:r>
            <w:instrText xml:space="preserve"> PAGEREF _Toc24018 \h </w:instrText>
          </w:r>
          <w:r>
            <w:fldChar w:fldCharType="separate"/>
          </w:r>
          <w:r>
            <w:t>15</w:t>
          </w:r>
          <w:r>
            <w:fldChar w:fldCharType="end"/>
          </w:r>
          <w:r>
            <w:fldChar w:fldCharType="end"/>
          </w:r>
        </w:p>
        <w:p w14:paraId="6A1C30FF">
          <w:pPr>
            <w:pStyle w:val="26"/>
            <w:tabs>
              <w:tab w:val="right" w:leader="dot" w:pos="9178"/>
            </w:tabs>
          </w:pPr>
          <w:r>
            <w:fldChar w:fldCharType="begin"/>
          </w:r>
          <w:r>
            <w:instrText xml:space="preserve"> HYPERLINK \l _Toc11920 </w:instrText>
          </w:r>
          <w:r>
            <w:fldChar w:fldCharType="separate"/>
          </w:r>
          <w:r>
            <w:t>项目一句话总结</w:t>
          </w:r>
          <w:r>
            <w:tab/>
          </w:r>
          <w:r>
            <w:fldChar w:fldCharType="begin"/>
          </w:r>
          <w:r>
            <w:instrText xml:space="preserve"> PAGEREF _Toc11920 \h </w:instrText>
          </w:r>
          <w:r>
            <w:fldChar w:fldCharType="separate"/>
          </w:r>
          <w:r>
            <w:t>15</w:t>
          </w:r>
          <w:r>
            <w:fldChar w:fldCharType="end"/>
          </w:r>
          <w:r>
            <w:fldChar w:fldCharType="end"/>
          </w:r>
        </w:p>
        <w:p w14:paraId="1FBA731C">
          <w:pPr>
            <w:rPr>
              <w:rFonts w:ascii="宋体" w:hAnsi="宋体" w:eastAsia="宋体" w:cstheme="minorBidi"/>
              <w:color w:val="auto"/>
              <w:kern w:val="0"/>
              <w:sz w:val="21"/>
              <w:szCs w:val="22"/>
              <w:lang w:val="en-US" w:eastAsia="en-US" w:bidi="ar-SA"/>
            </w:rPr>
          </w:pPr>
          <w:r>
            <w:fldChar w:fldCharType="end"/>
          </w:r>
          <w:bookmarkStart w:id="59" w:name="_GoBack"/>
          <w:bookmarkEnd w:id="59"/>
        </w:p>
      </w:sdtContent>
    </w:sdt>
    <w:p w14:paraId="0B6A1960">
      <w:pPr>
        <w:rPr>
          <w:rFonts w:ascii="宋体" w:hAnsi="宋体" w:eastAsia="宋体" w:cstheme="minorBidi"/>
          <w:color w:val="auto"/>
          <w:kern w:val="0"/>
          <w:sz w:val="21"/>
          <w:szCs w:val="22"/>
          <w:lang w:val="en-US" w:eastAsia="en-US" w:bidi="ar-SA"/>
        </w:rPr>
      </w:pPr>
    </w:p>
    <w:p w14:paraId="2F3EB31B">
      <w:pPr>
        <w:spacing w:before="0" w:after="160"/>
      </w:pPr>
      <w:r>
        <w:rPr>
          <w:rFonts w:ascii="黑体" w:hAnsi="黑体" w:eastAsia="黑体"/>
          <w:b/>
          <w:sz w:val="32"/>
        </w:rPr>
        <w:t>编写说明</w:t>
      </w:r>
    </w:p>
    <w:p w14:paraId="5984EDA4">
      <w:pPr>
        <w:spacing w:before="0" w:after="100" w:line="360" w:lineRule="auto"/>
        <w:ind w:firstLine="420"/>
      </w:pPr>
      <w:r>
        <w:rPr>
          <w:rFonts w:ascii="宋体" w:hAnsi="宋体"/>
          <w:b w:val="0"/>
          <w:sz w:val="21"/>
        </w:rPr>
        <w:t>本版本在保留原有项目定位和“大赛标准版”结构的基础上，对项目表述进行了商业计划书化处理。重点强化了“用户痛点—产品方案—商业模式—运营闭环—财务测算—风险控制—社会价值”的逻辑链。</w:t>
      </w:r>
    </w:p>
    <w:p w14:paraId="4CDD1CA0">
      <w:pPr>
        <w:spacing w:before="0" w:after="100" w:line="360" w:lineRule="auto"/>
        <w:ind w:firstLine="420"/>
      </w:pPr>
      <w:r>
        <w:rPr>
          <w:rFonts w:ascii="宋体" w:hAnsi="宋体"/>
          <w:b w:val="0"/>
          <w:sz w:val="21"/>
        </w:rPr>
        <w:t>同时，对原稿中部分尚未提供实证依据的内容进行了谨慎化处理。例如，将“全国市场规模</w:t>
      </w:r>
      <w:r>
        <w:rPr>
          <w:rFonts w:eastAsia="宋体"/>
          <w:b w:val="0"/>
          <w:sz w:val="21"/>
        </w:rPr>
        <w:t>50</w:t>
      </w:r>
      <w:r>
        <w:rPr>
          <w:rFonts w:ascii="宋体" w:hAnsi="宋体"/>
          <w:b w:val="0"/>
          <w:sz w:val="21"/>
        </w:rPr>
        <w:t>亿元”“每本书减排</w:t>
      </w:r>
      <w:r>
        <w:rPr>
          <w:rFonts w:eastAsia="宋体"/>
          <w:b w:val="0"/>
          <w:sz w:val="21"/>
        </w:rPr>
        <w:t>1.2kg”</w:t>
      </w:r>
      <w:r>
        <w:rPr>
          <w:rFonts w:ascii="宋体" w:hAnsi="宋体"/>
          <w:b w:val="0"/>
          <w:sz w:val="21"/>
        </w:rPr>
        <w:t>等需要权威数据或生命周期评价（</w:t>
      </w:r>
      <w:r>
        <w:rPr>
          <w:rFonts w:eastAsia="宋体"/>
          <w:b w:val="0"/>
          <w:sz w:val="21"/>
        </w:rPr>
        <w:t>LCA</w:t>
      </w:r>
      <w:r>
        <w:rPr>
          <w:rFonts w:ascii="宋体" w:hAnsi="宋体"/>
          <w:b w:val="0"/>
          <w:sz w:val="21"/>
        </w:rPr>
        <w:t>）支撑的数字改为“待调研验证”或“建立测算模型”；将“已实现</w:t>
      </w:r>
      <w:r>
        <w:rPr>
          <w:rFonts w:eastAsia="宋体"/>
          <w:b w:val="0"/>
          <w:sz w:val="21"/>
        </w:rPr>
        <w:t>AI</w:t>
      </w:r>
      <w:r>
        <w:rPr>
          <w:rFonts w:ascii="宋体" w:hAnsi="宋体"/>
          <w:b w:val="0"/>
          <w:sz w:val="21"/>
        </w:rPr>
        <w:t>算法、智能柜、教务系统无缝对接”等容易被评审追问的表述调整为“规划</w:t>
      </w:r>
      <w:r>
        <w:rPr>
          <w:rFonts w:eastAsia="宋体"/>
          <w:b w:val="0"/>
          <w:sz w:val="21"/>
        </w:rPr>
        <w:t>/</w:t>
      </w:r>
      <w:r>
        <w:rPr>
          <w:rFonts w:ascii="宋体" w:hAnsi="宋体"/>
          <w:b w:val="0"/>
          <w:sz w:val="21"/>
        </w:rPr>
        <w:t>拟建设</w:t>
      </w:r>
      <w:r>
        <w:rPr>
          <w:rFonts w:eastAsia="宋体"/>
          <w:b w:val="0"/>
          <w:sz w:val="21"/>
        </w:rPr>
        <w:t>/</w:t>
      </w:r>
      <w:r>
        <w:rPr>
          <w:rFonts w:ascii="宋体" w:hAnsi="宋体"/>
          <w:b w:val="0"/>
          <w:sz w:val="21"/>
        </w:rPr>
        <w:t>预留接口”。正式参赛时，应使用团队问卷、试运营数据、合作意向书和可靠公开资料补充这些证据。</w:t>
      </w:r>
    </w:p>
    <w:p w14:paraId="2716DB2D">
      <w:pPr>
        <w:pStyle w:val="3"/>
        <w:bidi w:val="0"/>
      </w:pPr>
      <w:bookmarkStart w:id="0" w:name="_Toc6774"/>
      <w:r>
        <w:t>第一章 执行摘要</w:t>
      </w:r>
      <w:bookmarkEnd w:id="0"/>
    </w:p>
    <w:p w14:paraId="00664259">
      <w:pPr>
        <w:pStyle w:val="4"/>
        <w:outlineLvl w:val="0"/>
      </w:pPr>
      <w:bookmarkStart w:id="1" w:name="_Toc3094"/>
      <w:r>
        <w:t>1.1 项目概述</w:t>
      </w:r>
      <w:bookmarkEnd w:id="1"/>
    </w:p>
    <w:p w14:paraId="51A4B053">
      <w:pPr>
        <w:spacing w:before="0" w:after="100" w:line="360" w:lineRule="auto"/>
        <w:ind w:firstLine="420"/>
      </w:pPr>
      <w:r>
        <w:rPr>
          <w:rFonts w:eastAsia="宋体"/>
          <w:b w:val="0"/>
          <w:sz w:val="21"/>
        </w:rPr>
        <w:t>“</w:t>
      </w:r>
      <w:r>
        <w:rPr>
          <w:rFonts w:ascii="宋体" w:hAnsi="宋体"/>
          <w:b w:val="0"/>
          <w:sz w:val="21"/>
        </w:rPr>
        <w:t>书环智循环”是一项面向高校校园的二手图书智能循环与生态服务项目。项目以学生闲置教材、专业书籍、考试辅导书和课外读物为主要资源，通过“线上平台</w:t>
      </w:r>
      <w:r>
        <w:rPr>
          <w:rFonts w:eastAsia="宋体"/>
          <w:b w:val="0"/>
          <w:sz w:val="21"/>
        </w:rPr>
        <w:t>+</w:t>
      </w:r>
      <w:r>
        <w:rPr>
          <w:rFonts w:ascii="宋体" w:hAnsi="宋体"/>
          <w:b w:val="0"/>
          <w:sz w:val="21"/>
        </w:rPr>
        <w:t>线下回收终端</w:t>
      </w:r>
      <w:r>
        <w:rPr>
          <w:rFonts w:eastAsia="宋体"/>
          <w:b w:val="0"/>
          <w:sz w:val="21"/>
        </w:rPr>
        <w:t>+</w:t>
      </w:r>
      <w:r>
        <w:rPr>
          <w:rFonts w:ascii="宋体" w:hAnsi="宋体"/>
          <w:b w:val="0"/>
          <w:sz w:val="21"/>
        </w:rPr>
        <w:t>校园仓储与配送”的方式，打通旧书回收、品相评估、分类整理、二手交易、以书换书和公益捐赠等环节，形成校园图书循环利用闭环。</w:t>
      </w:r>
    </w:p>
    <w:p w14:paraId="1C0C1596">
      <w:pPr>
        <w:spacing w:before="0" w:after="100" w:line="360" w:lineRule="auto"/>
        <w:ind w:firstLine="420"/>
      </w:pPr>
      <w:r>
        <w:rPr>
          <w:rFonts w:ascii="宋体" w:hAnsi="宋体"/>
          <w:b w:val="0"/>
          <w:sz w:val="21"/>
        </w:rPr>
        <w:t>项目重点解决毕业季旧书处理麻烦、传统废纸回收价值低、二手教材信息分散、学生购买新教材成本较高等问题。平台以</w:t>
      </w:r>
      <w:r>
        <w:rPr>
          <w:rFonts w:eastAsia="宋体"/>
          <w:b w:val="0"/>
          <w:sz w:val="21"/>
        </w:rPr>
        <w:t>ISBN/</w:t>
      </w:r>
      <w:r>
        <w:rPr>
          <w:rFonts w:ascii="宋体" w:hAnsi="宋体"/>
          <w:b w:val="0"/>
          <w:sz w:val="21"/>
        </w:rPr>
        <w:t>图书信息识别、规则化品相评价、专业与课程标签匹配为基础，逐步引入视觉识别和数据驱动的动态定价能力；在线下则根据试点规模配置回收点或智能回收柜，降低用户交付图书的时间成本。</w:t>
      </w:r>
    </w:p>
    <w:p w14:paraId="5CB7AA2D">
      <w:pPr>
        <w:pStyle w:val="4"/>
        <w:outlineLvl w:val="0"/>
      </w:pPr>
      <w:bookmarkStart w:id="2" w:name="_Toc14428"/>
      <w:r>
        <w:t>1.2 核心竞争力</w:t>
      </w:r>
      <w:bookmarkEnd w:id="2"/>
    </w:p>
    <w:p w14:paraId="752F5FDA">
      <w:pPr>
        <w:pStyle w:val="16"/>
        <w:numPr>
          <w:ilvl w:val="0"/>
          <w:numId w:val="3"/>
        </w:numPr>
        <w:spacing w:before="0" w:after="40" w:line="336" w:lineRule="auto"/>
        <w:contextualSpacing/>
      </w:pPr>
      <w:r>
        <w:rPr>
          <w:rFonts w:ascii="宋体" w:hAnsi="宋体"/>
          <w:sz w:val="21"/>
        </w:rPr>
        <w:t>校园垂直场景：围绕学校、学院、专业、年级和课程建立图书供需匹配关系，降低普通综合二手平台的信息筛选成本。</w:t>
      </w:r>
    </w:p>
    <w:p w14:paraId="105E945B">
      <w:pPr>
        <w:pStyle w:val="16"/>
        <w:numPr>
          <w:ilvl w:val="0"/>
          <w:numId w:val="3"/>
        </w:numPr>
        <w:spacing w:before="0" w:after="40" w:line="336" w:lineRule="auto"/>
        <w:contextualSpacing/>
      </w:pPr>
      <w:r>
        <w:rPr>
          <w:rFonts w:ascii="宋体" w:hAnsi="宋体"/>
          <w:sz w:val="21"/>
        </w:rPr>
        <w:t>线上线下一体化：线上完成发布、估价、搜索、预约和交易，线下完成回收、质检、仓储与交付。</w:t>
      </w:r>
    </w:p>
    <w:p w14:paraId="07011D46">
      <w:pPr>
        <w:pStyle w:val="16"/>
        <w:numPr>
          <w:ilvl w:val="0"/>
          <w:numId w:val="3"/>
        </w:numPr>
        <w:spacing w:before="0" w:after="40" w:line="336" w:lineRule="auto"/>
        <w:contextualSpacing/>
      </w:pPr>
      <w:r>
        <w:rPr>
          <w:rFonts w:ascii="宋体" w:hAnsi="宋体"/>
          <w:sz w:val="21"/>
        </w:rPr>
        <w:t>标准化品相评价：建立封面、内页、书写痕迹、缺页、破损等维度的统一评价规则，为后续</w:t>
      </w:r>
      <w:r>
        <w:rPr>
          <w:rFonts w:eastAsia="宋体"/>
          <w:sz w:val="21"/>
        </w:rPr>
        <w:t>AI</w:t>
      </w:r>
      <w:r>
        <w:rPr>
          <w:rFonts w:ascii="宋体" w:hAnsi="宋体"/>
          <w:sz w:val="21"/>
        </w:rPr>
        <w:t>视觉识别提供数据基础。</w:t>
      </w:r>
    </w:p>
    <w:p w14:paraId="04CE06A5">
      <w:pPr>
        <w:pStyle w:val="16"/>
        <w:numPr>
          <w:ilvl w:val="0"/>
          <w:numId w:val="3"/>
        </w:numPr>
        <w:spacing w:before="0" w:after="40" w:line="336" w:lineRule="auto"/>
        <w:contextualSpacing/>
      </w:pPr>
      <w:r>
        <w:rPr>
          <w:rFonts w:ascii="宋体" w:hAnsi="宋体"/>
          <w:sz w:val="21"/>
        </w:rPr>
        <w:t>循环利用机制：出售、交换、租赁和公益捐赠多路径并行，提高图书再次流通的概率。</w:t>
      </w:r>
    </w:p>
    <w:p w14:paraId="0D3F2800">
      <w:pPr>
        <w:pStyle w:val="16"/>
        <w:numPr>
          <w:ilvl w:val="0"/>
          <w:numId w:val="3"/>
        </w:numPr>
        <w:spacing w:before="0" w:after="40" w:line="336" w:lineRule="auto"/>
        <w:contextualSpacing/>
      </w:pPr>
      <w:r>
        <w:rPr>
          <w:rFonts w:ascii="宋体" w:hAnsi="宋体"/>
          <w:sz w:val="21"/>
        </w:rPr>
        <w:t>数据与生态壁垒：随着试点学校增加，沉淀不同专业、课程和学期的图书需求及交易数据，形成校园图书供需数据库。</w:t>
      </w:r>
    </w:p>
    <w:p w14:paraId="1B92CB6E">
      <w:pPr>
        <w:pStyle w:val="4"/>
        <w:outlineLvl w:val="0"/>
      </w:pPr>
      <w:bookmarkStart w:id="3" w:name="_Toc23115"/>
      <w:r>
        <w:t>1.3 市场机会</w:t>
      </w:r>
      <w:bookmarkEnd w:id="3"/>
    </w:p>
    <w:p w14:paraId="1C74B359">
      <w:pPr>
        <w:spacing w:before="0" w:after="100" w:line="360" w:lineRule="auto"/>
        <w:ind w:firstLine="420"/>
      </w:pPr>
      <w:r>
        <w:rPr>
          <w:rFonts w:ascii="宋体" w:hAnsi="宋体"/>
          <w:b w:val="0"/>
          <w:sz w:val="21"/>
        </w:rPr>
        <w:t>高校教材具有明显的周期性和专业性：同一课程在不同年级持续产生教材需求，而毕业生、转专业学生和课程结束后的学生又会形成稳定的闲置图书供给。现有综合二手平台能够完成交易，但缺少围绕校园专业课程、线下交付和集中回收进行深度优化的产品。项目因此选择“校园旧书循环”作为切入口，先验证单校商业闭环，再向同城及区域高校复制。</w:t>
      </w:r>
    </w:p>
    <w:p w14:paraId="061988FD">
      <w:pPr>
        <w:pStyle w:val="4"/>
        <w:outlineLvl w:val="0"/>
      </w:pPr>
      <w:bookmarkStart w:id="4" w:name="_Toc16809"/>
      <w:r>
        <w:t>1.4 财务与融资概要</w:t>
      </w:r>
      <w:bookmarkEnd w:id="4"/>
    </w:p>
    <w:p w14:paraId="7C412A3E">
      <w:pPr>
        <w:spacing w:before="0" w:after="100" w:line="360" w:lineRule="auto"/>
        <w:ind w:firstLine="420"/>
      </w:pPr>
      <w:r>
        <w:rPr>
          <w:rFonts w:ascii="宋体" w:hAnsi="宋体"/>
          <w:b w:val="0"/>
          <w:sz w:val="21"/>
        </w:rPr>
        <w:t>项目初期建议采用“轻资产验证、硬件逐步投入”的策略。第一阶段以小程序</w:t>
      </w:r>
      <w:r>
        <w:rPr>
          <w:rFonts w:eastAsia="宋体"/>
          <w:b w:val="0"/>
          <w:sz w:val="21"/>
        </w:rPr>
        <w:t>/APP</w:t>
      </w:r>
      <w:r>
        <w:rPr>
          <w:rFonts w:ascii="宋体" w:hAnsi="宋体"/>
          <w:b w:val="0"/>
          <w:sz w:val="21"/>
        </w:rPr>
        <w:t>原型、人工回收点和少量试点终端验证用户需求，不以大规模铺设智能柜作为启动前提；当单校回收量、复购率和库存周转等指标达到预设条件后，再扩大硬件投入。融资规模建议以</w:t>
      </w:r>
      <w:r>
        <w:rPr>
          <w:rFonts w:eastAsia="宋体"/>
          <w:b w:val="0"/>
          <w:sz w:val="21"/>
        </w:rPr>
        <w:t>30</w:t>
      </w:r>
      <w:r>
        <w:rPr>
          <w:rFonts w:ascii="宋体" w:hAnsi="宋体"/>
          <w:b w:val="0"/>
          <w:sz w:val="21"/>
        </w:rPr>
        <w:t>万元左右作为首轮目标区间，具体金额、股权比例和估值应结合团队现有资金、硬件成本、开发成本及实际试点数据确定。</w:t>
      </w:r>
    </w:p>
    <w:p w14:paraId="31882D0F">
      <w:pPr>
        <w:spacing w:before="0" w:after="100" w:line="360" w:lineRule="auto"/>
        <w:ind w:firstLine="420"/>
      </w:pPr>
      <w:r>
        <w:rPr>
          <w:rFonts w:ascii="宋体" w:hAnsi="宋体"/>
          <w:b w:val="0"/>
          <w:sz w:val="21"/>
        </w:rPr>
        <w:t>原稿提出“第</w:t>
      </w:r>
      <w:r>
        <w:rPr>
          <w:rFonts w:eastAsia="宋体"/>
          <w:b w:val="0"/>
          <w:sz w:val="21"/>
        </w:rPr>
        <w:t>18</w:t>
      </w:r>
      <w:r>
        <w:rPr>
          <w:rFonts w:ascii="宋体" w:hAnsi="宋体"/>
          <w:b w:val="0"/>
          <w:sz w:val="21"/>
        </w:rPr>
        <w:t>个月实现盈亏平衡”的目标可以保留为经营目标，但正式参赛时应通过月度现金流、固定成本、单位经济模型和敏感性分析进行证明，而不宜直接作为确定性结论。</w:t>
      </w:r>
    </w:p>
    <w:p w14:paraId="75A8B3F4">
      <w:pPr>
        <w:pStyle w:val="3"/>
      </w:pPr>
      <w:bookmarkStart w:id="5" w:name="_Toc8126"/>
      <w:r>
        <w:t>第二章 项目背景与市场分析</w:t>
      </w:r>
      <w:bookmarkEnd w:id="5"/>
    </w:p>
    <w:p w14:paraId="477715AF">
      <w:pPr>
        <w:pStyle w:val="4"/>
        <w:outlineLvl w:val="0"/>
      </w:pPr>
      <w:bookmarkStart w:id="6" w:name="_Toc5604"/>
      <w:r>
        <w:t>2.1 行业背景：循环经济与校园绿色消费</w:t>
      </w:r>
      <w:bookmarkEnd w:id="6"/>
    </w:p>
    <w:p w14:paraId="3994694F">
      <w:pPr>
        <w:spacing w:before="0" w:after="100" w:line="360" w:lineRule="auto"/>
        <w:ind w:firstLine="420"/>
      </w:pPr>
      <w:r>
        <w:rPr>
          <w:rFonts w:ascii="宋体" w:hAnsi="宋体"/>
          <w:b w:val="0"/>
          <w:sz w:val="21"/>
        </w:rPr>
        <w:t>高校校园具有人员集中、图书需求周期明显、专业课程体系稳定等特点，为二手教材循环提供了天然场景。每年毕业、转专业、课程更替和考试阶段都会产生阶段性图书供给与需求。当前部分学生仍采用闲置、低价出售或按废纸处理等方式处置图书，图书的剩余使用价值没有得到充分释放。</w:t>
      </w:r>
    </w:p>
    <w:p w14:paraId="704FA21E">
      <w:pPr>
        <w:spacing w:before="0" w:after="100" w:line="360" w:lineRule="auto"/>
        <w:ind w:firstLine="420"/>
      </w:pPr>
      <w:r>
        <w:rPr>
          <w:rFonts w:eastAsia="宋体"/>
          <w:b w:val="0"/>
          <w:sz w:val="21"/>
        </w:rPr>
        <w:t>“</w:t>
      </w:r>
      <w:r>
        <w:rPr>
          <w:rFonts w:ascii="宋体" w:hAnsi="宋体"/>
          <w:b w:val="0"/>
          <w:sz w:val="21"/>
        </w:rPr>
        <w:t>书环智循环”将图书视为可以持续流转的校园资源，而不仅是一次性消费品，通过数字化平台提升供需匹配效率，并以标准化质检和线下交付提升二手图书交易的确定性。</w:t>
      </w:r>
    </w:p>
    <w:p w14:paraId="415ACC0A">
      <w:pPr>
        <w:pStyle w:val="4"/>
        <w:outlineLvl w:val="0"/>
      </w:pPr>
      <w:bookmarkStart w:id="7" w:name="_Toc23412"/>
      <w:r>
        <w:t>2.2 政策环境</w:t>
      </w:r>
      <w:bookmarkEnd w:id="7"/>
    </w:p>
    <w:p w14:paraId="2FE5B06B">
      <w:pPr>
        <w:spacing w:before="0" w:after="100" w:line="360" w:lineRule="auto"/>
        <w:ind w:firstLine="420"/>
      </w:pPr>
      <w:r>
        <w:rPr>
          <w:rFonts w:ascii="宋体" w:hAnsi="宋体"/>
          <w:b w:val="0"/>
          <w:sz w:val="21"/>
        </w:rPr>
        <w:t>项目可结合“双碳”目标、资源循环利用、绿色校园和“无废城市</w:t>
      </w:r>
      <w:r>
        <w:rPr>
          <w:rFonts w:eastAsia="宋体"/>
          <w:b w:val="0"/>
          <w:sz w:val="21"/>
        </w:rPr>
        <w:t>/</w:t>
      </w:r>
      <w:r>
        <w:rPr>
          <w:rFonts w:ascii="宋体" w:hAnsi="宋体"/>
          <w:b w:val="0"/>
          <w:sz w:val="21"/>
        </w:rPr>
        <w:t>无废校园”等相关政策方向进行政策论证。正式参赛时，建议引用国家及教育主管部门的最新政策原文，并注明发布部门、文件名称、发布时间和具体条款，避免只使用口号式政策表述。</w:t>
      </w:r>
    </w:p>
    <w:p w14:paraId="4A09E684">
      <w:pPr>
        <w:pStyle w:val="4"/>
        <w:outlineLvl w:val="0"/>
      </w:pPr>
      <w:bookmarkStart w:id="8" w:name="_Toc18220"/>
      <w:r>
        <w:t>2.3 市场规模与增长趋势</w:t>
      </w:r>
      <w:bookmarkEnd w:id="8"/>
    </w:p>
    <w:p w14:paraId="0E5FC2C5">
      <w:pPr>
        <w:spacing w:before="0" w:after="100" w:line="360" w:lineRule="auto"/>
        <w:ind w:firstLine="420"/>
      </w:pPr>
      <w:r>
        <w:rPr>
          <w:rFonts w:ascii="宋体" w:hAnsi="宋体"/>
          <w:b w:val="0"/>
          <w:sz w:val="21"/>
        </w:rPr>
        <w:t>原稿提出“全国高校二手图书规模达</w:t>
      </w:r>
      <w:r>
        <w:rPr>
          <w:rFonts w:eastAsia="宋体"/>
          <w:b w:val="0"/>
          <w:sz w:val="21"/>
        </w:rPr>
        <w:t>50</w:t>
      </w:r>
      <w:r>
        <w:rPr>
          <w:rFonts w:ascii="宋体" w:hAnsi="宋体"/>
          <w:b w:val="0"/>
          <w:sz w:val="21"/>
        </w:rPr>
        <w:t>亿元</w:t>
      </w:r>
      <w:r>
        <w:rPr>
          <w:rFonts w:eastAsia="宋体"/>
          <w:b w:val="0"/>
          <w:sz w:val="21"/>
        </w:rPr>
        <w:t>/</w:t>
      </w:r>
      <w:r>
        <w:rPr>
          <w:rFonts w:ascii="宋体" w:hAnsi="宋体"/>
          <w:b w:val="0"/>
          <w:sz w:val="21"/>
        </w:rPr>
        <w:t>年”“全国超</w:t>
      </w:r>
      <w:r>
        <w:rPr>
          <w:rFonts w:eastAsia="宋体"/>
          <w:b w:val="0"/>
          <w:sz w:val="21"/>
        </w:rPr>
        <w:t>4000</w:t>
      </w:r>
      <w:r>
        <w:rPr>
          <w:rFonts w:ascii="宋体" w:hAnsi="宋体"/>
          <w:b w:val="0"/>
          <w:sz w:val="21"/>
        </w:rPr>
        <w:t>万在校大学生”等数字，但当前项目材料没有提供对应的统计来源，因此本版本不将其作为已验证事实。正式商业计划书建议采用“全国市场—目标区域市场—单校可服务市场”的三级测算方法。</w:t>
      </w:r>
    </w:p>
    <w:p w14:paraId="2110F9DC">
      <w:pPr>
        <w:spacing w:before="0" w:after="100" w:line="360" w:lineRule="auto"/>
        <w:ind w:firstLine="420"/>
      </w:pPr>
      <w:r>
        <w:rPr>
          <w:rFonts w:ascii="宋体" w:hAnsi="宋体"/>
          <w:b w:val="0"/>
          <w:sz w:val="21"/>
        </w:rPr>
        <w:t xml:space="preserve">测算公式可设计为：目标高校学生数 </w:t>
      </w:r>
      <w:r>
        <w:rPr>
          <w:rFonts w:eastAsia="宋体"/>
          <w:b w:val="0"/>
          <w:sz w:val="21"/>
        </w:rPr>
        <w:t xml:space="preserve">× </w:t>
      </w:r>
      <w:r>
        <w:rPr>
          <w:rFonts w:ascii="宋体" w:hAnsi="宋体"/>
          <w:b w:val="0"/>
          <w:sz w:val="21"/>
        </w:rPr>
        <w:t xml:space="preserve">年均可流转图书数量 </w:t>
      </w:r>
      <w:r>
        <w:rPr>
          <w:rFonts w:eastAsia="宋体"/>
          <w:b w:val="0"/>
          <w:sz w:val="21"/>
        </w:rPr>
        <w:t xml:space="preserve">× </w:t>
      </w:r>
      <w:r>
        <w:rPr>
          <w:rFonts w:ascii="宋体" w:hAnsi="宋体"/>
          <w:b w:val="0"/>
          <w:sz w:val="21"/>
        </w:rPr>
        <w:t xml:space="preserve">平均二手交易金额 </w:t>
      </w:r>
      <w:r>
        <w:rPr>
          <w:rFonts w:eastAsia="宋体"/>
          <w:b w:val="0"/>
          <w:sz w:val="21"/>
        </w:rPr>
        <w:t xml:space="preserve">× </w:t>
      </w:r>
      <w:r>
        <w:rPr>
          <w:rFonts w:ascii="宋体" w:hAnsi="宋体"/>
          <w:b w:val="0"/>
          <w:sz w:val="21"/>
        </w:rPr>
        <w:t xml:space="preserve">可服务渗透率 </w:t>
      </w:r>
      <w:r>
        <w:rPr>
          <w:rFonts w:eastAsia="宋体"/>
          <w:b w:val="0"/>
          <w:sz w:val="21"/>
        </w:rPr>
        <w:t xml:space="preserve">= </w:t>
      </w:r>
      <w:r>
        <w:rPr>
          <w:rFonts w:ascii="宋体" w:hAnsi="宋体"/>
          <w:b w:val="0"/>
          <w:sz w:val="21"/>
        </w:rPr>
        <w:t>可服务市场规模（</w:t>
      </w:r>
      <w:r>
        <w:rPr>
          <w:rFonts w:eastAsia="宋体"/>
          <w:b w:val="0"/>
          <w:sz w:val="21"/>
        </w:rPr>
        <w:t>SAM</w:t>
      </w:r>
      <w:r>
        <w:rPr>
          <w:rFonts w:ascii="宋体" w:hAnsi="宋体"/>
          <w:b w:val="0"/>
          <w:sz w:val="21"/>
        </w:rPr>
        <w:t>）。在此基础上，再以项目实际覆盖高校数量和单校月均交易额推算可获得市场规模（</w:t>
      </w:r>
      <w:r>
        <w:rPr>
          <w:rFonts w:eastAsia="宋体"/>
          <w:b w:val="0"/>
          <w:sz w:val="21"/>
        </w:rPr>
        <w:t>SOM</w:t>
      </w:r>
      <w:r>
        <w:rPr>
          <w:rFonts w:ascii="宋体" w:hAnsi="宋体"/>
          <w:b w:val="0"/>
          <w:sz w:val="21"/>
        </w:rPr>
        <w:t>）。</w:t>
      </w:r>
    </w:p>
    <w:p w14:paraId="666A3F24">
      <w:pPr>
        <w:pStyle w:val="4"/>
        <w:outlineLvl w:val="0"/>
      </w:pPr>
      <w:bookmarkStart w:id="9" w:name="_Toc29049"/>
      <w:r>
        <w:t>2.4 目标市场与用户痛点</w:t>
      </w:r>
      <w:bookmarkEnd w:id="9"/>
    </w:p>
    <w:tbl>
      <w:tblPr>
        <w:tblStyle w:val="37"/>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9"/>
        <w:gridCol w:w="3059"/>
        <w:gridCol w:w="3059"/>
      </w:tblGrid>
      <w:tr w14:paraId="1625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shd w:val="clear" w:color="auto" w:fill="D9EAF7"/>
            <w:vAlign w:val="center"/>
          </w:tcPr>
          <w:p w14:paraId="0643CE49">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用户群体</w:t>
            </w:r>
          </w:p>
        </w:tc>
        <w:tc>
          <w:tcPr>
            <w:tcW w:w="3059" w:type="dxa"/>
            <w:shd w:val="clear" w:color="auto" w:fill="D9EAF7"/>
            <w:vAlign w:val="center"/>
          </w:tcPr>
          <w:p w14:paraId="362E7B63">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主要痛点</w:t>
            </w:r>
          </w:p>
        </w:tc>
        <w:tc>
          <w:tcPr>
            <w:tcW w:w="3059" w:type="dxa"/>
            <w:shd w:val="clear" w:color="auto" w:fill="D9EAF7"/>
            <w:vAlign w:val="center"/>
          </w:tcPr>
          <w:p w14:paraId="48F3B7A4">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项目解决方案</w:t>
            </w:r>
          </w:p>
        </w:tc>
      </w:tr>
      <w:tr w14:paraId="2F07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5CD3D08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毕业生</w:t>
            </w:r>
            <w:r>
              <w:rPr>
                <w:rFonts w:eastAsia="宋体"/>
                <w:kern w:val="0"/>
                <w:sz w:val="18"/>
                <w:szCs w:val="22"/>
                <w:lang w:val="en-US" w:eastAsia="en-US" w:bidi="ar-SA"/>
              </w:rPr>
              <w:t>/</w:t>
            </w:r>
            <w:r>
              <w:rPr>
                <w:rFonts w:ascii="宋体" w:hAnsi="宋体"/>
                <w:kern w:val="0"/>
                <w:sz w:val="18"/>
                <w:szCs w:val="22"/>
                <w:lang w:val="en-US" w:eastAsia="en-US" w:bidi="ar-SA"/>
              </w:rPr>
              <w:t>闲置图书卖方</w:t>
            </w:r>
          </w:p>
        </w:tc>
        <w:tc>
          <w:tcPr>
            <w:tcW w:w="3059" w:type="dxa"/>
            <w:vAlign w:val="center"/>
          </w:tcPr>
          <w:p w14:paraId="107061B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图书多且重、发布麻烦、交易沟通成本高、废纸回收价格低</w:t>
            </w:r>
          </w:p>
        </w:tc>
        <w:tc>
          <w:tcPr>
            <w:tcW w:w="3059" w:type="dxa"/>
            <w:vAlign w:val="center"/>
          </w:tcPr>
          <w:p w14:paraId="659FDB58">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集中回收、预约上门</w:t>
            </w:r>
            <w:r>
              <w:rPr>
                <w:rFonts w:eastAsia="宋体"/>
                <w:kern w:val="0"/>
                <w:sz w:val="18"/>
                <w:szCs w:val="22"/>
                <w:lang w:val="en-US" w:eastAsia="en-US" w:bidi="ar-SA"/>
              </w:rPr>
              <w:t>/</w:t>
            </w:r>
            <w:r>
              <w:rPr>
                <w:rFonts w:ascii="宋体" w:hAnsi="宋体"/>
                <w:kern w:val="0"/>
                <w:sz w:val="18"/>
                <w:szCs w:val="22"/>
                <w:lang w:val="en-US" w:eastAsia="en-US" w:bidi="ar-SA"/>
              </w:rPr>
              <w:t>投柜、标准化估价</w:t>
            </w:r>
          </w:p>
        </w:tc>
      </w:tr>
      <w:tr w14:paraId="5ABA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0F926FF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低年级教材买方</w:t>
            </w:r>
          </w:p>
        </w:tc>
        <w:tc>
          <w:tcPr>
            <w:tcW w:w="3059" w:type="dxa"/>
            <w:vAlign w:val="center"/>
          </w:tcPr>
          <w:p w14:paraId="772DAFB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新书价格高、同专业二手书难找、信息分散</w:t>
            </w:r>
          </w:p>
        </w:tc>
        <w:tc>
          <w:tcPr>
            <w:tcW w:w="3059" w:type="dxa"/>
            <w:vAlign w:val="center"/>
          </w:tcPr>
          <w:p w14:paraId="0BD20E56">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按学校</w:t>
            </w:r>
            <w:r>
              <w:rPr>
                <w:rFonts w:eastAsia="宋体"/>
                <w:kern w:val="0"/>
                <w:sz w:val="18"/>
                <w:szCs w:val="22"/>
                <w:lang w:val="en-US" w:eastAsia="en-US" w:bidi="ar-SA"/>
              </w:rPr>
              <w:t>/</w:t>
            </w:r>
            <w:r>
              <w:rPr>
                <w:rFonts w:ascii="宋体" w:hAnsi="宋体"/>
                <w:kern w:val="0"/>
                <w:sz w:val="18"/>
                <w:szCs w:val="22"/>
                <w:lang w:val="en-US" w:eastAsia="en-US" w:bidi="ar-SA"/>
              </w:rPr>
              <w:t>专业</w:t>
            </w:r>
            <w:r>
              <w:rPr>
                <w:rFonts w:eastAsia="宋体"/>
                <w:kern w:val="0"/>
                <w:sz w:val="18"/>
                <w:szCs w:val="22"/>
                <w:lang w:val="en-US" w:eastAsia="en-US" w:bidi="ar-SA"/>
              </w:rPr>
              <w:t>/</w:t>
            </w:r>
            <w:r>
              <w:rPr>
                <w:rFonts w:ascii="宋体" w:hAnsi="宋体"/>
                <w:kern w:val="0"/>
                <w:sz w:val="18"/>
                <w:szCs w:val="22"/>
                <w:lang w:val="en-US" w:eastAsia="en-US" w:bidi="ar-SA"/>
              </w:rPr>
              <w:t>课程精准筛选</w:t>
            </w:r>
          </w:p>
        </w:tc>
      </w:tr>
      <w:tr w14:paraId="3DF0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0E1CE6B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考研</w:t>
            </w:r>
            <w:r>
              <w:rPr>
                <w:rFonts w:eastAsia="宋体"/>
                <w:kern w:val="0"/>
                <w:sz w:val="18"/>
                <w:szCs w:val="22"/>
                <w:lang w:val="en-US" w:eastAsia="en-US" w:bidi="ar-SA"/>
              </w:rPr>
              <w:t>/</w:t>
            </w:r>
            <w:r>
              <w:rPr>
                <w:rFonts w:ascii="宋体" w:hAnsi="宋体"/>
                <w:kern w:val="0"/>
                <w:sz w:val="18"/>
                <w:szCs w:val="22"/>
                <w:lang w:val="en-US" w:eastAsia="en-US" w:bidi="ar-SA"/>
              </w:rPr>
              <w:t>考证用户</w:t>
            </w:r>
          </w:p>
        </w:tc>
        <w:tc>
          <w:tcPr>
            <w:tcW w:w="3059" w:type="dxa"/>
            <w:vAlign w:val="center"/>
          </w:tcPr>
          <w:p w14:paraId="58C485F8">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资料阶段性需求明显，使用周期短</w:t>
            </w:r>
          </w:p>
        </w:tc>
        <w:tc>
          <w:tcPr>
            <w:tcW w:w="3059" w:type="dxa"/>
            <w:vAlign w:val="center"/>
          </w:tcPr>
          <w:p w14:paraId="0B6E2A4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二手销售</w:t>
            </w:r>
            <w:r>
              <w:rPr>
                <w:rFonts w:eastAsia="宋体"/>
                <w:kern w:val="0"/>
                <w:sz w:val="18"/>
                <w:szCs w:val="22"/>
                <w:lang w:val="en-US" w:eastAsia="en-US" w:bidi="ar-SA"/>
              </w:rPr>
              <w:t>+</w:t>
            </w:r>
            <w:r>
              <w:rPr>
                <w:rFonts w:ascii="宋体" w:hAnsi="宋体"/>
                <w:kern w:val="0"/>
                <w:sz w:val="18"/>
                <w:szCs w:val="22"/>
                <w:lang w:val="en-US" w:eastAsia="en-US" w:bidi="ar-SA"/>
              </w:rPr>
              <w:t>租赁服务</w:t>
            </w:r>
          </w:p>
        </w:tc>
      </w:tr>
      <w:tr w14:paraId="0DEA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13D389A1">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学校</w:t>
            </w:r>
            <w:r>
              <w:rPr>
                <w:rFonts w:eastAsia="宋体"/>
                <w:kern w:val="0"/>
                <w:sz w:val="18"/>
                <w:szCs w:val="22"/>
                <w:lang w:val="en-US" w:eastAsia="en-US" w:bidi="ar-SA"/>
              </w:rPr>
              <w:t>/</w:t>
            </w:r>
            <w:r>
              <w:rPr>
                <w:rFonts w:ascii="宋体" w:hAnsi="宋体"/>
                <w:kern w:val="0"/>
                <w:sz w:val="18"/>
                <w:szCs w:val="22"/>
                <w:lang w:val="en-US" w:eastAsia="en-US" w:bidi="ar-SA"/>
              </w:rPr>
              <w:t>学院</w:t>
            </w:r>
            <w:r>
              <w:rPr>
                <w:rFonts w:eastAsia="宋体"/>
                <w:kern w:val="0"/>
                <w:sz w:val="18"/>
                <w:szCs w:val="22"/>
                <w:lang w:val="en-US" w:eastAsia="en-US" w:bidi="ar-SA"/>
              </w:rPr>
              <w:t>/</w:t>
            </w:r>
            <w:r>
              <w:rPr>
                <w:rFonts w:ascii="宋体" w:hAnsi="宋体"/>
                <w:kern w:val="0"/>
                <w:sz w:val="18"/>
                <w:szCs w:val="22"/>
                <w:lang w:val="en-US" w:eastAsia="en-US" w:bidi="ar-SA"/>
              </w:rPr>
              <w:t>社团</w:t>
            </w:r>
          </w:p>
        </w:tc>
        <w:tc>
          <w:tcPr>
            <w:tcW w:w="3059" w:type="dxa"/>
            <w:vAlign w:val="center"/>
          </w:tcPr>
          <w:p w14:paraId="0D14F3E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毕业季回收组织成本高、环保活动缺少数字化工具</w:t>
            </w:r>
          </w:p>
        </w:tc>
        <w:tc>
          <w:tcPr>
            <w:tcW w:w="3059" w:type="dxa"/>
            <w:vAlign w:val="center"/>
          </w:tcPr>
          <w:p w14:paraId="3DAB543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提供集中回收、数据统计和公益活动支持</w:t>
            </w:r>
          </w:p>
        </w:tc>
      </w:tr>
    </w:tbl>
    <w:p w14:paraId="29F3C3CE"/>
    <w:p w14:paraId="617826DB">
      <w:pPr>
        <w:pStyle w:val="4"/>
        <w:outlineLvl w:val="0"/>
      </w:pPr>
      <w:bookmarkStart w:id="10" w:name="_Toc546"/>
      <w:r>
        <w:t>2.5 竞争格局与竞品分析</w:t>
      </w:r>
      <w:bookmarkEnd w:id="10"/>
    </w:p>
    <w:tbl>
      <w:tblPr>
        <w:tblStyle w:val="37"/>
        <w:tblW w:w="9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4"/>
        <w:gridCol w:w="2294"/>
        <w:gridCol w:w="2294"/>
        <w:gridCol w:w="2293"/>
      </w:tblGrid>
      <w:tr w14:paraId="02FA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shd w:val="clear" w:color="auto" w:fill="D9EAF7"/>
            <w:vAlign w:val="center"/>
          </w:tcPr>
          <w:p w14:paraId="13A9CD66">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竞品类型</w:t>
            </w:r>
          </w:p>
        </w:tc>
        <w:tc>
          <w:tcPr>
            <w:tcW w:w="2294" w:type="dxa"/>
            <w:shd w:val="clear" w:color="auto" w:fill="D9EAF7"/>
            <w:vAlign w:val="center"/>
          </w:tcPr>
          <w:p w14:paraId="26CE162E">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优势</w:t>
            </w:r>
          </w:p>
        </w:tc>
        <w:tc>
          <w:tcPr>
            <w:tcW w:w="2294" w:type="dxa"/>
            <w:shd w:val="clear" w:color="auto" w:fill="D9EAF7"/>
            <w:vAlign w:val="center"/>
          </w:tcPr>
          <w:p w14:paraId="19DE68F4">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局限</w:t>
            </w:r>
          </w:p>
        </w:tc>
        <w:tc>
          <w:tcPr>
            <w:tcW w:w="2293" w:type="dxa"/>
            <w:shd w:val="clear" w:color="auto" w:fill="D9EAF7"/>
            <w:vAlign w:val="center"/>
          </w:tcPr>
          <w:p w14:paraId="2AE53BA2">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本项目切入点</w:t>
            </w:r>
          </w:p>
        </w:tc>
      </w:tr>
      <w:tr w14:paraId="619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26A7A4C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综合二手平台</w:t>
            </w:r>
          </w:p>
        </w:tc>
        <w:tc>
          <w:tcPr>
            <w:tcW w:w="2294" w:type="dxa"/>
            <w:vAlign w:val="center"/>
          </w:tcPr>
          <w:p w14:paraId="54B0AB3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用户规模大、交易机制成熟</w:t>
            </w:r>
          </w:p>
        </w:tc>
        <w:tc>
          <w:tcPr>
            <w:tcW w:w="2294" w:type="dxa"/>
            <w:vAlign w:val="center"/>
          </w:tcPr>
          <w:p w14:paraId="1E2DC94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校园专业课程匹配弱，线下交付成本较高</w:t>
            </w:r>
          </w:p>
        </w:tc>
        <w:tc>
          <w:tcPr>
            <w:tcW w:w="2293" w:type="dxa"/>
            <w:vAlign w:val="center"/>
          </w:tcPr>
          <w:p w14:paraId="04AFB5C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校园垂直、专业</w:t>
            </w:r>
            <w:r>
              <w:rPr>
                <w:rFonts w:eastAsia="宋体"/>
                <w:kern w:val="0"/>
                <w:sz w:val="18"/>
                <w:szCs w:val="22"/>
                <w:lang w:val="en-US" w:eastAsia="en-US" w:bidi="ar-SA"/>
              </w:rPr>
              <w:t>/</w:t>
            </w:r>
            <w:r>
              <w:rPr>
                <w:rFonts w:ascii="宋体" w:hAnsi="宋体"/>
                <w:kern w:val="0"/>
                <w:sz w:val="18"/>
                <w:szCs w:val="22"/>
                <w:lang w:val="en-US" w:eastAsia="en-US" w:bidi="ar-SA"/>
              </w:rPr>
              <w:t>课程匹配、线下回收</w:t>
            </w:r>
          </w:p>
        </w:tc>
      </w:tr>
      <w:tr w14:paraId="7F3E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2241954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二手图书平台</w:t>
            </w:r>
          </w:p>
        </w:tc>
        <w:tc>
          <w:tcPr>
            <w:tcW w:w="2294" w:type="dxa"/>
            <w:vAlign w:val="center"/>
          </w:tcPr>
          <w:p w14:paraId="3B54D8C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图书分类和供应链能力较强</w:t>
            </w:r>
          </w:p>
        </w:tc>
        <w:tc>
          <w:tcPr>
            <w:tcW w:w="2294" w:type="dxa"/>
            <w:vAlign w:val="center"/>
          </w:tcPr>
          <w:p w14:paraId="4062B41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全国物流模式不适合所有校园即时需求</w:t>
            </w:r>
          </w:p>
        </w:tc>
        <w:tc>
          <w:tcPr>
            <w:tcW w:w="2293" w:type="dxa"/>
            <w:vAlign w:val="center"/>
          </w:tcPr>
          <w:p w14:paraId="2366361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同校即时流转、集中回收</w:t>
            </w:r>
          </w:p>
        </w:tc>
      </w:tr>
      <w:tr w14:paraId="2D7B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12D46D7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传统废品回收</w:t>
            </w:r>
          </w:p>
        </w:tc>
        <w:tc>
          <w:tcPr>
            <w:tcW w:w="2294" w:type="dxa"/>
            <w:vAlign w:val="center"/>
          </w:tcPr>
          <w:p w14:paraId="67B7DDE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回收方便、处理链条成熟</w:t>
            </w:r>
          </w:p>
        </w:tc>
        <w:tc>
          <w:tcPr>
            <w:tcW w:w="2294" w:type="dxa"/>
            <w:vAlign w:val="center"/>
          </w:tcPr>
          <w:p w14:paraId="390140B8">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按重量计价，无法体现教材剩余使用价值</w:t>
            </w:r>
          </w:p>
        </w:tc>
        <w:tc>
          <w:tcPr>
            <w:tcW w:w="2293" w:type="dxa"/>
            <w:vAlign w:val="center"/>
          </w:tcPr>
          <w:p w14:paraId="35F04EB6">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按书籍使用价值和需求进行分级</w:t>
            </w:r>
          </w:p>
        </w:tc>
      </w:tr>
      <w:tr w14:paraId="575C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3D39FB7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校园社群</w:t>
            </w:r>
            <w:r>
              <w:rPr>
                <w:rFonts w:eastAsia="宋体"/>
                <w:kern w:val="0"/>
                <w:sz w:val="18"/>
                <w:szCs w:val="22"/>
                <w:lang w:val="en-US" w:eastAsia="en-US" w:bidi="ar-SA"/>
              </w:rPr>
              <w:t>/</w:t>
            </w:r>
            <w:r>
              <w:rPr>
                <w:rFonts w:ascii="宋体" w:hAnsi="宋体"/>
                <w:kern w:val="0"/>
                <w:sz w:val="18"/>
                <w:szCs w:val="22"/>
                <w:lang w:val="en-US" w:eastAsia="en-US" w:bidi="ar-SA"/>
              </w:rPr>
              <w:t>个人交易</w:t>
            </w:r>
          </w:p>
        </w:tc>
        <w:tc>
          <w:tcPr>
            <w:tcW w:w="2294" w:type="dxa"/>
            <w:vAlign w:val="center"/>
          </w:tcPr>
          <w:p w14:paraId="504B912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距离近、沟通直接</w:t>
            </w:r>
          </w:p>
        </w:tc>
        <w:tc>
          <w:tcPr>
            <w:tcW w:w="2294" w:type="dxa"/>
            <w:vAlign w:val="center"/>
          </w:tcPr>
          <w:p w14:paraId="1FAB8D0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信息碎片化、缺少统一质检和售后</w:t>
            </w:r>
          </w:p>
        </w:tc>
        <w:tc>
          <w:tcPr>
            <w:tcW w:w="2293" w:type="dxa"/>
            <w:vAlign w:val="center"/>
          </w:tcPr>
          <w:p w14:paraId="4668012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平台化信息管理与标准化服务</w:t>
            </w:r>
          </w:p>
        </w:tc>
      </w:tr>
    </w:tbl>
    <w:p w14:paraId="6ACE0CE4"/>
    <w:p w14:paraId="29F3F1F9">
      <w:pPr>
        <w:pStyle w:val="4"/>
        <w:outlineLvl w:val="0"/>
      </w:pPr>
      <w:bookmarkStart w:id="11" w:name="_Toc22951"/>
      <w:r>
        <w:t>2.6 SWOT分析</w:t>
      </w:r>
      <w:bookmarkEnd w:id="11"/>
    </w:p>
    <w:tbl>
      <w:tblPr>
        <w:tblStyle w:val="37"/>
        <w:tblW w:w="9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89"/>
        <w:gridCol w:w="4588"/>
      </w:tblGrid>
      <w:tr w14:paraId="7B09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shd w:val="clear" w:color="auto" w:fill="D9EAF7"/>
            <w:vAlign w:val="center"/>
          </w:tcPr>
          <w:p w14:paraId="1482D504">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维度</w:t>
            </w:r>
          </w:p>
        </w:tc>
        <w:tc>
          <w:tcPr>
            <w:tcW w:w="4588" w:type="dxa"/>
            <w:shd w:val="clear" w:color="auto" w:fill="D9EAF7"/>
            <w:vAlign w:val="center"/>
          </w:tcPr>
          <w:p w14:paraId="1E0F0279">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主要内容</w:t>
            </w:r>
          </w:p>
        </w:tc>
      </w:tr>
      <w:tr w14:paraId="1128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1EE7284A">
            <w:pPr>
              <w:widowControl/>
              <w:spacing w:before="0" w:after="0" w:line="288" w:lineRule="auto"/>
              <w:jc w:val="center"/>
              <w:rPr>
                <w:kern w:val="0"/>
                <w:szCs w:val="22"/>
                <w:lang w:val="en-US" w:eastAsia="en-US" w:bidi="ar-SA"/>
              </w:rPr>
            </w:pPr>
            <w:r>
              <w:rPr>
                <w:rFonts w:eastAsia="宋体"/>
                <w:kern w:val="0"/>
                <w:sz w:val="18"/>
                <w:szCs w:val="22"/>
                <w:lang w:val="en-US" w:eastAsia="en-US" w:bidi="ar-SA"/>
              </w:rPr>
              <w:t xml:space="preserve">S </w:t>
            </w:r>
            <w:r>
              <w:rPr>
                <w:rFonts w:ascii="宋体" w:hAnsi="宋体"/>
                <w:kern w:val="0"/>
                <w:sz w:val="18"/>
                <w:szCs w:val="22"/>
                <w:lang w:val="en-US" w:eastAsia="en-US" w:bidi="ar-SA"/>
              </w:rPr>
              <w:t>优势</w:t>
            </w:r>
          </w:p>
        </w:tc>
        <w:tc>
          <w:tcPr>
            <w:tcW w:w="4588" w:type="dxa"/>
            <w:vAlign w:val="center"/>
          </w:tcPr>
          <w:p w14:paraId="2F27265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校园场景聚焦；线上线下一体化；可形成专业</w:t>
            </w:r>
            <w:r>
              <w:rPr>
                <w:rFonts w:eastAsia="宋体"/>
                <w:kern w:val="0"/>
                <w:sz w:val="18"/>
                <w:szCs w:val="22"/>
                <w:lang w:val="en-US" w:eastAsia="en-US" w:bidi="ar-SA"/>
              </w:rPr>
              <w:t>/</w:t>
            </w:r>
            <w:r>
              <w:rPr>
                <w:rFonts w:ascii="宋体" w:hAnsi="宋体"/>
                <w:kern w:val="0"/>
                <w:sz w:val="18"/>
                <w:szCs w:val="22"/>
                <w:lang w:val="en-US" w:eastAsia="en-US" w:bidi="ar-SA"/>
              </w:rPr>
              <w:t>课程图书数据库；团队具备学生场景理解能力</w:t>
            </w:r>
          </w:p>
        </w:tc>
      </w:tr>
      <w:tr w14:paraId="4ECB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22626C54">
            <w:pPr>
              <w:widowControl/>
              <w:spacing w:before="0" w:after="0" w:line="288" w:lineRule="auto"/>
              <w:jc w:val="center"/>
              <w:rPr>
                <w:kern w:val="0"/>
                <w:szCs w:val="22"/>
                <w:lang w:val="en-US" w:eastAsia="en-US" w:bidi="ar-SA"/>
              </w:rPr>
            </w:pPr>
            <w:r>
              <w:rPr>
                <w:rFonts w:eastAsia="宋体"/>
                <w:kern w:val="0"/>
                <w:sz w:val="18"/>
                <w:szCs w:val="22"/>
                <w:lang w:val="en-US" w:eastAsia="en-US" w:bidi="ar-SA"/>
              </w:rPr>
              <w:t xml:space="preserve">W </w:t>
            </w:r>
            <w:r>
              <w:rPr>
                <w:rFonts w:ascii="宋体" w:hAnsi="宋体"/>
                <w:kern w:val="0"/>
                <w:sz w:val="18"/>
                <w:szCs w:val="22"/>
                <w:lang w:val="en-US" w:eastAsia="en-US" w:bidi="ar-SA"/>
              </w:rPr>
              <w:t>劣势</w:t>
            </w:r>
          </w:p>
        </w:tc>
        <w:tc>
          <w:tcPr>
            <w:tcW w:w="4588" w:type="dxa"/>
            <w:vAlign w:val="center"/>
          </w:tcPr>
          <w:p w14:paraId="6A89D965">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前期需要建立图书库存；智能柜和仓储存在投入；淡旺季明显；品牌知名度较低</w:t>
            </w:r>
          </w:p>
        </w:tc>
      </w:tr>
      <w:tr w14:paraId="6581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A21C02C">
            <w:pPr>
              <w:widowControl/>
              <w:spacing w:before="0" w:after="0" w:line="288" w:lineRule="auto"/>
              <w:jc w:val="center"/>
              <w:rPr>
                <w:kern w:val="0"/>
                <w:szCs w:val="22"/>
                <w:lang w:val="en-US" w:eastAsia="en-US" w:bidi="ar-SA"/>
              </w:rPr>
            </w:pPr>
            <w:r>
              <w:rPr>
                <w:rFonts w:eastAsia="宋体"/>
                <w:kern w:val="0"/>
                <w:sz w:val="18"/>
                <w:szCs w:val="22"/>
                <w:lang w:val="en-US" w:eastAsia="en-US" w:bidi="ar-SA"/>
              </w:rPr>
              <w:t xml:space="preserve">O </w:t>
            </w:r>
            <w:r>
              <w:rPr>
                <w:rFonts w:ascii="宋体" w:hAnsi="宋体"/>
                <w:kern w:val="0"/>
                <w:sz w:val="18"/>
                <w:szCs w:val="22"/>
                <w:lang w:val="en-US" w:eastAsia="en-US" w:bidi="ar-SA"/>
              </w:rPr>
              <w:t>机会</w:t>
            </w:r>
          </w:p>
        </w:tc>
        <w:tc>
          <w:tcPr>
            <w:tcW w:w="4588" w:type="dxa"/>
            <w:vAlign w:val="center"/>
          </w:tcPr>
          <w:p w14:paraId="35ADC28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绿色校园和资源循环理念持续受到重视；高校二手教材需求具有稳定场景；校园数字化服务不断发展</w:t>
            </w:r>
          </w:p>
        </w:tc>
      </w:tr>
      <w:tr w14:paraId="00B1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9" w:type="dxa"/>
            <w:vAlign w:val="center"/>
          </w:tcPr>
          <w:p w14:paraId="38AFA61E">
            <w:pPr>
              <w:widowControl/>
              <w:spacing w:before="0" w:after="0" w:line="288" w:lineRule="auto"/>
              <w:jc w:val="center"/>
              <w:rPr>
                <w:kern w:val="0"/>
                <w:szCs w:val="22"/>
                <w:lang w:val="en-US" w:eastAsia="en-US" w:bidi="ar-SA"/>
              </w:rPr>
            </w:pPr>
            <w:r>
              <w:rPr>
                <w:rFonts w:eastAsia="宋体"/>
                <w:kern w:val="0"/>
                <w:sz w:val="18"/>
                <w:szCs w:val="22"/>
                <w:lang w:val="en-US" w:eastAsia="en-US" w:bidi="ar-SA"/>
              </w:rPr>
              <w:t xml:space="preserve">T </w:t>
            </w:r>
            <w:r>
              <w:rPr>
                <w:rFonts w:ascii="宋体" w:hAnsi="宋体"/>
                <w:kern w:val="0"/>
                <w:sz w:val="18"/>
                <w:szCs w:val="22"/>
                <w:lang w:val="en-US" w:eastAsia="en-US" w:bidi="ar-SA"/>
              </w:rPr>
              <w:t>威胁</w:t>
            </w:r>
          </w:p>
        </w:tc>
        <w:tc>
          <w:tcPr>
            <w:tcW w:w="4588" w:type="dxa"/>
            <w:vAlign w:val="center"/>
          </w:tcPr>
          <w:p w14:paraId="3FFD145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综合二手平台竞争；电子教材和数字阅读发展；校园准入和场地管理要求；盗版资料及版权合规风险</w:t>
            </w:r>
          </w:p>
        </w:tc>
      </w:tr>
    </w:tbl>
    <w:p w14:paraId="252EFF4E"/>
    <w:p w14:paraId="114E9C93">
      <w:pPr>
        <w:pStyle w:val="3"/>
      </w:pPr>
      <w:bookmarkStart w:id="12" w:name="_Toc19979"/>
      <w:r>
        <w:t>第三章 产品与技术</w:t>
      </w:r>
      <w:bookmarkEnd w:id="12"/>
    </w:p>
    <w:p w14:paraId="0ACDA80E">
      <w:pPr>
        <w:pStyle w:val="4"/>
        <w:outlineLvl w:val="0"/>
      </w:pPr>
      <w:bookmarkStart w:id="13" w:name="_Toc31159"/>
      <w:r>
        <w:t>3.1 产品概述与功能架构</w:t>
      </w:r>
      <w:bookmarkEnd w:id="13"/>
    </w:p>
    <w:p w14:paraId="44874E03">
      <w:pPr>
        <w:spacing w:before="0" w:after="100" w:line="360" w:lineRule="auto"/>
        <w:ind w:firstLine="420"/>
      </w:pPr>
      <w:r>
        <w:rPr>
          <w:rFonts w:ascii="宋体" w:hAnsi="宋体"/>
          <w:b w:val="0"/>
          <w:sz w:val="21"/>
        </w:rPr>
        <w:t>项目采用“一个用户平台、一个运营后台、多个线下回收终端”的产品架构。用户端负责图书发布与交易，运营后台负责库存、订单、质检和数据分析，线下终端负责低成本收书和交付。</w:t>
      </w:r>
    </w:p>
    <w:p w14:paraId="4BE5EE1C">
      <w:pPr>
        <w:pStyle w:val="5"/>
        <w:outlineLvl w:val="1"/>
      </w:pPr>
      <w:bookmarkStart w:id="14" w:name="_Toc12059"/>
      <w:r>
        <w:t>3.1.1 微信小程序/APP核心功能</w:t>
      </w:r>
      <w:bookmarkEnd w:id="14"/>
    </w:p>
    <w:p w14:paraId="645065A8">
      <w:pPr>
        <w:pStyle w:val="16"/>
        <w:numPr>
          <w:ilvl w:val="0"/>
          <w:numId w:val="3"/>
        </w:numPr>
        <w:spacing w:before="0" w:after="40" w:line="336" w:lineRule="auto"/>
        <w:contextualSpacing/>
      </w:pPr>
      <w:r>
        <w:rPr>
          <w:rFonts w:eastAsia="宋体"/>
          <w:sz w:val="21"/>
        </w:rPr>
        <w:t>ISBN/</w:t>
      </w:r>
      <w:r>
        <w:rPr>
          <w:rFonts w:ascii="宋体" w:hAnsi="宋体"/>
          <w:sz w:val="21"/>
        </w:rPr>
        <w:t>书名识别：扫码或输入</w:t>
      </w:r>
      <w:r>
        <w:rPr>
          <w:rFonts w:eastAsia="宋体"/>
          <w:sz w:val="21"/>
        </w:rPr>
        <w:t>ISBN</w:t>
      </w:r>
      <w:r>
        <w:rPr>
          <w:rFonts w:ascii="宋体" w:hAnsi="宋体"/>
          <w:sz w:val="21"/>
        </w:rPr>
        <w:t>，自动补全基础图书信息。</w:t>
      </w:r>
    </w:p>
    <w:p w14:paraId="30CB9992">
      <w:pPr>
        <w:pStyle w:val="16"/>
        <w:numPr>
          <w:ilvl w:val="0"/>
          <w:numId w:val="3"/>
        </w:numPr>
        <w:spacing w:before="0" w:after="40" w:line="336" w:lineRule="auto"/>
        <w:contextualSpacing/>
      </w:pPr>
      <w:r>
        <w:rPr>
          <w:rFonts w:ascii="宋体" w:hAnsi="宋体"/>
          <w:sz w:val="21"/>
        </w:rPr>
        <w:t>图书发布：上传封面、内页和品相信息，选择出售、交换、租赁或捐赠。</w:t>
      </w:r>
    </w:p>
    <w:p w14:paraId="26A9D018">
      <w:pPr>
        <w:pStyle w:val="16"/>
        <w:numPr>
          <w:ilvl w:val="0"/>
          <w:numId w:val="3"/>
        </w:numPr>
        <w:spacing w:before="0" w:after="40" w:line="336" w:lineRule="auto"/>
        <w:contextualSpacing/>
      </w:pPr>
      <w:r>
        <w:rPr>
          <w:rFonts w:ascii="宋体" w:hAnsi="宋体"/>
          <w:sz w:val="21"/>
        </w:rPr>
        <w:t>专业</w:t>
      </w:r>
      <w:r>
        <w:rPr>
          <w:rFonts w:eastAsia="宋体"/>
          <w:sz w:val="21"/>
        </w:rPr>
        <w:t>/</w:t>
      </w:r>
      <w:r>
        <w:rPr>
          <w:rFonts w:ascii="宋体" w:hAnsi="宋体"/>
          <w:sz w:val="21"/>
        </w:rPr>
        <w:t>课程筛选：按照学校、学院、专业、年级和课程进行检索。</w:t>
      </w:r>
    </w:p>
    <w:p w14:paraId="23BCE365">
      <w:pPr>
        <w:pStyle w:val="16"/>
        <w:numPr>
          <w:ilvl w:val="0"/>
          <w:numId w:val="3"/>
        </w:numPr>
        <w:spacing w:before="0" w:after="40" w:line="336" w:lineRule="auto"/>
        <w:contextualSpacing/>
      </w:pPr>
      <w:r>
        <w:rPr>
          <w:rFonts w:ascii="宋体" w:hAnsi="宋体"/>
          <w:sz w:val="21"/>
        </w:rPr>
        <w:t>回收预约：预约上门回收或选择校园回收点</w:t>
      </w:r>
      <w:r>
        <w:rPr>
          <w:rFonts w:eastAsia="宋体"/>
          <w:sz w:val="21"/>
        </w:rPr>
        <w:t>/</w:t>
      </w:r>
      <w:r>
        <w:rPr>
          <w:rFonts w:ascii="宋体" w:hAnsi="宋体"/>
          <w:sz w:val="21"/>
        </w:rPr>
        <w:t>智能柜。</w:t>
      </w:r>
    </w:p>
    <w:p w14:paraId="5DB4C9C4">
      <w:pPr>
        <w:pStyle w:val="16"/>
        <w:numPr>
          <w:ilvl w:val="0"/>
          <w:numId w:val="3"/>
        </w:numPr>
        <w:spacing w:before="0" w:after="40" w:line="336" w:lineRule="auto"/>
        <w:contextualSpacing/>
      </w:pPr>
      <w:r>
        <w:rPr>
          <w:rFonts w:ascii="宋体" w:hAnsi="宋体"/>
          <w:sz w:val="21"/>
        </w:rPr>
        <w:t>订单管理：支持购买、回收、换书、租赁等订单状态管理。</w:t>
      </w:r>
    </w:p>
    <w:p w14:paraId="71DEA7DE">
      <w:pPr>
        <w:pStyle w:val="16"/>
        <w:numPr>
          <w:ilvl w:val="0"/>
          <w:numId w:val="3"/>
        </w:numPr>
        <w:spacing w:before="0" w:after="40" w:line="336" w:lineRule="auto"/>
        <w:contextualSpacing/>
      </w:pPr>
      <w:r>
        <w:rPr>
          <w:rFonts w:ascii="宋体" w:hAnsi="宋体"/>
          <w:sz w:val="21"/>
        </w:rPr>
        <w:t>积分与碳账户：记录回收、捐赠和循环行为；碳减排数据在完成方法学验证后再正式对外发布。</w:t>
      </w:r>
    </w:p>
    <w:p w14:paraId="4B9FB89E">
      <w:pPr>
        <w:pStyle w:val="5"/>
        <w:outlineLvl w:val="1"/>
      </w:pPr>
      <w:bookmarkStart w:id="15" w:name="_Toc11495"/>
      <w:r>
        <w:t>3.1.2 校园智能回收柜硬件交互系统</w:t>
      </w:r>
      <w:bookmarkEnd w:id="15"/>
    </w:p>
    <w:p w14:paraId="0FD43D76">
      <w:pPr>
        <w:spacing w:before="0" w:after="100" w:line="360" w:lineRule="auto"/>
        <w:ind w:firstLine="420"/>
      </w:pPr>
      <w:r>
        <w:rPr>
          <w:rFonts w:ascii="宋体" w:hAnsi="宋体"/>
          <w:b w:val="0"/>
          <w:sz w:val="21"/>
        </w:rPr>
        <w:t>智能回收柜作为项目的线下增强模块，而不是项目启动的前置条件。试点阶段可采用人工回收点验证需求；当单校订单量达到预设阈值后，再部署小型智能回收柜。硬件主要包含身份</w:t>
      </w:r>
      <w:r>
        <w:rPr>
          <w:rFonts w:eastAsia="宋体"/>
          <w:b w:val="0"/>
          <w:sz w:val="21"/>
        </w:rPr>
        <w:t>/</w:t>
      </w:r>
      <w:r>
        <w:rPr>
          <w:rFonts w:ascii="宋体" w:hAnsi="宋体"/>
          <w:b w:val="0"/>
          <w:sz w:val="21"/>
        </w:rPr>
        <w:t>二维码识别、柜门控制、摄像头采集、库存状态监测、远程故障报警等功能。</w:t>
      </w:r>
    </w:p>
    <w:p w14:paraId="427B6375">
      <w:pPr>
        <w:pStyle w:val="4"/>
        <w:outlineLvl w:val="0"/>
      </w:pPr>
      <w:bookmarkStart w:id="16" w:name="_Toc17420"/>
      <w:r>
        <w:t>3.2 核心技术一：图书品相识别与动态定价</w:t>
      </w:r>
      <w:bookmarkEnd w:id="16"/>
    </w:p>
    <w:p w14:paraId="51406C05">
      <w:pPr>
        <w:spacing w:before="0" w:after="100" w:line="360" w:lineRule="auto"/>
        <w:ind w:firstLine="420"/>
      </w:pPr>
      <w:r>
        <w:rPr>
          <w:rFonts w:ascii="宋体" w:hAnsi="宋体"/>
          <w:b w:val="0"/>
          <w:sz w:val="21"/>
        </w:rPr>
        <w:t>项目规划建立“规则模型</w:t>
      </w:r>
      <w:r>
        <w:rPr>
          <w:rFonts w:eastAsia="宋体"/>
          <w:b w:val="0"/>
          <w:sz w:val="21"/>
        </w:rPr>
        <w:t>+</w:t>
      </w:r>
      <w:r>
        <w:rPr>
          <w:rFonts w:ascii="宋体" w:hAnsi="宋体"/>
          <w:b w:val="0"/>
          <w:sz w:val="21"/>
        </w:rPr>
        <w:t>视觉识别模型”的渐进式技术路线。第一阶段以人工制定的标准化品相规则为主，形成可解释的</w:t>
      </w:r>
      <w:r>
        <w:rPr>
          <w:rFonts w:eastAsia="宋体"/>
          <w:b w:val="0"/>
          <w:sz w:val="21"/>
        </w:rPr>
        <w:t>8</w:t>
      </w:r>
      <w:r>
        <w:rPr>
          <w:rFonts w:ascii="宋体" w:hAnsi="宋体"/>
          <w:b w:val="0"/>
          <w:sz w:val="21"/>
        </w:rPr>
        <w:t>成新、</w:t>
      </w:r>
      <w:r>
        <w:rPr>
          <w:rFonts w:eastAsia="宋体"/>
          <w:b w:val="0"/>
          <w:sz w:val="21"/>
        </w:rPr>
        <w:t>9</w:t>
      </w:r>
      <w:r>
        <w:rPr>
          <w:rFonts w:ascii="宋体" w:hAnsi="宋体"/>
          <w:b w:val="0"/>
          <w:sz w:val="21"/>
        </w:rPr>
        <w:t>成新等分级；第二阶段采集经授权的图书封面和内页图像，训练视觉识别模型，对褶皱、污渍、书写、缺页、封面破损等特征进行辅助识别；第三阶段结合历史成交价格、库存周转率、课程需求等数据，建立动态定价模型。</w:t>
      </w:r>
    </w:p>
    <w:p w14:paraId="591701D1">
      <w:pPr>
        <w:spacing w:before="0" w:after="100" w:line="360" w:lineRule="auto"/>
        <w:ind w:firstLine="420"/>
      </w:pPr>
      <w:r>
        <w:rPr>
          <w:rFonts w:ascii="宋体" w:hAnsi="宋体"/>
          <w:b w:val="0"/>
          <w:sz w:val="21"/>
        </w:rPr>
        <w:t>需要强调的是，项目当前将</w:t>
      </w:r>
      <w:r>
        <w:rPr>
          <w:rFonts w:eastAsia="宋体"/>
          <w:b w:val="0"/>
          <w:sz w:val="21"/>
        </w:rPr>
        <w:t>AI</w:t>
      </w:r>
      <w:r>
        <w:rPr>
          <w:rFonts w:ascii="宋体" w:hAnsi="宋体"/>
          <w:b w:val="0"/>
          <w:sz w:val="21"/>
        </w:rPr>
        <w:t>能力定位为研发规划与技术路线，而非在缺少训练数据和测试指标的情况下宣称算法已经达到商业化精度。正式参赛时，应补充数据集规模、标注方式、准确率</w:t>
      </w:r>
      <w:r>
        <w:rPr>
          <w:rFonts w:eastAsia="宋体"/>
          <w:b w:val="0"/>
          <w:sz w:val="21"/>
        </w:rPr>
        <w:t>/</w:t>
      </w:r>
      <w:r>
        <w:rPr>
          <w:rFonts w:ascii="宋体" w:hAnsi="宋体"/>
          <w:b w:val="0"/>
          <w:sz w:val="21"/>
        </w:rPr>
        <w:t>召回率、误差范围和人工复核机制。</w:t>
      </w:r>
    </w:p>
    <w:p w14:paraId="2CA46451">
      <w:pPr>
        <w:pStyle w:val="4"/>
        <w:outlineLvl w:val="0"/>
      </w:pPr>
      <w:bookmarkStart w:id="17" w:name="_Toc19892"/>
      <w:r>
        <w:t>3.3 核心技术二：智能硬件端与云端协同</w:t>
      </w:r>
      <w:bookmarkEnd w:id="17"/>
    </w:p>
    <w:p w14:paraId="5EB61CA4">
      <w:pPr>
        <w:spacing w:before="0" w:after="100" w:line="360" w:lineRule="auto"/>
        <w:ind w:firstLine="420"/>
      </w:pPr>
      <w:r>
        <w:rPr>
          <w:rFonts w:ascii="宋体" w:hAnsi="宋体"/>
          <w:b w:val="0"/>
          <w:sz w:val="21"/>
        </w:rPr>
        <w:t>智能柜通过物联网控制板连接云端平台，上传柜体状态、格口占用、存取记录和故障信息。后台可以根据库存和订单情况安排调拨，减少人工巡柜次数。系统设计应遵循最小权限、数据加密、日志审计和故障人工接管原则。</w:t>
      </w:r>
    </w:p>
    <w:p w14:paraId="7FD4F467">
      <w:pPr>
        <w:pStyle w:val="4"/>
        <w:outlineLvl w:val="0"/>
      </w:pPr>
      <w:bookmarkStart w:id="18" w:name="_Toc360"/>
      <w:r>
        <w:t>3.4 产品创新点与技术壁垒</w:t>
      </w:r>
      <w:bookmarkEnd w:id="18"/>
    </w:p>
    <w:p w14:paraId="3019B4D8">
      <w:pPr>
        <w:pStyle w:val="16"/>
        <w:numPr>
          <w:ilvl w:val="0"/>
          <w:numId w:val="3"/>
        </w:numPr>
        <w:spacing w:before="0" w:after="40" w:line="336" w:lineRule="auto"/>
        <w:contextualSpacing/>
      </w:pPr>
      <w:r>
        <w:rPr>
          <w:rFonts w:ascii="宋体" w:hAnsi="宋体"/>
          <w:sz w:val="21"/>
        </w:rPr>
        <w:t>场景创新：围绕校园教材生命周期构建回收、交易、交换、租赁和公益流转体系。</w:t>
      </w:r>
    </w:p>
    <w:p w14:paraId="2205641C">
      <w:pPr>
        <w:pStyle w:val="16"/>
        <w:numPr>
          <w:ilvl w:val="0"/>
          <w:numId w:val="3"/>
        </w:numPr>
        <w:spacing w:before="0" w:after="40" w:line="336" w:lineRule="auto"/>
        <w:contextualSpacing/>
      </w:pPr>
      <w:r>
        <w:rPr>
          <w:rFonts w:ascii="宋体" w:hAnsi="宋体"/>
          <w:sz w:val="21"/>
        </w:rPr>
        <w:t>数据创新：沉淀学校—专业—课程—教材—学期之间的供需关系。</w:t>
      </w:r>
    </w:p>
    <w:p w14:paraId="0AF461D0">
      <w:pPr>
        <w:pStyle w:val="16"/>
        <w:numPr>
          <w:ilvl w:val="0"/>
          <w:numId w:val="3"/>
        </w:numPr>
        <w:spacing w:before="0" w:after="40" w:line="336" w:lineRule="auto"/>
        <w:contextualSpacing/>
      </w:pPr>
      <w:r>
        <w:rPr>
          <w:rFonts w:ascii="宋体" w:hAnsi="宋体"/>
          <w:sz w:val="21"/>
        </w:rPr>
        <w:t>服务创新：线上平台与线下回收终端协同，降低图书交付成本。</w:t>
      </w:r>
    </w:p>
    <w:p w14:paraId="5DEAAC42">
      <w:pPr>
        <w:pStyle w:val="16"/>
        <w:numPr>
          <w:ilvl w:val="0"/>
          <w:numId w:val="3"/>
        </w:numPr>
        <w:spacing w:before="0" w:after="40" w:line="336" w:lineRule="auto"/>
        <w:contextualSpacing/>
      </w:pPr>
      <w:r>
        <w:rPr>
          <w:rFonts w:ascii="宋体" w:hAnsi="宋体"/>
          <w:sz w:val="21"/>
        </w:rPr>
        <w:t>技术创新：逐步形成品相识别、需求预测和动态定价能力。</w:t>
      </w:r>
    </w:p>
    <w:p w14:paraId="66E7AFD1">
      <w:pPr>
        <w:pStyle w:val="16"/>
        <w:numPr>
          <w:ilvl w:val="0"/>
          <w:numId w:val="3"/>
        </w:numPr>
        <w:spacing w:before="0" w:after="40" w:line="336" w:lineRule="auto"/>
        <w:contextualSpacing/>
      </w:pPr>
      <w:r>
        <w:rPr>
          <w:rFonts w:ascii="宋体" w:hAnsi="宋体"/>
          <w:sz w:val="21"/>
        </w:rPr>
        <w:t>运营壁垒：通过校内合作、校园大使和固定回收点形成稳定的线下网络。</w:t>
      </w:r>
    </w:p>
    <w:p w14:paraId="3E849A9F">
      <w:pPr>
        <w:pStyle w:val="4"/>
        <w:outlineLvl w:val="0"/>
      </w:pPr>
      <w:bookmarkStart w:id="19" w:name="_Toc31351"/>
      <w:r>
        <w:t>3.5 知识产权布局</w:t>
      </w:r>
      <w:bookmarkEnd w:id="19"/>
    </w:p>
    <w:p w14:paraId="34D3BFB4">
      <w:pPr>
        <w:pStyle w:val="16"/>
        <w:numPr>
          <w:ilvl w:val="0"/>
          <w:numId w:val="3"/>
        </w:numPr>
        <w:spacing w:before="0" w:after="40" w:line="336" w:lineRule="auto"/>
        <w:contextualSpacing/>
      </w:pPr>
      <w:r>
        <w:rPr>
          <w:rFonts w:ascii="宋体" w:hAnsi="宋体"/>
          <w:sz w:val="21"/>
        </w:rPr>
        <w:t>软件著作权：旧书智能回收与匹配系统、校园图书循环管理平台等。</w:t>
      </w:r>
    </w:p>
    <w:p w14:paraId="51FAB773">
      <w:pPr>
        <w:pStyle w:val="16"/>
        <w:numPr>
          <w:ilvl w:val="0"/>
          <w:numId w:val="3"/>
        </w:numPr>
        <w:spacing w:before="0" w:after="40" w:line="336" w:lineRule="auto"/>
        <w:contextualSpacing/>
      </w:pPr>
      <w:r>
        <w:rPr>
          <w:rFonts w:ascii="宋体" w:hAnsi="宋体"/>
          <w:sz w:val="21"/>
        </w:rPr>
        <w:t>实用新型专利：在智能回收柜形成具有独立结构创新的硬件方案后申请。</w:t>
      </w:r>
    </w:p>
    <w:p w14:paraId="0D9B1D2E">
      <w:pPr>
        <w:pStyle w:val="16"/>
        <w:numPr>
          <w:ilvl w:val="0"/>
          <w:numId w:val="3"/>
        </w:numPr>
        <w:spacing w:before="0" w:after="40" w:line="336" w:lineRule="auto"/>
        <w:contextualSpacing/>
      </w:pPr>
      <w:r>
        <w:rPr>
          <w:rFonts w:ascii="宋体" w:hAnsi="宋体"/>
          <w:sz w:val="21"/>
        </w:rPr>
        <w:t>算法</w:t>
      </w:r>
      <w:r>
        <w:rPr>
          <w:rFonts w:eastAsia="宋体"/>
          <w:sz w:val="21"/>
        </w:rPr>
        <w:t>/</w:t>
      </w:r>
      <w:r>
        <w:rPr>
          <w:rFonts w:ascii="宋体" w:hAnsi="宋体"/>
          <w:sz w:val="21"/>
        </w:rPr>
        <w:t>技术文档：对品相评价规则、匹配逻辑和数据处理流程形成技术文档和版本记录。</w:t>
      </w:r>
    </w:p>
    <w:p w14:paraId="600093FE">
      <w:pPr>
        <w:pStyle w:val="16"/>
        <w:numPr>
          <w:ilvl w:val="0"/>
          <w:numId w:val="3"/>
        </w:numPr>
        <w:spacing w:before="0" w:after="40" w:line="336" w:lineRule="auto"/>
        <w:contextualSpacing/>
      </w:pPr>
      <w:r>
        <w:rPr>
          <w:rFonts w:ascii="宋体" w:hAnsi="宋体"/>
          <w:sz w:val="21"/>
        </w:rPr>
        <w:t>商标：围绕“书环智循环”进行品牌保护，具体类别根据业务范围确定。</w:t>
      </w:r>
    </w:p>
    <w:p w14:paraId="5E719FD7">
      <w:pPr>
        <w:pStyle w:val="3"/>
      </w:pPr>
      <w:bookmarkStart w:id="20" w:name="_Toc52"/>
      <w:r>
        <w:t>第四章 商业模式</w:t>
      </w:r>
      <w:bookmarkEnd w:id="20"/>
    </w:p>
    <w:p w14:paraId="1EDF0F48">
      <w:pPr>
        <w:pStyle w:val="4"/>
        <w:outlineLvl w:val="0"/>
      </w:pPr>
      <w:bookmarkStart w:id="21" w:name="_Toc21486"/>
      <w:r>
        <w:t>4.1 价值主张</w:t>
      </w:r>
      <w:bookmarkEnd w:id="21"/>
    </w:p>
    <w:p w14:paraId="25640843">
      <w:pPr>
        <w:spacing w:before="0" w:after="100" w:line="360" w:lineRule="auto"/>
        <w:ind w:firstLine="420"/>
      </w:pPr>
      <w:r>
        <w:rPr>
          <w:rFonts w:ascii="宋体" w:hAnsi="宋体"/>
          <w:b w:val="0"/>
          <w:sz w:val="21"/>
        </w:rPr>
        <w:t>对卖方：提供方便、透明、低时间成本的旧书处理渠道；对买方：提供价格更低、距离更近、专业匹配更准确的二手教材；对学校：提供可量化的绿色校园和毕业季图书回收服务；对合作企业：提供校园品牌曝光及可验证的循环经济合作场景。</w:t>
      </w:r>
    </w:p>
    <w:p w14:paraId="094EA620">
      <w:pPr>
        <w:pStyle w:val="4"/>
        <w:outlineLvl w:val="0"/>
      </w:pPr>
      <w:bookmarkStart w:id="22" w:name="_Toc17116"/>
      <w:r>
        <w:t>4.2 盈利模式</w:t>
      </w:r>
      <w:bookmarkEnd w:id="22"/>
    </w:p>
    <w:p w14:paraId="5FEA1194">
      <w:pPr>
        <w:pStyle w:val="5"/>
        <w:outlineLvl w:val="1"/>
      </w:pPr>
      <w:bookmarkStart w:id="23" w:name="_Toc11503"/>
      <w:r>
        <w:t>4.2.1 二手图书买卖差价</w:t>
      </w:r>
      <w:bookmarkEnd w:id="23"/>
    </w:p>
    <w:p w14:paraId="71E73AA0">
      <w:pPr>
        <w:spacing w:before="0" w:after="100" w:line="360" w:lineRule="auto"/>
        <w:ind w:firstLine="420"/>
      </w:pPr>
      <w:r>
        <w:rPr>
          <w:rFonts w:ascii="宋体" w:hAnsi="宋体"/>
          <w:b w:val="0"/>
          <w:sz w:val="21"/>
        </w:rPr>
        <w:t>平台对具有二次流通价值的图书进行回收、质检和分级，再以合理价格销售。正式运营时应以实际回收率、售出率、库存周转天数和单本毛利验证该模式。</w:t>
      </w:r>
    </w:p>
    <w:p w14:paraId="1F7A6ED9">
      <w:pPr>
        <w:pStyle w:val="5"/>
        <w:outlineLvl w:val="1"/>
      </w:pPr>
      <w:bookmarkStart w:id="24" w:name="_Toc10893"/>
      <w:r>
        <w:t>4.2.2 教材/考研资料租赁服务</w:t>
      </w:r>
      <w:bookmarkEnd w:id="24"/>
    </w:p>
    <w:p w14:paraId="77765ADD">
      <w:pPr>
        <w:spacing w:before="0" w:after="100" w:line="360" w:lineRule="auto"/>
        <w:ind w:firstLine="420"/>
      </w:pPr>
      <w:r>
        <w:rPr>
          <w:rFonts w:ascii="宋体" w:hAnsi="宋体"/>
          <w:b w:val="0"/>
          <w:sz w:val="21"/>
        </w:rPr>
        <w:t>针对使用周期短、需求集中或价格较高的图书，可以探索按月或按学期租赁。租赁业务应同步设计押金、损坏赔偿、逾期处理和版权合规机制。</w:t>
      </w:r>
    </w:p>
    <w:p w14:paraId="6D379074">
      <w:pPr>
        <w:pStyle w:val="5"/>
        <w:outlineLvl w:val="1"/>
      </w:pPr>
      <w:bookmarkStart w:id="25" w:name="_Toc7388"/>
      <w:r>
        <w:t>4.2.3 校园广告与品牌赞助</w:t>
      </w:r>
      <w:bookmarkEnd w:id="25"/>
    </w:p>
    <w:p w14:paraId="00EF6524">
      <w:pPr>
        <w:spacing w:before="0" w:after="100" w:line="360" w:lineRule="auto"/>
        <w:ind w:firstLine="420"/>
      </w:pPr>
      <w:r>
        <w:rPr>
          <w:rFonts w:ascii="宋体" w:hAnsi="宋体"/>
          <w:b w:val="0"/>
          <w:sz w:val="21"/>
        </w:rPr>
        <w:t>当平台形成稳定用户规模后，可以在符合学校管理要求的前提下，为文具、打印、校园服务等品牌提供广告或活动赞助。广告业务不应成为项目早期的主要收入来源。</w:t>
      </w:r>
    </w:p>
    <w:p w14:paraId="5136A8A1">
      <w:pPr>
        <w:pStyle w:val="5"/>
        <w:outlineLvl w:val="1"/>
      </w:pPr>
      <w:bookmarkStart w:id="26" w:name="_Toc26727"/>
      <w:r>
        <w:t>4.2.4 ESG数据服务与企业合作</w:t>
      </w:r>
      <w:bookmarkEnd w:id="26"/>
    </w:p>
    <w:p w14:paraId="26D96FD8">
      <w:pPr>
        <w:spacing w:before="0" w:after="100" w:line="360" w:lineRule="auto"/>
        <w:ind w:firstLine="420"/>
      </w:pPr>
      <w:r>
        <w:rPr>
          <w:rFonts w:ascii="宋体" w:hAnsi="宋体"/>
          <w:b w:val="0"/>
          <w:sz w:val="21"/>
        </w:rPr>
        <w:t>平台可以记录图书流转数量、回收重量、公益捐赠数量等可核验指标，为企业校园公益或</w:t>
      </w:r>
      <w:r>
        <w:rPr>
          <w:rFonts w:eastAsia="宋体"/>
          <w:b w:val="0"/>
          <w:sz w:val="21"/>
        </w:rPr>
        <w:t>ESG</w:t>
      </w:r>
      <w:r>
        <w:rPr>
          <w:rFonts w:ascii="宋体" w:hAnsi="宋体"/>
          <w:b w:val="0"/>
          <w:sz w:val="21"/>
        </w:rPr>
        <w:t>项目提供数据化展示。具体碳减排量应依据明确的生命周期评价方法和可追溯数据计算后再对外使用。</w:t>
      </w:r>
    </w:p>
    <w:p w14:paraId="0D42A901">
      <w:pPr>
        <w:pStyle w:val="4"/>
        <w:outlineLvl w:val="0"/>
      </w:pPr>
      <w:bookmarkStart w:id="27" w:name="_Toc12944"/>
      <w:r>
        <w:t>4.3 定价策略</w:t>
      </w:r>
      <w:bookmarkEnd w:id="27"/>
    </w:p>
    <w:tbl>
      <w:tblPr>
        <w:tblStyle w:val="37"/>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9"/>
        <w:gridCol w:w="3059"/>
        <w:gridCol w:w="3059"/>
      </w:tblGrid>
      <w:tr w14:paraId="57DA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shd w:val="clear" w:color="auto" w:fill="D9EAF7"/>
            <w:vAlign w:val="center"/>
          </w:tcPr>
          <w:p w14:paraId="21B5A3FD">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业务</w:t>
            </w:r>
          </w:p>
        </w:tc>
        <w:tc>
          <w:tcPr>
            <w:tcW w:w="3059" w:type="dxa"/>
            <w:shd w:val="clear" w:color="auto" w:fill="D9EAF7"/>
            <w:vAlign w:val="center"/>
          </w:tcPr>
          <w:p w14:paraId="17E89C58">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定价逻辑</w:t>
            </w:r>
          </w:p>
        </w:tc>
        <w:tc>
          <w:tcPr>
            <w:tcW w:w="3059" w:type="dxa"/>
            <w:shd w:val="clear" w:color="auto" w:fill="D9EAF7"/>
            <w:vAlign w:val="center"/>
          </w:tcPr>
          <w:p w14:paraId="243D1218">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关键指标</w:t>
            </w:r>
          </w:p>
        </w:tc>
      </w:tr>
      <w:tr w14:paraId="37F0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35196EF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回收</w:t>
            </w:r>
          </w:p>
        </w:tc>
        <w:tc>
          <w:tcPr>
            <w:tcW w:w="3059" w:type="dxa"/>
            <w:vAlign w:val="center"/>
          </w:tcPr>
          <w:p w14:paraId="58456E1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根据品相、教材需求和库存情况综合定价</w:t>
            </w:r>
          </w:p>
        </w:tc>
        <w:tc>
          <w:tcPr>
            <w:tcW w:w="3059" w:type="dxa"/>
            <w:vAlign w:val="center"/>
          </w:tcPr>
          <w:p w14:paraId="15A1C08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单位回收成本</w:t>
            </w:r>
          </w:p>
        </w:tc>
      </w:tr>
      <w:tr w14:paraId="525C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225CD9B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销售</w:t>
            </w:r>
          </w:p>
        </w:tc>
        <w:tc>
          <w:tcPr>
            <w:tcW w:w="3059" w:type="dxa"/>
            <w:vAlign w:val="center"/>
          </w:tcPr>
          <w:p w14:paraId="42AC091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参考新书价格、品相、供需和历史成交</w:t>
            </w:r>
          </w:p>
        </w:tc>
        <w:tc>
          <w:tcPr>
            <w:tcW w:w="3059" w:type="dxa"/>
            <w:vAlign w:val="center"/>
          </w:tcPr>
          <w:p w14:paraId="1DA3492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单本毛利率</w:t>
            </w:r>
          </w:p>
        </w:tc>
      </w:tr>
      <w:tr w14:paraId="39D5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7C6AEAC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租赁</w:t>
            </w:r>
          </w:p>
        </w:tc>
        <w:tc>
          <w:tcPr>
            <w:tcW w:w="3059" w:type="dxa"/>
            <w:vAlign w:val="center"/>
          </w:tcPr>
          <w:p w14:paraId="46FD838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按月</w:t>
            </w:r>
            <w:r>
              <w:rPr>
                <w:rFonts w:eastAsia="宋体"/>
                <w:kern w:val="0"/>
                <w:sz w:val="18"/>
                <w:szCs w:val="22"/>
                <w:lang w:val="en-US" w:eastAsia="en-US" w:bidi="ar-SA"/>
              </w:rPr>
              <w:t>/</w:t>
            </w:r>
            <w:r>
              <w:rPr>
                <w:rFonts w:ascii="宋体" w:hAnsi="宋体"/>
                <w:kern w:val="0"/>
                <w:sz w:val="18"/>
                <w:szCs w:val="22"/>
                <w:lang w:val="en-US" w:eastAsia="en-US" w:bidi="ar-SA"/>
              </w:rPr>
              <w:t>学期计费</w:t>
            </w:r>
            <w:r>
              <w:rPr>
                <w:rFonts w:eastAsia="宋体"/>
                <w:kern w:val="0"/>
                <w:sz w:val="18"/>
                <w:szCs w:val="22"/>
                <w:lang w:val="en-US" w:eastAsia="en-US" w:bidi="ar-SA"/>
              </w:rPr>
              <w:t>+</w:t>
            </w:r>
            <w:r>
              <w:rPr>
                <w:rFonts w:ascii="宋体" w:hAnsi="宋体"/>
                <w:kern w:val="0"/>
                <w:sz w:val="18"/>
                <w:szCs w:val="22"/>
                <w:lang w:val="en-US" w:eastAsia="en-US" w:bidi="ar-SA"/>
              </w:rPr>
              <w:t>押金机制</w:t>
            </w:r>
          </w:p>
        </w:tc>
        <w:tc>
          <w:tcPr>
            <w:tcW w:w="3059" w:type="dxa"/>
            <w:vAlign w:val="center"/>
          </w:tcPr>
          <w:p w14:paraId="5AD27C7A">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租赁周转率</w:t>
            </w:r>
          </w:p>
        </w:tc>
      </w:tr>
      <w:tr w14:paraId="5703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386595E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上门回收</w:t>
            </w:r>
          </w:p>
        </w:tc>
        <w:tc>
          <w:tcPr>
            <w:tcW w:w="3059" w:type="dxa"/>
            <w:vAlign w:val="center"/>
          </w:tcPr>
          <w:p w14:paraId="0C338B8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基础服务免费或低价，按距离</w:t>
            </w:r>
            <w:r>
              <w:rPr>
                <w:rFonts w:eastAsia="宋体"/>
                <w:kern w:val="0"/>
                <w:sz w:val="18"/>
                <w:szCs w:val="22"/>
                <w:lang w:val="en-US" w:eastAsia="en-US" w:bidi="ar-SA"/>
              </w:rPr>
              <w:t>/</w:t>
            </w:r>
            <w:r>
              <w:rPr>
                <w:rFonts w:ascii="宋体" w:hAnsi="宋体"/>
                <w:kern w:val="0"/>
                <w:sz w:val="18"/>
                <w:szCs w:val="22"/>
                <w:lang w:val="en-US" w:eastAsia="en-US" w:bidi="ar-SA"/>
              </w:rPr>
              <w:t>数量设置规则</w:t>
            </w:r>
          </w:p>
        </w:tc>
        <w:tc>
          <w:tcPr>
            <w:tcW w:w="3059" w:type="dxa"/>
            <w:vAlign w:val="center"/>
          </w:tcPr>
          <w:p w14:paraId="2A333D3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单次履约成本</w:t>
            </w:r>
          </w:p>
        </w:tc>
      </w:tr>
      <w:tr w14:paraId="4CE1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0D8B556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广告</w:t>
            </w:r>
            <w:r>
              <w:rPr>
                <w:rFonts w:eastAsia="宋体"/>
                <w:kern w:val="0"/>
                <w:sz w:val="18"/>
                <w:szCs w:val="22"/>
                <w:lang w:val="en-US" w:eastAsia="en-US" w:bidi="ar-SA"/>
              </w:rPr>
              <w:t>/</w:t>
            </w:r>
            <w:r>
              <w:rPr>
                <w:rFonts w:ascii="宋体" w:hAnsi="宋体"/>
                <w:kern w:val="0"/>
                <w:sz w:val="18"/>
                <w:szCs w:val="22"/>
                <w:lang w:val="en-US" w:eastAsia="en-US" w:bidi="ar-SA"/>
              </w:rPr>
              <w:t>赞助</w:t>
            </w:r>
          </w:p>
        </w:tc>
        <w:tc>
          <w:tcPr>
            <w:tcW w:w="3059" w:type="dxa"/>
            <w:vAlign w:val="center"/>
          </w:tcPr>
          <w:p w14:paraId="0BCA6F61">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按曝光、活动场次或合作周期报价</w:t>
            </w:r>
          </w:p>
        </w:tc>
        <w:tc>
          <w:tcPr>
            <w:tcW w:w="3059" w:type="dxa"/>
            <w:vAlign w:val="center"/>
          </w:tcPr>
          <w:p w14:paraId="6D224F9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获客</w:t>
            </w:r>
            <w:r>
              <w:rPr>
                <w:rFonts w:eastAsia="宋体"/>
                <w:kern w:val="0"/>
                <w:sz w:val="18"/>
                <w:szCs w:val="22"/>
                <w:lang w:val="en-US" w:eastAsia="en-US" w:bidi="ar-SA"/>
              </w:rPr>
              <w:t>/</w:t>
            </w:r>
            <w:r>
              <w:rPr>
                <w:rFonts w:ascii="宋体" w:hAnsi="宋体"/>
                <w:kern w:val="0"/>
                <w:sz w:val="18"/>
                <w:szCs w:val="22"/>
                <w:lang w:val="en-US" w:eastAsia="en-US" w:bidi="ar-SA"/>
              </w:rPr>
              <w:t>广告收入</w:t>
            </w:r>
          </w:p>
        </w:tc>
      </w:tr>
    </w:tbl>
    <w:p w14:paraId="5B0C2D1D"/>
    <w:p w14:paraId="4891B8DB">
      <w:pPr>
        <w:pStyle w:val="4"/>
        <w:outlineLvl w:val="0"/>
      </w:pPr>
      <w:bookmarkStart w:id="28" w:name="_Toc20775"/>
      <w:r>
        <w:t>4.4 渠道与合作伙伴</w:t>
      </w:r>
      <w:bookmarkEnd w:id="28"/>
    </w:p>
    <w:p w14:paraId="3498C274">
      <w:pPr>
        <w:pStyle w:val="16"/>
        <w:numPr>
          <w:ilvl w:val="0"/>
          <w:numId w:val="3"/>
        </w:numPr>
        <w:spacing w:before="0" w:after="40" w:line="336" w:lineRule="auto"/>
        <w:contextualSpacing/>
      </w:pPr>
      <w:r>
        <w:rPr>
          <w:rFonts w:ascii="宋体" w:hAnsi="宋体"/>
          <w:sz w:val="21"/>
        </w:rPr>
        <w:t>高校：图书馆、后勤、团委、学生处、学院等。</w:t>
      </w:r>
    </w:p>
    <w:p w14:paraId="2982FB80">
      <w:pPr>
        <w:pStyle w:val="16"/>
        <w:numPr>
          <w:ilvl w:val="0"/>
          <w:numId w:val="3"/>
        </w:numPr>
        <w:spacing w:before="0" w:after="40" w:line="336" w:lineRule="auto"/>
        <w:contextualSpacing/>
      </w:pPr>
      <w:r>
        <w:rPr>
          <w:rFonts w:ascii="宋体" w:hAnsi="宋体"/>
          <w:sz w:val="21"/>
        </w:rPr>
        <w:t>校园组织：学生会、青年志愿者协会、环保社团。</w:t>
      </w:r>
    </w:p>
    <w:p w14:paraId="4E57104E">
      <w:pPr>
        <w:pStyle w:val="16"/>
        <w:numPr>
          <w:ilvl w:val="0"/>
          <w:numId w:val="3"/>
        </w:numPr>
        <w:spacing w:before="0" w:after="40" w:line="336" w:lineRule="auto"/>
        <w:contextualSpacing/>
      </w:pPr>
      <w:r>
        <w:rPr>
          <w:rFonts w:ascii="宋体" w:hAnsi="宋体"/>
          <w:sz w:val="21"/>
        </w:rPr>
        <w:t>供应链：二手图书渠道、包装材料、仓储和物流服务商。</w:t>
      </w:r>
    </w:p>
    <w:p w14:paraId="36B0E857">
      <w:pPr>
        <w:pStyle w:val="16"/>
        <w:numPr>
          <w:ilvl w:val="0"/>
          <w:numId w:val="3"/>
        </w:numPr>
        <w:spacing w:before="0" w:after="40" w:line="336" w:lineRule="auto"/>
        <w:contextualSpacing/>
      </w:pPr>
      <w:r>
        <w:rPr>
          <w:rFonts w:ascii="宋体" w:hAnsi="宋体"/>
          <w:sz w:val="21"/>
        </w:rPr>
        <w:t>公益机构：开展图书捐赠与公益阅读项目。</w:t>
      </w:r>
    </w:p>
    <w:p w14:paraId="678E2036">
      <w:pPr>
        <w:pStyle w:val="16"/>
        <w:numPr>
          <w:ilvl w:val="0"/>
          <w:numId w:val="3"/>
        </w:numPr>
        <w:spacing w:before="0" w:after="40" w:line="336" w:lineRule="auto"/>
        <w:contextualSpacing/>
      </w:pPr>
      <w:r>
        <w:rPr>
          <w:rFonts w:ascii="宋体" w:hAnsi="宋体"/>
          <w:sz w:val="21"/>
        </w:rPr>
        <w:t>企业：环保、文具、教育服务及校园消费品牌。</w:t>
      </w:r>
    </w:p>
    <w:p w14:paraId="7394BD9E">
      <w:pPr>
        <w:pStyle w:val="3"/>
      </w:pPr>
      <w:bookmarkStart w:id="29" w:name="_Toc13277"/>
      <w:r>
        <w:t>第五章 运营与营销策略</w:t>
      </w:r>
      <w:bookmarkEnd w:id="29"/>
    </w:p>
    <w:p w14:paraId="20E4D87D">
      <w:pPr>
        <w:pStyle w:val="4"/>
        <w:outlineLvl w:val="0"/>
      </w:pPr>
      <w:bookmarkStart w:id="30" w:name="_Toc28474"/>
      <w:r>
        <w:t>5.1 市场定位与目标客户细分</w:t>
      </w:r>
      <w:bookmarkEnd w:id="30"/>
    </w:p>
    <w:p w14:paraId="376953A3">
      <w:pPr>
        <w:spacing w:before="0" w:after="100" w:line="360" w:lineRule="auto"/>
        <w:ind w:firstLine="420"/>
      </w:pPr>
      <w:r>
        <w:rPr>
          <w:rFonts w:ascii="宋体" w:hAnsi="宋体"/>
          <w:b w:val="0"/>
          <w:sz w:val="21"/>
        </w:rPr>
        <w:t>项目初期定位为“高校校园二手教材与图书循环服务平台”，优先服务具有教材周期性需求的专业院校和学生规模较大的高校。先做单校深度运营，再复制到其他学校。</w:t>
      </w:r>
    </w:p>
    <w:p w14:paraId="419EFE42">
      <w:pPr>
        <w:pStyle w:val="4"/>
        <w:outlineLvl w:val="0"/>
      </w:pPr>
      <w:bookmarkStart w:id="31" w:name="_Toc30165"/>
      <w:r>
        <w:t>5.2 品牌推广与用户引流策略</w:t>
      </w:r>
      <w:bookmarkEnd w:id="31"/>
    </w:p>
    <w:p w14:paraId="6C798050">
      <w:pPr>
        <w:pStyle w:val="5"/>
        <w:outlineLvl w:val="9"/>
      </w:pPr>
      <w:r>
        <w:t>第一阶段：毕业季</w:t>
      </w:r>
    </w:p>
    <w:p w14:paraId="4C668E78">
      <w:pPr>
        <w:pStyle w:val="16"/>
        <w:numPr>
          <w:ilvl w:val="0"/>
          <w:numId w:val="3"/>
        </w:numPr>
        <w:spacing w:before="0" w:after="40" w:line="336" w:lineRule="auto"/>
        <w:contextualSpacing/>
      </w:pPr>
      <w:r>
        <w:rPr>
          <w:rFonts w:ascii="宋体" w:hAnsi="宋体"/>
          <w:sz w:val="21"/>
        </w:rPr>
        <w:t>开展“旧书换绿植</w:t>
      </w:r>
      <w:r>
        <w:rPr>
          <w:rFonts w:eastAsia="宋体"/>
          <w:sz w:val="21"/>
        </w:rPr>
        <w:t>/</w:t>
      </w:r>
      <w:r>
        <w:rPr>
          <w:rFonts w:ascii="宋体" w:hAnsi="宋体"/>
          <w:sz w:val="21"/>
        </w:rPr>
        <w:t>环保袋”等活动，建立首批图书库存。</w:t>
      </w:r>
    </w:p>
    <w:p w14:paraId="30033A86">
      <w:pPr>
        <w:pStyle w:val="16"/>
        <w:numPr>
          <w:ilvl w:val="0"/>
          <w:numId w:val="3"/>
        </w:numPr>
        <w:spacing w:before="0" w:after="40" w:line="336" w:lineRule="auto"/>
        <w:contextualSpacing/>
      </w:pPr>
      <w:r>
        <w:rPr>
          <w:rFonts w:ascii="宋体" w:hAnsi="宋体"/>
          <w:sz w:val="21"/>
        </w:rPr>
        <w:t>通过班级群、宿舍区和学院组织进行定向推广。</w:t>
      </w:r>
    </w:p>
    <w:p w14:paraId="66C08FE8">
      <w:pPr>
        <w:pStyle w:val="16"/>
        <w:numPr>
          <w:ilvl w:val="0"/>
          <w:numId w:val="3"/>
        </w:numPr>
        <w:spacing w:before="0" w:after="40" w:line="336" w:lineRule="auto"/>
        <w:contextualSpacing/>
      </w:pPr>
      <w:r>
        <w:rPr>
          <w:rFonts w:ascii="宋体" w:hAnsi="宋体"/>
          <w:sz w:val="21"/>
        </w:rPr>
        <w:t>重点解决“书多、搬运难、处理麻烦”的卖方问题。</w:t>
      </w:r>
    </w:p>
    <w:p w14:paraId="0804D1F6">
      <w:pPr>
        <w:pStyle w:val="5"/>
        <w:outlineLvl w:val="9"/>
      </w:pPr>
      <w:r>
        <w:t>第二阶段：开学季</w:t>
      </w:r>
    </w:p>
    <w:p w14:paraId="2D25979F">
      <w:pPr>
        <w:pStyle w:val="16"/>
        <w:numPr>
          <w:ilvl w:val="0"/>
          <w:numId w:val="3"/>
        </w:numPr>
        <w:spacing w:before="0" w:after="40" w:line="336" w:lineRule="auto"/>
        <w:contextualSpacing/>
      </w:pPr>
      <w:r>
        <w:rPr>
          <w:rFonts w:ascii="宋体" w:hAnsi="宋体"/>
          <w:sz w:val="21"/>
        </w:rPr>
        <w:t>推出专业教材组合包或课程教材推荐。</w:t>
      </w:r>
    </w:p>
    <w:p w14:paraId="011BF524">
      <w:pPr>
        <w:pStyle w:val="16"/>
        <w:numPr>
          <w:ilvl w:val="0"/>
          <w:numId w:val="3"/>
        </w:numPr>
        <w:spacing w:before="0" w:after="40" w:line="336" w:lineRule="auto"/>
        <w:contextualSpacing/>
      </w:pPr>
      <w:r>
        <w:rPr>
          <w:rFonts w:ascii="宋体" w:hAnsi="宋体"/>
          <w:sz w:val="21"/>
        </w:rPr>
        <w:t>通过新生群、学院迎新活动和校园社群进行推广。</w:t>
      </w:r>
    </w:p>
    <w:p w14:paraId="17D48511">
      <w:pPr>
        <w:pStyle w:val="16"/>
        <w:numPr>
          <w:ilvl w:val="0"/>
          <w:numId w:val="3"/>
        </w:numPr>
        <w:spacing w:before="0" w:after="40" w:line="336" w:lineRule="auto"/>
        <w:contextualSpacing/>
      </w:pPr>
      <w:r>
        <w:rPr>
          <w:rFonts w:ascii="宋体" w:hAnsi="宋体"/>
          <w:sz w:val="21"/>
        </w:rPr>
        <w:t>重点解决“新书贵、找二手书难”的买方问题。</w:t>
      </w:r>
    </w:p>
    <w:p w14:paraId="3FC2A133">
      <w:pPr>
        <w:pStyle w:val="5"/>
        <w:outlineLvl w:val="9"/>
      </w:pPr>
      <w:r>
        <w:t>第三阶段：日常运营</w:t>
      </w:r>
    </w:p>
    <w:p w14:paraId="4227D19E">
      <w:pPr>
        <w:pStyle w:val="16"/>
        <w:numPr>
          <w:ilvl w:val="0"/>
          <w:numId w:val="3"/>
        </w:numPr>
        <w:spacing w:before="0" w:after="40" w:line="336" w:lineRule="auto"/>
        <w:contextualSpacing/>
      </w:pPr>
      <w:r>
        <w:rPr>
          <w:rFonts w:ascii="宋体" w:hAnsi="宋体"/>
          <w:sz w:val="21"/>
        </w:rPr>
        <w:t>联合校团委、青协等组织开展图书漂流和公益捐赠。</w:t>
      </w:r>
    </w:p>
    <w:p w14:paraId="1483910E">
      <w:pPr>
        <w:pStyle w:val="16"/>
        <w:numPr>
          <w:ilvl w:val="0"/>
          <w:numId w:val="3"/>
        </w:numPr>
        <w:spacing w:before="0" w:after="40" w:line="336" w:lineRule="auto"/>
        <w:contextualSpacing/>
      </w:pPr>
      <w:r>
        <w:rPr>
          <w:rFonts w:ascii="宋体" w:hAnsi="宋体"/>
          <w:sz w:val="21"/>
        </w:rPr>
        <w:t>通过积分、邀请奖励和换书活动提高用户活跃度。</w:t>
      </w:r>
    </w:p>
    <w:p w14:paraId="4276C528">
      <w:pPr>
        <w:pStyle w:val="16"/>
        <w:numPr>
          <w:ilvl w:val="0"/>
          <w:numId w:val="3"/>
        </w:numPr>
        <w:spacing w:before="0" w:after="40" w:line="336" w:lineRule="auto"/>
        <w:contextualSpacing/>
      </w:pPr>
      <w:r>
        <w:rPr>
          <w:rFonts w:ascii="宋体" w:hAnsi="宋体"/>
          <w:sz w:val="21"/>
        </w:rPr>
        <w:t>围绕考研、考证、英语等级考试等节点建立专题书单。</w:t>
      </w:r>
    </w:p>
    <w:p w14:paraId="30BD8C2B">
      <w:pPr>
        <w:pStyle w:val="4"/>
        <w:outlineLvl w:val="0"/>
      </w:pPr>
      <w:bookmarkStart w:id="32" w:name="_Toc20061"/>
      <w:r>
        <w:t>5.3 运营计划与时间节点</w:t>
      </w:r>
      <w:bookmarkEnd w:id="32"/>
    </w:p>
    <w:tbl>
      <w:tblPr>
        <w:tblStyle w:val="37"/>
        <w:tblW w:w="9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4"/>
        <w:gridCol w:w="2294"/>
        <w:gridCol w:w="2294"/>
        <w:gridCol w:w="2293"/>
      </w:tblGrid>
      <w:tr w14:paraId="78A3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shd w:val="clear" w:color="auto" w:fill="D9EAF7"/>
            <w:vAlign w:val="center"/>
          </w:tcPr>
          <w:p w14:paraId="532F361C">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阶段</w:t>
            </w:r>
          </w:p>
        </w:tc>
        <w:tc>
          <w:tcPr>
            <w:tcW w:w="2294" w:type="dxa"/>
            <w:shd w:val="clear" w:color="auto" w:fill="D9EAF7"/>
            <w:vAlign w:val="center"/>
          </w:tcPr>
          <w:p w14:paraId="38CEE441">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周期</w:t>
            </w:r>
          </w:p>
        </w:tc>
        <w:tc>
          <w:tcPr>
            <w:tcW w:w="2294" w:type="dxa"/>
            <w:shd w:val="clear" w:color="auto" w:fill="D9EAF7"/>
            <w:vAlign w:val="center"/>
          </w:tcPr>
          <w:p w14:paraId="56E41806">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重点任务</w:t>
            </w:r>
          </w:p>
        </w:tc>
        <w:tc>
          <w:tcPr>
            <w:tcW w:w="2293" w:type="dxa"/>
            <w:shd w:val="clear" w:color="auto" w:fill="D9EAF7"/>
            <w:vAlign w:val="center"/>
          </w:tcPr>
          <w:p w14:paraId="5E9457EA">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核心指标</w:t>
            </w:r>
          </w:p>
        </w:tc>
      </w:tr>
      <w:tr w14:paraId="233D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38F35DC6">
            <w:pPr>
              <w:widowControl/>
              <w:spacing w:before="0" w:after="0" w:line="288" w:lineRule="auto"/>
              <w:jc w:val="center"/>
              <w:rPr>
                <w:kern w:val="0"/>
                <w:szCs w:val="22"/>
                <w:lang w:val="en-US" w:eastAsia="en-US" w:bidi="ar-SA"/>
              </w:rPr>
            </w:pPr>
            <w:r>
              <w:rPr>
                <w:rFonts w:eastAsia="宋体"/>
                <w:kern w:val="0"/>
                <w:sz w:val="18"/>
                <w:szCs w:val="22"/>
                <w:lang w:val="en-US" w:eastAsia="en-US" w:bidi="ar-SA"/>
              </w:rPr>
              <w:t>MVP</w:t>
            </w:r>
            <w:r>
              <w:rPr>
                <w:rFonts w:ascii="宋体" w:hAnsi="宋体"/>
                <w:kern w:val="0"/>
                <w:sz w:val="18"/>
                <w:szCs w:val="22"/>
                <w:lang w:val="en-US" w:eastAsia="en-US" w:bidi="ar-SA"/>
              </w:rPr>
              <w:t>验证</w:t>
            </w:r>
          </w:p>
        </w:tc>
        <w:tc>
          <w:tcPr>
            <w:tcW w:w="2294" w:type="dxa"/>
            <w:vAlign w:val="center"/>
          </w:tcPr>
          <w:p w14:paraId="5B3145AC">
            <w:pPr>
              <w:widowControl/>
              <w:spacing w:before="0" w:after="0" w:line="288" w:lineRule="auto"/>
              <w:jc w:val="center"/>
              <w:rPr>
                <w:kern w:val="0"/>
                <w:szCs w:val="22"/>
                <w:lang w:val="en-US" w:eastAsia="en-US" w:bidi="ar-SA"/>
              </w:rPr>
            </w:pPr>
            <w:r>
              <w:rPr>
                <w:rFonts w:eastAsia="宋体"/>
                <w:kern w:val="0"/>
                <w:sz w:val="18"/>
                <w:szCs w:val="22"/>
                <w:lang w:val="en-US" w:eastAsia="en-US" w:bidi="ar-SA"/>
              </w:rPr>
              <w:t>0—3</w:t>
            </w:r>
            <w:r>
              <w:rPr>
                <w:rFonts w:ascii="宋体" w:hAnsi="宋体"/>
                <w:kern w:val="0"/>
                <w:sz w:val="18"/>
                <w:szCs w:val="22"/>
                <w:lang w:val="en-US" w:eastAsia="en-US" w:bidi="ar-SA"/>
              </w:rPr>
              <w:t>个月</w:t>
            </w:r>
          </w:p>
        </w:tc>
        <w:tc>
          <w:tcPr>
            <w:tcW w:w="2294" w:type="dxa"/>
            <w:vAlign w:val="center"/>
          </w:tcPr>
          <w:p w14:paraId="5CB3329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完成小程序原型、问卷、人工回收点</w:t>
            </w:r>
          </w:p>
        </w:tc>
        <w:tc>
          <w:tcPr>
            <w:tcW w:w="2293" w:type="dxa"/>
            <w:vAlign w:val="center"/>
          </w:tcPr>
          <w:p w14:paraId="2445DC9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首批注册用户、回收量、成交量</w:t>
            </w:r>
          </w:p>
        </w:tc>
      </w:tr>
      <w:tr w14:paraId="01D3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269406D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单校试点</w:t>
            </w:r>
          </w:p>
        </w:tc>
        <w:tc>
          <w:tcPr>
            <w:tcW w:w="2294" w:type="dxa"/>
            <w:vAlign w:val="center"/>
          </w:tcPr>
          <w:p w14:paraId="6EE7FCD1">
            <w:pPr>
              <w:widowControl/>
              <w:spacing w:before="0" w:after="0" w:line="288" w:lineRule="auto"/>
              <w:jc w:val="center"/>
              <w:rPr>
                <w:kern w:val="0"/>
                <w:szCs w:val="22"/>
                <w:lang w:val="en-US" w:eastAsia="en-US" w:bidi="ar-SA"/>
              </w:rPr>
            </w:pPr>
            <w:r>
              <w:rPr>
                <w:rFonts w:eastAsia="宋体"/>
                <w:kern w:val="0"/>
                <w:sz w:val="18"/>
                <w:szCs w:val="22"/>
                <w:lang w:val="en-US" w:eastAsia="en-US" w:bidi="ar-SA"/>
              </w:rPr>
              <w:t>4—9</w:t>
            </w:r>
            <w:r>
              <w:rPr>
                <w:rFonts w:ascii="宋体" w:hAnsi="宋体"/>
                <w:kern w:val="0"/>
                <w:sz w:val="18"/>
                <w:szCs w:val="22"/>
                <w:lang w:val="en-US" w:eastAsia="en-US" w:bidi="ar-SA"/>
              </w:rPr>
              <w:t>个月</w:t>
            </w:r>
          </w:p>
        </w:tc>
        <w:tc>
          <w:tcPr>
            <w:tcW w:w="2294" w:type="dxa"/>
            <w:vAlign w:val="center"/>
          </w:tcPr>
          <w:p w14:paraId="24ABABF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完善回收与交易流程，建立库存体系</w:t>
            </w:r>
          </w:p>
        </w:tc>
        <w:tc>
          <w:tcPr>
            <w:tcW w:w="2293" w:type="dxa"/>
            <w:vAlign w:val="center"/>
          </w:tcPr>
          <w:p w14:paraId="784BB76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月交易额、复购率、库存周转</w:t>
            </w:r>
          </w:p>
        </w:tc>
      </w:tr>
      <w:tr w14:paraId="20AF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5637D0F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校内扩张</w:t>
            </w:r>
          </w:p>
        </w:tc>
        <w:tc>
          <w:tcPr>
            <w:tcW w:w="2294" w:type="dxa"/>
            <w:vAlign w:val="center"/>
          </w:tcPr>
          <w:p w14:paraId="1F73D99A">
            <w:pPr>
              <w:widowControl/>
              <w:spacing w:before="0" w:after="0" w:line="288" w:lineRule="auto"/>
              <w:jc w:val="center"/>
              <w:rPr>
                <w:kern w:val="0"/>
                <w:szCs w:val="22"/>
                <w:lang w:val="en-US" w:eastAsia="en-US" w:bidi="ar-SA"/>
              </w:rPr>
            </w:pPr>
            <w:r>
              <w:rPr>
                <w:rFonts w:eastAsia="宋体"/>
                <w:kern w:val="0"/>
                <w:sz w:val="18"/>
                <w:szCs w:val="22"/>
                <w:lang w:val="en-US" w:eastAsia="en-US" w:bidi="ar-SA"/>
              </w:rPr>
              <w:t>10—18</w:t>
            </w:r>
            <w:r>
              <w:rPr>
                <w:rFonts w:ascii="宋体" w:hAnsi="宋体"/>
                <w:kern w:val="0"/>
                <w:sz w:val="18"/>
                <w:szCs w:val="22"/>
                <w:lang w:val="en-US" w:eastAsia="en-US" w:bidi="ar-SA"/>
              </w:rPr>
              <w:t>个月</w:t>
            </w:r>
          </w:p>
        </w:tc>
        <w:tc>
          <w:tcPr>
            <w:tcW w:w="2294" w:type="dxa"/>
            <w:vAlign w:val="center"/>
          </w:tcPr>
          <w:p w14:paraId="30B83FC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增加回收点</w:t>
            </w:r>
            <w:r>
              <w:rPr>
                <w:rFonts w:eastAsia="宋体"/>
                <w:kern w:val="0"/>
                <w:sz w:val="18"/>
                <w:szCs w:val="22"/>
                <w:lang w:val="en-US" w:eastAsia="en-US" w:bidi="ar-SA"/>
              </w:rPr>
              <w:t>/</w:t>
            </w:r>
            <w:r>
              <w:rPr>
                <w:rFonts w:ascii="宋体" w:hAnsi="宋体"/>
                <w:kern w:val="0"/>
                <w:sz w:val="18"/>
                <w:szCs w:val="22"/>
                <w:lang w:val="en-US" w:eastAsia="en-US" w:bidi="ar-SA"/>
              </w:rPr>
              <w:t>智能柜，扩大用户覆盖</w:t>
            </w:r>
          </w:p>
        </w:tc>
        <w:tc>
          <w:tcPr>
            <w:tcW w:w="2293" w:type="dxa"/>
            <w:vAlign w:val="center"/>
          </w:tcPr>
          <w:p w14:paraId="264D7D3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用户规模、单校毛利、履约成本</w:t>
            </w:r>
          </w:p>
        </w:tc>
      </w:tr>
      <w:tr w14:paraId="6557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06382D6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多校复制</w:t>
            </w:r>
          </w:p>
        </w:tc>
        <w:tc>
          <w:tcPr>
            <w:tcW w:w="2294" w:type="dxa"/>
            <w:vAlign w:val="center"/>
          </w:tcPr>
          <w:p w14:paraId="5AF98933">
            <w:pPr>
              <w:widowControl/>
              <w:spacing w:before="0" w:after="0" w:line="288" w:lineRule="auto"/>
              <w:jc w:val="center"/>
              <w:rPr>
                <w:kern w:val="0"/>
                <w:szCs w:val="22"/>
                <w:lang w:val="en-US" w:eastAsia="en-US" w:bidi="ar-SA"/>
              </w:rPr>
            </w:pPr>
            <w:r>
              <w:rPr>
                <w:rFonts w:eastAsia="宋体"/>
                <w:kern w:val="0"/>
                <w:sz w:val="18"/>
                <w:szCs w:val="22"/>
                <w:lang w:val="en-US" w:eastAsia="en-US" w:bidi="ar-SA"/>
              </w:rPr>
              <w:t>19</w:t>
            </w:r>
            <w:r>
              <w:rPr>
                <w:rFonts w:ascii="宋体" w:hAnsi="宋体"/>
                <w:kern w:val="0"/>
                <w:sz w:val="18"/>
                <w:szCs w:val="22"/>
                <w:lang w:val="en-US" w:eastAsia="en-US" w:bidi="ar-SA"/>
              </w:rPr>
              <w:t>个月以后</w:t>
            </w:r>
          </w:p>
        </w:tc>
        <w:tc>
          <w:tcPr>
            <w:tcW w:w="2294" w:type="dxa"/>
            <w:vAlign w:val="center"/>
          </w:tcPr>
          <w:p w14:paraId="2AD01DD1">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复制运营</w:t>
            </w:r>
            <w:r>
              <w:rPr>
                <w:rFonts w:eastAsia="宋体"/>
                <w:kern w:val="0"/>
                <w:sz w:val="18"/>
                <w:szCs w:val="22"/>
                <w:lang w:val="en-US" w:eastAsia="en-US" w:bidi="ar-SA"/>
              </w:rPr>
              <w:t>SOP</w:t>
            </w:r>
            <w:r>
              <w:rPr>
                <w:rFonts w:ascii="宋体" w:hAnsi="宋体"/>
                <w:kern w:val="0"/>
                <w:sz w:val="18"/>
                <w:szCs w:val="22"/>
                <w:lang w:val="en-US" w:eastAsia="en-US" w:bidi="ar-SA"/>
              </w:rPr>
              <w:t>和技术平台</w:t>
            </w:r>
          </w:p>
        </w:tc>
        <w:tc>
          <w:tcPr>
            <w:tcW w:w="2293" w:type="dxa"/>
            <w:vAlign w:val="center"/>
          </w:tcPr>
          <w:p w14:paraId="252117A8">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覆盖高校数量、单位获客成本</w:t>
            </w:r>
          </w:p>
        </w:tc>
      </w:tr>
    </w:tbl>
    <w:p w14:paraId="6825C707"/>
    <w:p w14:paraId="342D4A48">
      <w:pPr>
        <w:pStyle w:val="3"/>
      </w:pPr>
      <w:bookmarkStart w:id="33" w:name="_Toc31855"/>
      <w:r>
        <w:t>第六章 供应链与物流体系</w:t>
      </w:r>
      <w:bookmarkEnd w:id="33"/>
    </w:p>
    <w:p w14:paraId="2BEEA34C">
      <w:pPr>
        <w:pStyle w:val="4"/>
        <w:outlineLvl w:val="0"/>
      </w:pPr>
      <w:bookmarkStart w:id="34" w:name="_Toc5420"/>
      <w:r>
        <w:t>6.1 校园仓储与智能柜终端布局</w:t>
      </w:r>
      <w:bookmarkEnd w:id="34"/>
    </w:p>
    <w:p w14:paraId="7071EFB8">
      <w:pPr>
        <w:spacing w:before="0" w:after="100" w:line="360" w:lineRule="auto"/>
        <w:ind w:firstLine="420"/>
      </w:pPr>
      <w:r>
        <w:rPr>
          <w:rFonts w:ascii="宋体" w:hAnsi="宋体"/>
          <w:b w:val="0"/>
          <w:sz w:val="21"/>
        </w:rPr>
        <w:t>项目采用“集中仓储</w:t>
      </w:r>
      <w:r>
        <w:rPr>
          <w:rFonts w:eastAsia="宋体"/>
          <w:b w:val="0"/>
          <w:sz w:val="21"/>
        </w:rPr>
        <w:t>+</w:t>
      </w:r>
      <w:r>
        <w:rPr>
          <w:rFonts w:ascii="宋体" w:hAnsi="宋体"/>
          <w:b w:val="0"/>
          <w:sz w:val="21"/>
        </w:rPr>
        <w:t>分布式回收点</w:t>
      </w:r>
      <w:r>
        <w:rPr>
          <w:rFonts w:eastAsia="宋体"/>
          <w:b w:val="0"/>
          <w:sz w:val="21"/>
        </w:rPr>
        <w:t>+</w:t>
      </w:r>
      <w:r>
        <w:rPr>
          <w:rFonts w:ascii="宋体" w:hAnsi="宋体"/>
          <w:b w:val="0"/>
          <w:sz w:val="21"/>
        </w:rPr>
        <w:t>按需部署智能柜”的模式。前期不追求大量铺设硬件，而是通过人工回收点验证图书流转密度。达到订单量和库存周转阈值后，再在宿舍区、图书馆等高频位置部署智能柜。</w:t>
      </w:r>
    </w:p>
    <w:p w14:paraId="5A7BE678">
      <w:pPr>
        <w:pStyle w:val="4"/>
        <w:outlineLvl w:val="0"/>
      </w:pPr>
      <w:bookmarkStart w:id="35" w:name="_Toc17482"/>
      <w:r>
        <w:t>6.2 旧书回收、质检与整理SOP</w:t>
      </w:r>
      <w:bookmarkEnd w:id="35"/>
    </w:p>
    <w:p w14:paraId="55FA980F">
      <w:pPr>
        <w:spacing w:before="0" w:after="100" w:line="360" w:lineRule="auto"/>
        <w:ind w:firstLine="420"/>
      </w:pPr>
      <w:r>
        <w:rPr>
          <w:rFonts w:ascii="宋体" w:hAnsi="宋体"/>
          <w:b w:val="0"/>
          <w:sz w:val="21"/>
        </w:rPr>
        <w:t>建议建立如下标准流程：</w:t>
      </w:r>
    </w:p>
    <w:p w14:paraId="17F3D9AC">
      <w:pPr>
        <w:spacing w:before="0" w:after="100" w:line="360" w:lineRule="auto"/>
        <w:ind w:firstLine="420"/>
      </w:pPr>
      <w:r>
        <w:rPr>
          <w:rFonts w:ascii="宋体" w:hAnsi="宋体"/>
          <w:b w:val="0"/>
          <w:sz w:val="21"/>
        </w:rPr>
        <w:t>回收投递 → 信息登记 → 外观检查 → 缺页</w:t>
      </w:r>
      <w:r>
        <w:rPr>
          <w:rFonts w:eastAsia="宋体"/>
          <w:b w:val="0"/>
          <w:sz w:val="21"/>
        </w:rPr>
        <w:t>/</w:t>
      </w:r>
      <w:r>
        <w:rPr>
          <w:rFonts w:ascii="宋体" w:hAnsi="宋体"/>
          <w:b w:val="0"/>
          <w:sz w:val="21"/>
        </w:rPr>
        <w:t>严重破损检查 → 品相分级 → 表面清洁 → 通风干燥 → 必要时采取符合图书材料要求的清洁</w:t>
      </w:r>
      <w:r>
        <w:rPr>
          <w:rFonts w:eastAsia="宋体"/>
          <w:b w:val="0"/>
          <w:sz w:val="21"/>
        </w:rPr>
        <w:t>/</w:t>
      </w:r>
      <w:r>
        <w:rPr>
          <w:rFonts w:ascii="宋体" w:hAnsi="宋体"/>
          <w:b w:val="0"/>
          <w:sz w:val="21"/>
        </w:rPr>
        <w:t>消毒措施 → 信息录入 → 定价 → 上架</w:t>
      </w:r>
      <w:r>
        <w:rPr>
          <w:rFonts w:eastAsia="宋体"/>
          <w:b w:val="0"/>
          <w:sz w:val="21"/>
        </w:rPr>
        <w:t>/</w:t>
      </w:r>
      <w:r>
        <w:rPr>
          <w:rFonts w:ascii="宋体" w:hAnsi="宋体"/>
          <w:b w:val="0"/>
          <w:sz w:val="21"/>
        </w:rPr>
        <w:t>捐赠</w:t>
      </w:r>
      <w:r>
        <w:rPr>
          <w:rFonts w:eastAsia="宋体"/>
          <w:b w:val="0"/>
          <w:sz w:val="21"/>
        </w:rPr>
        <w:t>/</w:t>
      </w:r>
      <w:r>
        <w:rPr>
          <w:rFonts w:ascii="宋体" w:hAnsi="宋体"/>
          <w:b w:val="0"/>
          <w:sz w:val="21"/>
        </w:rPr>
        <w:t>回收处理。</w:t>
      </w:r>
    </w:p>
    <w:p w14:paraId="13D6C7F0">
      <w:pPr>
        <w:spacing w:before="0" w:after="100" w:line="360" w:lineRule="auto"/>
        <w:ind w:firstLine="420"/>
      </w:pPr>
      <w:r>
        <w:rPr>
          <w:rFonts w:ascii="宋体" w:hAnsi="宋体"/>
          <w:b w:val="0"/>
          <w:sz w:val="21"/>
        </w:rPr>
        <w:t>原稿中的“紫外线灭菌”表述建议删除或改为“合规消毒措施”，因为图书纸张、装订和油墨材料对处理方式存在差异，具体设备和消毒参数需要根据实际供应商和安全标准验证。</w:t>
      </w:r>
    </w:p>
    <w:p w14:paraId="3AFC2137">
      <w:pPr>
        <w:pStyle w:val="4"/>
        <w:outlineLvl w:val="0"/>
      </w:pPr>
      <w:bookmarkStart w:id="36" w:name="_Toc25689"/>
      <w:r>
        <w:t>6.3 校园逆向物流与末端配送</w:t>
      </w:r>
      <w:bookmarkEnd w:id="36"/>
    </w:p>
    <w:p w14:paraId="0EF4589A">
      <w:pPr>
        <w:pStyle w:val="16"/>
        <w:numPr>
          <w:ilvl w:val="0"/>
          <w:numId w:val="3"/>
        </w:numPr>
        <w:spacing w:before="0" w:after="40" w:line="336" w:lineRule="auto"/>
        <w:contextualSpacing/>
      </w:pPr>
      <w:r>
        <w:rPr>
          <w:rFonts w:ascii="宋体" w:hAnsi="宋体"/>
          <w:sz w:val="21"/>
        </w:rPr>
        <w:t>校园大使负责回收点日常维护和基础巡检。</w:t>
      </w:r>
    </w:p>
    <w:p w14:paraId="6AE424AF">
      <w:pPr>
        <w:pStyle w:val="16"/>
        <w:numPr>
          <w:ilvl w:val="0"/>
          <w:numId w:val="3"/>
        </w:numPr>
        <w:spacing w:before="0" w:after="40" w:line="336" w:lineRule="auto"/>
        <w:contextualSpacing/>
      </w:pPr>
      <w:r>
        <w:rPr>
          <w:rFonts w:ascii="宋体" w:hAnsi="宋体"/>
          <w:sz w:val="21"/>
        </w:rPr>
        <w:t>集中回收后按专业、课程和品相进行分类。</w:t>
      </w:r>
    </w:p>
    <w:p w14:paraId="53860143">
      <w:pPr>
        <w:pStyle w:val="16"/>
        <w:numPr>
          <w:ilvl w:val="0"/>
          <w:numId w:val="3"/>
        </w:numPr>
        <w:spacing w:before="0" w:after="40" w:line="336" w:lineRule="auto"/>
        <w:contextualSpacing/>
      </w:pPr>
      <w:r>
        <w:rPr>
          <w:rFonts w:ascii="宋体" w:hAnsi="宋体"/>
          <w:sz w:val="21"/>
        </w:rPr>
        <w:t>高频教材优先在校内流转，减少跨区域物流。</w:t>
      </w:r>
    </w:p>
    <w:p w14:paraId="45AB8F68">
      <w:pPr>
        <w:pStyle w:val="16"/>
        <w:numPr>
          <w:ilvl w:val="0"/>
          <w:numId w:val="3"/>
        </w:numPr>
        <w:spacing w:before="0" w:after="40" w:line="336" w:lineRule="auto"/>
        <w:contextualSpacing/>
      </w:pPr>
      <w:r>
        <w:rPr>
          <w:rFonts w:ascii="宋体" w:hAnsi="宋体"/>
          <w:sz w:val="21"/>
        </w:rPr>
        <w:t>跨校交易和公益捐赠采用集中批量运输，降低单位物流成本。</w:t>
      </w:r>
    </w:p>
    <w:p w14:paraId="50EB333C">
      <w:pPr>
        <w:pStyle w:val="16"/>
        <w:numPr>
          <w:ilvl w:val="0"/>
          <w:numId w:val="3"/>
        </w:numPr>
        <w:spacing w:before="0" w:after="40" w:line="336" w:lineRule="auto"/>
        <w:contextualSpacing/>
      </w:pPr>
      <w:r>
        <w:rPr>
          <w:rFonts w:ascii="宋体" w:hAnsi="宋体"/>
          <w:sz w:val="21"/>
        </w:rPr>
        <w:t>通过库存预警和调拨机制降低滞销图书积压。</w:t>
      </w:r>
    </w:p>
    <w:p w14:paraId="2912FA21">
      <w:pPr>
        <w:pStyle w:val="3"/>
      </w:pPr>
      <w:bookmarkStart w:id="37" w:name="_Toc28577"/>
      <w:r>
        <w:t>第七章 团队介绍</w:t>
      </w:r>
      <w:bookmarkEnd w:id="37"/>
    </w:p>
    <w:p w14:paraId="1D10C490">
      <w:pPr>
        <w:pStyle w:val="4"/>
        <w:outlineLvl w:val="0"/>
      </w:pPr>
      <w:bookmarkStart w:id="38" w:name="_Toc28765"/>
      <w:r>
        <w:t>7.1 核心团队成员</w:t>
      </w:r>
      <w:bookmarkEnd w:id="38"/>
    </w:p>
    <w:tbl>
      <w:tblPr>
        <w:tblStyle w:val="37"/>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9"/>
        <w:gridCol w:w="3059"/>
        <w:gridCol w:w="3059"/>
      </w:tblGrid>
      <w:tr w14:paraId="2C3D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shd w:val="clear" w:color="auto" w:fill="D9EAF7"/>
            <w:vAlign w:val="center"/>
          </w:tcPr>
          <w:p w14:paraId="26EEDFB3">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岗位</w:t>
            </w:r>
          </w:p>
        </w:tc>
        <w:tc>
          <w:tcPr>
            <w:tcW w:w="3059" w:type="dxa"/>
            <w:shd w:val="clear" w:color="auto" w:fill="D9EAF7"/>
            <w:vAlign w:val="center"/>
          </w:tcPr>
          <w:p w14:paraId="3D27751A">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主要职责</w:t>
            </w:r>
          </w:p>
        </w:tc>
        <w:tc>
          <w:tcPr>
            <w:tcW w:w="3059" w:type="dxa"/>
            <w:shd w:val="clear" w:color="auto" w:fill="D9EAF7"/>
            <w:vAlign w:val="center"/>
          </w:tcPr>
          <w:p w14:paraId="301DAD60">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核心能力</w:t>
            </w:r>
          </w:p>
        </w:tc>
      </w:tr>
      <w:tr w14:paraId="29EB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7673C63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项目负责人</w:t>
            </w:r>
          </w:p>
        </w:tc>
        <w:tc>
          <w:tcPr>
            <w:tcW w:w="3059" w:type="dxa"/>
            <w:vAlign w:val="center"/>
          </w:tcPr>
          <w:p w14:paraId="389ED8F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战略规划、资源整合、校企合作、项目管理</w:t>
            </w:r>
          </w:p>
        </w:tc>
        <w:tc>
          <w:tcPr>
            <w:tcW w:w="3059" w:type="dxa"/>
            <w:vAlign w:val="center"/>
          </w:tcPr>
          <w:p w14:paraId="173C426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项目管理、沟通协调</w:t>
            </w:r>
          </w:p>
        </w:tc>
      </w:tr>
      <w:tr w14:paraId="67C9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7BAB36B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技术负责人</w:t>
            </w:r>
          </w:p>
        </w:tc>
        <w:tc>
          <w:tcPr>
            <w:tcW w:w="3059" w:type="dxa"/>
            <w:vAlign w:val="center"/>
          </w:tcPr>
          <w:p w14:paraId="2D58BBC5">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小程序、后台、</w:t>
            </w:r>
            <w:r>
              <w:rPr>
                <w:rFonts w:eastAsia="宋体"/>
                <w:kern w:val="0"/>
                <w:sz w:val="18"/>
                <w:szCs w:val="22"/>
                <w:lang w:val="en-US" w:eastAsia="en-US" w:bidi="ar-SA"/>
              </w:rPr>
              <w:t>AI</w:t>
            </w:r>
            <w:r>
              <w:rPr>
                <w:rFonts w:ascii="宋体" w:hAnsi="宋体"/>
                <w:kern w:val="0"/>
                <w:sz w:val="18"/>
                <w:szCs w:val="22"/>
                <w:lang w:val="en-US" w:eastAsia="en-US" w:bidi="ar-SA"/>
              </w:rPr>
              <w:t>识别、</w:t>
            </w:r>
            <w:r>
              <w:rPr>
                <w:rFonts w:eastAsia="宋体"/>
                <w:kern w:val="0"/>
                <w:sz w:val="18"/>
                <w:szCs w:val="22"/>
                <w:lang w:val="en-US" w:eastAsia="en-US" w:bidi="ar-SA"/>
              </w:rPr>
              <w:t>IoT</w:t>
            </w:r>
            <w:r>
              <w:rPr>
                <w:rFonts w:ascii="宋体" w:hAnsi="宋体"/>
                <w:kern w:val="0"/>
                <w:sz w:val="18"/>
                <w:szCs w:val="22"/>
                <w:lang w:val="en-US" w:eastAsia="en-US" w:bidi="ar-SA"/>
              </w:rPr>
              <w:t>系统</w:t>
            </w:r>
          </w:p>
        </w:tc>
        <w:tc>
          <w:tcPr>
            <w:tcW w:w="3059" w:type="dxa"/>
            <w:vAlign w:val="center"/>
          </w:tcPr>
          <w:p w14:paraId="4FECC2E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软件开发、数据与算法</w:t>
            </w:r>
          </w:p>
        </w:tc>
      </w:tr>
      <w:tr w14:paraId="0AE7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55FA1AE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运营负责人</w:t>
            </w:r>
          </w:p>
        </w:tc>
        <w:tc>
          <w:tcPr>
            <w:tcW w:w="3059" w:type="dxa"/>
            <w:vAlign w:val="center"/>
          </w:tcPr>
          <w:p w14:paraId="7EBB4B8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校园推广、社群运营、活动和校园大使</w:t>
            </w:r>
          </w:p>
        </w:tc>
        <w:tc>
          <w:tcPr>
            <w:tcW w:w="3059" w:type="dxa"/>
            <w:vAlign w:val="center"/>
          </w:tcPr>
          <w:p w14:paraId="17D9AB21">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用户运营、活动策划</w:t>
            </w:r>
          </w:p>
        </w:tc>
      </w:tr>
      <w:tr w14:paraId="196C3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2AA417B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财务负责人</w:t>
            </w:r>
          </w:p>
        </w:tc>
        <w:tc>
          <w:tcPr>
            <w:tcW w:w="3059" w:type="dxa"/>
            <w:vAlign w:val="center"/>
          </w:tcPr>
          <w:p w14:paraId="2F46E56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预算、成本、财务预测、融资材料</w:t>
            </w:r>
          </w:p>
        </w:tc>
        <w:tc>
          <w:tcPr>
            <w:tcW w:w="3059" w:type="dxa"/>
            <w:vAlign w:val="center"/>
          </w:tcPr>
          <w:p w14:paraId="6C96009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财务分析、风险控制</w:t>
            </w:r>
          </w:p>
        </w:tc>
      </w:tr>
    </w:tbl>
    <w:p w14:paraId="2D637461"/>
    <w:p w14:paraId="49DD0283">
      <w:pPr>
        <w:pStyle w:val="4"/>
        <w:outlineLvl w:val="0"/>
      </w:pPr>
      <w:bookmarkStart w:id="39" w:name="_Toc6049"/>
      <w:r>
        <w:t>7.2 组织架构与部门职责</w:t>
      </w:r>
      <w:bookmarkEnd w:id="39"/>
    </w:p>
    <w:p w14:paraId="44A890CD">
      <w:pPr>
        <w:pStyle w:val="16"/>
        <w:numPr>
          <w:ilvl w:val="0"/>
          <w:numId w:val="3"/>
        </w:numPr>
        <w:spacing w:before="0" w:after="40" w:line="336" w:lineRule="auto"/>
        <w:contextualSpacing/>
      </w:pPr>
      <w:r>
        <w:rPr>
          <w:rFonts w:ascii="宋体" w:hAnsi="宋体"/>
          <w:sz w:val="21"/>
        </w:rPr>
        <w:t>产品技术组：负责平台产品、算法和硬件系统。</w:t>
      </w:r>
    </w:p>
    <w:p w14:paraId="3DF449D2">
      <w:pPr>
        <w:pStyle w:val="16"/>
        <w:numPr>
          <w:ilvl w:val="0"/>
          <w:numId w:val="3"/>
        </w:numPr>
        <w:spacing w:before="0" w:after="40" w:line="336" w:lineRule="auto"/>
        <w:contextualSpacing/>
      </w:pPr>
      <w:r>
        <w:rPr>
          <w:rFonts w:ascii="宋体" w:hAnsi="宋体"/>
          <w:sz w:val="21"/>
        </w:rPr>
        <w:t>运营市场组：负责用户增长、校园活动和合作。</w:t>
      </w:r>
    </w:p>
    <w:p w14:paraId="254EFD2C">
      <w:pPr>
        <w:pStyle w:val="16"/>
        <w:numPr>
          <w:ilvl w:val="0"/>
          <w:numId w:val="3"/>
        </w:numPr>
        <w:spacing w:before="0" w:after="40" w:line="336" w:lineRule="auto"/>
        <w:contextualSpacing/>
      </w:pPr>
      <w:r>
        <w:rPr>
          <w:rFonts w:ascii="宋体" w:hAnsi="宋体"/>
          <w:sz w:val="21"/>
        </w:rPr>
        <w:t>供应链组：负责回收、质检、仓储、调拨。</w:t>
      </w:r>
    </w:p>
    <w:p w14:paraId="04F28299">
      <w:pPr>
        <w:pStyle w:val="16"/>
        <w:numPr>
          <w:ilvl w:val="0"/>
          <w:numId w:val="3"/>
        </w:numPr>
        <w:spacing w:before="0" w:after="40" w:line="336" w:lineRule="auto"/>
        <w:contextualSpacing/>
      </w:pPr>
      <w:r>
        <w:rPr>
          <w:rFonts w:ascii="宋体" w:hAnsi="宋体"/>
          <w:sz w:val="21"/>
        </w:rPr>
        <w:t>财务与合规组：负责预算、合同、知识产权、版权和数据合规。</w:t>
      </w:r>
    </w:p>
    <w:p w14:paraId="35CDFBC0">
      <w:pPr>
        <w:pStyle w:val="4"/>
        <w:outlineLvl w:val="0"/>
      </w:pPr>
      <w:bookmarkStart w:id="40" w:name="_Toc12763"/>
      <w:r>
        <w:t>7.3 顾问与指导老师团队</w:t>
      </w:r>
      <w:bookmarkEnd w:id="40"/>
    </w:p>
    <w:p w14:paraId="130B1E5E">
      <w:pPr>
        <w:spacing w:before="0" w:after="100" w:line="360" w:lineRule="auto"/>
        <w:ind w:firstLine="420"/>
      </w:pPr>
      <w:r>
        <w:rPr>
          <w:rFonts w:ascii="宋体" w:hAnsi="宋体"/>
          <w:b w:val="0"/>
          <w:sz w:val="21"/>
        </w:rPr>
        <w:t>正式参赛时建议填写真实指导教师、创业导师、技术顾问和校企合作导师，并附相关聘书或指导证明。</w:t>
      </w:r>
    </w:p>
    <w:p w14:paraId="19678C9A">
      <w:pPr>
        <w:pStyle w:val="4"/>
        <w:outlineLvl w:val="0"/>
      </w:pPr>
      <w:bookmarkStart w:id="41" w:name="_Toc19915"/>
      <w:r>
        <w:t>7.4 团队核心优势与人岗匹配度</w:t>
      </w:r>
      <w:bookmarkEnd w:id="41"/>
    </w:p>
    <w:p w14:paraId="7DD57C0B">
      <w:pPr>
        <w:spacing w:before="0" w:after="100" w:line="360" w:lineRule="auto"/>
        <w:ind w:firstLine="420"/>
      </w:pPr>
      <w:r>
        <w:rPr>
          <w:rFonts w:ascii="宋体" w:hAnsi="宋体"/>
          <w:b w:val="0"/>
          <w:sz w:val="21"/>
        </w:rPr>
        <w:t>项目团队应重点突出“技术能力</w:t>
      </w:r>
      <w:r>
        <w:rPr>
          <w:rFonts w:eastAsia="宋体"/>
          <w:b w:val="0"/>
          <w:sz w:val="21"/>
        </w:rPr>
        <w:t>+</w:t>
      </w:r>
      <w:r>
        <w:rPr>
          <w:rFonts w:ascii="宋体" w:hAnsi="宋体"/>
          <w:b w:val="0"/>
          <w:sz w:val="21"/>
        </w:rPr>
        <w:t>校园场景理解</w:t>
      </w:r>
      <w:r>
        <w:rPr>
          <w:rFonts w:eastAsia="宋体"/>
          <w:b w:val="0"/>
          <w:sz w:val="21"/>
        </w:rPr>
        <w:t>+</w:t>
      </w:r>
      <w:r>
        <w:rPr>
          <w:rFonts w:ascii="宋体" w:hAnsi="宋体"/>
          <w:b w:val="0"/>
          <w:sz w:val="21"/>
        </w:rPr>
        <w:t>运营执行”的组合优势。若团队成员具备软件开发、市场调研、创新创业比赛或校园项目经验，应以真实项目、证书和成果作为证明。</w:t>
      </w:r>
    </w:p>
    <w:p w14:paraId="77A7506F">
      <w:pPr>
        <w:pStyle w:val="3"/>
      </w:pPr>
      <w:bookmarkStart w:id="42" w:name="_Toc10777"/>
      <w:r>
        <w:t>第八章 财务规划</w:t>
      </w:r>
      <w:bookmarkEnd w:id="42"/>
    </w:p>
    <w:p w14:paraId="5C30E248">
      <w:pPr>
        <w:pStyle w:val="4"/>
        <w:outlineLvl w:val="0"/>
      </w:pPr>
      <w:bookmarkStart w:id="43" w:name="_Toc29955"/>
      <w:r>
        <w:t>8.1 融资需求与资金使用</w:t>
      </w:r>
      <w:bookmarkEnd w:id="43"/>
    </w:p>
    <w:p w14:paraId="6D99ECDB">
      <w:pPr>
        <w:spacing w:before="0" w:after="100" w:line="360" w:lineRule="auto"/>
        <w:ind w:firstLine="420"/>
      </w:pPr>
      <w:r>
        <w:rPr>
          <w:rFonts w:ascii="宋体" w:hAnsi="宋体"/>
          <w:b w:val="0"/>
          <w:sz w:val="21"/>
        </w:rPr>
        <w:t>建议首轮融资目标设为约</w:t>
      </w:r>
      <w:r>
        <w:rPr>
          <w:rFonts w:eastAsia="宋体"/>
          <w:b w:val="0"/>
          <w:sz w:val="21"/>
        </w:rPr>
        <w:t>30</w:t>
      </w:r>
      <w:r>
        <w:rPr>
          <w:rFonts w:ascii="宋体" w:hAnsi="宋体"/>
          <w:b w:val="0"/>
          <w:sz w:val="21"/>
        </w:rPr>
        <w:t>万元，具体金额根据硬件采购、平台开发、市场推广和流动资金需求进行调整。</w:t>
      </w:r>
    </w:p>
    <w:tbl>
      <w:tblPr>
        <w:tblStyle w:val="37"/>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9"/>
        <w:gridCol w:w="3059"/>
        <w:gridCol w:w="3059"/>
      </w:tblGrid>
      <w:tr w14:paraId="35D0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shd w:val="clear" w:color="auto" w:fill="D9EAF7"/>
            <w:vAlign w:val="center"/>
          </w:tcPr>
          <w:p w14:paraId="08FFE98B">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资金用途</w:t>
            </w:r>
          </w:p>
        </w:tc>
        <w:tc>
          <w:tcPr>
            <w:tcW w:w="3059" w:type="dxa"/>
            <w:shd w:val="clear" w:color="auto" w:fill="D9EAF7"/>
            <w:vAlign w:val="center"/>
          </w:tcPr>
          <w:p w14:paraId="026DAA94">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建议占比</w:t>
            </w:r>
          </w:p>
        </w:tc>
        <w:tc>
          <w:tcPr>
            <w:tcW w:w="3059" w:type="dxa"/>
            <w:shd w:val="clear" w:color="auto" w:fill="D9EAF7"/>
            <w:vAlign w:val="center"/>
          </w:tcPr>
          <w:p w14:paraId="66567B20">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主要内容</w:t>
            </w:r>
          </w:p>
        </w:tc>
      </w:tr>
      <w:tr w14:paraId="6115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26686A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产品与技术</w:t>
            </w:r>
          </w:p>
        </w:tc>
        <w:tc>
          <w:tcPr>
            <w:tcW w:w="3059" w:type="dxa"/>
            <w:vAlign w:val="center"/>
          </w:tcPr>
          <w:p w14:paraId="748BBEDE">
            <w:pPr>
              <w:widowControl/>
              <w:spacing w:before="0" w:after="0" w:line="288" w:lineRule="auto"/>
              <w:jc w:val="center"/>
              <w:rPr>
                <w:kern w:val="0"/>
                <w:szCs w:val="22"/>
                <w:lang w:val="en-US" w:eastAsia="en-US" w:bidi="ar-SA"/>
              </w:rPr>
            </w:pPr>
            <w:r>
              <w:rPr>
                <w:rFonts w:eastAsia="宋体"/>
                <w:kern w:val="0"/>
                <w:sz w:val="18"/>
                <w:szCs w:val="22"/>
                <w:lang w:val="en-US" w:eastAsia="en-US" w:bidi="ar-SA"/>
              </w:rPr>
              <w:t>25%</w:t>
            </w:r>
          </w:p>
        </w:tc>
        <w:tc>
          <w:tcPr>
            <w:tcW w:w="3059" w:type="dxa"/>
            <w:vAlign w:val="center"/>
          </w:tcPr>
          <w:p w14:paraId="347B732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小程序、后台、服务器、基础算法研发</w:t>
            </w:r>
          </w:p>
        </w:tc>
      </w:tr>
      <w:tr w14:paraId="6A80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5395635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智能硬件试点</w:t>
            </w:r>
          </w:p>
        </w:tc>
        <w:tc>
          <w:tcPr>
            <w:tcW w:w="3059" w:type="dxa"/>
            <w:vAlign w:val="center"/>
          </w:tcPr>
          <w:p w14:paraId="7D57672C">
            <w:pPr>
              <w:widowControl/>
              <w:spacing w:before="0" w:after="0" w:line="288" w:lineRule="auto"/>
              <w:jc w:val="center"/>
              <w:rPr>
                <w:kern w:val="0"/>
                <w:szCs w:val="22"/>
                <w:lang w:val="en-US" w:eastAsia="en-US" w:bidi="ar-SA"/>
              </w:rPr>
            </w:pPr>
            <w:r>
              <w:rPr>
                <w:rFonts w:eastAsia="宋体"/>
                <w:kern w:val="0"/>
                <w:sz w:val="18"/>
                <w:szCs w:val="22"/>
                <w:lang w:val="en-US" w:eastAsia="en-US" w:bidi="ar-SA"/>
              </w:rPr>
              <w:t>25%</w:t>
            </w:r>
          </w:p>
        </w:tc>
        <w:tc>
          <w:tcPr>
            <w:tcW w:w="3059" w:type="dxa"/>
            <w:vAlign w:val="center"/>
          </w:tcPr>
          <w:p w14:paraId="436C7C63">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回收柜样机、</w:t>
            </w:r>
            <w:r>
              <w:rPr>
                <w:rFonts w:eastAsia="宋体"/>
                <w:kern w:val="0"/>
                <w:sz w:val="18"/>
                <w:szCs w:val="22"/>
                <w:lang w:val="en-US" w:eastAsia="en-US" w:bidi="ar-SA"/>
              </w:rPr>
              <w:t>IoT</w:t>
            </w:r>
            <w:r>
              <w:rPr>
                <w:rFonts w:ascii="宋体" w:hAnsi="宋体"/>
                <w:kern w:val="0"/>
                <w:sz w:val="18"/>
                <w:szCs w:val="22"/>
                <w:lang w:val="en-US" w:eastAsia="en-US" w:bidi="ar-SA"/>
              </w:rPr>
              <w:t>模块、安装调试</w:t>
            </w:r>
          </w:p>
        </w:tc>
      </w:tr>
      <w:tr w14:paraId="0636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14BCC7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市场与推广</w:t>
            </w:r>
          </w:p>
        </w:tc>
        <w:tc>
          <w:tcPr>
            <w:tcW w:w="3059" w:type="dxa"/>
            <w:vAlign w:val="center"/>
          </w:tcPr>
          <w:p w14:paraId="47A6EDF7">
            <w:pPr>
              <w:widowControl/>
              <w:spacing w:before="0" w:after="0" w:line="288" w:lineRule="auto"/>
              <w:jc w:val="center"/>
              <w:rPr>
                <w:kern w:val="0"/>
                <w:szCs w:val="22"/>
                <w:lang w:val="en-US" w:eastAsia="en-US" w:bidi="ar-SA"/>
              </w:rPr>
            </w:pPr>
            <w:r>
              <w:rPr>
                <w:rFonts w:eastAsia="宋体"/>
                <w:kern w:val="0"/>
                <w:sz w:val="18"/>
                <w:szCs w:val="22"/>
                <w:lang w:val="en-US" w:eastAsia="en-US" w:bidi="ar-SA"/>
              </w:rPr>
              <w:t>20%</w:t>
            </w:r>
          </w:p>
        </w:tc>
        <w:tc>
          <w:tcPr>
            <w:tcW w:w="3059" w:type="dxa"/>
            <w:vAlign w:val="center"/>
          </w:tcPr>
          <w:p w14:paraId="3BC10625">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校园活动、物料、用户激励</w:t>
            </w:r>
          </w:p>
        </w:tc>
      </w:tr>
      <w:tr w14:paraId="0FBA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02E7B6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供应链与仓储</w:t>
            </w:r>
          </w:p>
        </w:tc>
        <w:tc>
          <w:tcPr>
            <w:tcW w:w="3059" w:type="dxa"/>
            <w:vAlign w:val="center"/>
          </w:tcPr>
          <w:p w14:paraId="5A9F72F6">
            <w:pPr>
              <w:widowControl/>
              <w:spacing w:before="0" w:after="0" w:line="288" w:lineRule="auto"/>
              <w:jc w:val="center"/>
              <w:rPr>
                <w:kern w:val="0"/>
                <w:szCs w:val="22"/>
                <w:lang w:val="en-US" w:eastAsia="en-US" w:bidi="ar-SA"/>
              </w:rPr>
            </w:pPr>
            <w:r>
              <w:rPr>
                <w:rFonts w:eastAsia="宋体"/>
                <w:kern w:val="0"/>
                <w:sz w:val="18"/>
                <w:szCs w:val="22"/>
                <w:lang w:val="en-US" w:eastAsia="en-US" w:bidi="ar-SA"/>
              </w:rPr>
              <w:t>15%</w:t>
            </w:r>
          </w:p>
        </w:tc>
        <w:tc>
          <w:tcPr>
            <w:tcW w:w="3059" w:type="dxa"/>
            <w:vAlign w:val="center"/>
          </w:tcPr>
          <w:p w14:paraId="38773EA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仓储、包装、运输、质检</w:t>
            </w:r>
          </w:p>
        </w:tc>
      </w:tr>
      <w:tr w14:paraId="555B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4C90222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流动资金</w:t>
            </w:r>
          </w:p>
        </w:tc>
        <w:tc>
          <w:tcPr>
            <w:tcW w:w="3059" w:type="dxa"/>
            <w:vAlign w:val="center"/>
          </w:tcPr>
          <w:p w14:paraId="2DD849C1">
            <w:pPr>
              <w:widowControl/>
              <w:spacing w:before="0" w:after="0" w:line="288" w:lineRule="auto"/>
              <w:jc w:val="center"/>
              <w:rPr>
                <w:kern w:val="0"/>
                <w:szCs w:val="22"/>
                <w:lang w:val="en-US" w:eastAsia="en-US" w:bidi="ar-SA"/>
              </w:rPr>
            </w:pPr>
            <w:r>
              <w:rPr>
                <w:rFonts w:eastAsia="宋体"/>
                <w:kern w:val="0"/>
                <w:sz w:val="18"/>
                <w:szCs w:val="22"/>
                <w:lang w:val="en-US" w:eastAsia="en-US" w:bidi="ar-SA"/>
              </w:rPr>
              <w:t>15%</w:t>
            </w:r>
          </w:p>
        </w:tc>
        <w:tc>
          <w:tcPr>
            <w:tcW w:w="3059" w:type="dxa"/>
            <w:vAlign w:val="center"/>
          </w:tcPr>
          <w:p w14:paraId="152FA2B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日常运营和风险准备金</w:t>
            </w:r>
          </w:p>
        </w:tc>
      </w:tr>
    </w:tbl>
    <w:p w14:paraId="77580FDF"/>
    <w:p w14:paraId="3BBB412B">
      <w:pPr>
        <w:pStyle w:val="4"/>
        <w:outlineLvl w:val="0"/>
      </w:pPr>
      <w:bookmarkStart w:id="44" w:name="_Toc25653"/>
      <w:r>
        <w:t>8.2 未来3年收入预测</w:t>
      </w:r>
      <w:bookmarkEnd w:id="44"/>
    </w:p>
    <w:p w14:paraId="4785F595">
      <w:pPr>
        <w:spacing w:before="0" w:after="100" w:line="360" w:lineRule="auto"/>
        <w:ind w:firstLine="420"/>
      </w:pPr>
      <w:r>
        <w:rPr>
          <w:rFonts w:ascii="宋体" w:hAnsi="宋体"/>
          <w:b w:val="0"/>
          <w:sz w:val="21"/>
        </w:rPr>
        <w:t>原稿中的</w:t>
      </w:r>
      <w:r>
        <w:rPr>
          <w:rFonts w:eastAsia="宋体"/>
          <w:b w:val="0"/>
          <w:sz w:val="21"/>
        </w:rPr>
        <w:t>Y1/Y2/Y3</w:t>
      </w:r>
      <w:r>
        <w:rPr>
          <w:rFonts w:ascii="宋体" w:hAnsi="宋体"/>
          <w:b w:val="0"/>
          <w:sz w:val="21"/>
        </w:rPr>
        <w:t>数字可作为“目标情景”，但正式版本应以单校订单量、客单价、学校数量、毛利率和硬件折旧等假设逐项推导。建议采用保守、基准、乐观三种情景，而不是只给出单一预测。</w:t>
      </w:r>
    </w:p>
    <w:tbl>
      <w:tblPr>
        <w:tblStyle w:val="37"/>
        <w:tblW w:w="9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4"/>
        <w:gridCol w:w="2294"/>
        <w:gridCol w:w="2294"/>
        <w:gridCol w:w="2293"/>
      </w:tblGrid>
      <w:tr w14:paraId="74FD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shd w:val="clear" w:color="auto" w:fill="D9EAF7"/>
            <w:vAlign w:val="center"/>
          </w:tcPr>
          <w:p w14:paraId="2BAFCE9C">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指标</w:t>
            </w:r>
          </w:p>
        </w:tc>
        <w:tc>
          <w:tcPr>
            <w:tcW w:w="2294" w:type="dxa"/>
            <w:shd w:val="clear" w:color="auto" w:fill="D9EAF7"/>
            <w:vAlign w:val="center"/>
          </w:tcPr>
          <w:p w14:paraId="624E0CF2">
            <w:pPr>
              <w:widowControl/>
              <w:spacing w:before="0" w:after="0" w:line="240" w:lineRule="auto"/>
              <w:jc w:val="center"/>
              <w:rPr>
                <w:kern w:val="0"/>
                <w:szCs w:val="22"/>
                <w:lang w:val="en-US" w:eastAsia="en-US" w:bidi="ar-SA"/>
              </w:rPr>
            </w:pPr>
            <w:r>
              <w:rPr>
                <w:rFonts w:eastAsia="宋体"/>
                <w:b/>
                <w:kern w:val="0"/>
                <w:sz w:val="19"/>
                <w:szCs w:val="22"/>
                <w:lang w:val="en-US" w:eastAsia="en-US" w:bidi="ar-SA"/>
              </w:rPr>
              <w:t xml:space="preserve">Y1 </w:t>
            </w:r>
            <w:r>
              <w:rPr>
                <w:rFonts w:ascii="宋体" w:hAnsi="宋体"/>
                <w:b/>
                <w:kern w:val="0"/>
                <w:sz w:val="19"/>
                <w:szCs w:val="22"/>
                <w:lang w:val="en-US" w:eastAsia="en-US" w:bidi="ar-SA"/>
              </w:rPr>
              <w:t>目标情景</w:t>
            </w:r>
          </w:p>
        </w:tc>
        <w:tc>
          <w:tcPr>
            <w:tcW w:w="2294" w:type="dxa"/>
            <w:shd w:val="clear" w:color="auto" w:fill="D9EAF7"/>
            <w:vAlign w:val="center"/>
          </w:tcPr>
          <w:p w14:paraId="7DC6536E">
            <w:pPr>
              <w:widowControl/>
              <w:spacing w:before="0" w:after="0" w:line="240" w:lineRule="auto"/>
              <w:jc w:val="center"/>
              <w:rPr>
                <w:kern w:val="0"/>
                <w:szCs w:val="22"/>
                <w:lang w:val="en-US" w:eastAsia="en-US" w:bidi="ar-SA"/>
              </w:rPr>
            </w:pPr>
            <w:r>
              <w:rPr>
                <w:rFonts w:eastAsia="宋体"/>
                <w:b/>
                <w:kern w:val="0"/>
                <w:sz w:val="19"/>
                <w:szCs w:val="22"/>
                <w:lang w:val="en-US" w:eastAsia="en-US" w:bidi="ar-SA"/>
              </w:rPr>
              <w:t xml:space="preserve">Y2 </w:t>
            </w:r>
            <w:r>
              <w:rPr>
                <w:rFonts w:ascii="宋体" w:hAnsi="宋体"/>
                <w:b/>
                <w:kern w:val="0"/>
                <w:sz w:val="19"/>
                <w:szCs w:val="22"/>
                <w:lang w:val="en-US" w:eastAsia="en-US" w:bidi="ar-SA"/>
              </w:rPr>
              <w:t>目标情景</w:t>
            </w:r>
          </w:p>
        </w:tc>
        <w:tc>
          <w:tcPr>
            <w:tcW w:w="2293" w:type="dxa"/>
            <w:shd w:val="clear" w:color="auto" w:fill="D9EAF7"/>
            <w:vAlign w:val="center"/>
          </w:tcPr>
          <w:p w14:paraId="213EEBD6">
            <w:pPr>
              <w:widowControl/>
              <w:spacing w:before="0" w:after="0" w:line="240" w:lineRule="auto"/>
              <w:jc w:val="center"/>
              <w:rPr>
                <w:kern w:val="0"/>
                <w:szCs w:val="22"/>
                <w:lang w:val="en-US" w:eastAsia="en-US" w:bidi="ar-SA"/>
              </w:rPr>
            </w:pPr>
            <w:r>
              <w:rPr>
                <w:rFonts w:eastAsia="宋体"/>
                <w:b/>
                <w:kern w:val="0"/>
                <w:sz w:val="19"/>
                <w:szCs w:val="22"/>
                <w:lang w:val="en-US" w:eastAsia="en-US" w:bidi="ar-SA"/>
              </w:rPr>
              <w:t xml:space="preserve">Y3 </w:t>
            </w:r>
            <w:r>
              <w:rPr>
                <w:rFonts w:ascii="宋体" w:hAnsi="宋体"/>
                <w:b/>
                <w:kern w:val="0"/>
                <w:sz w:val="19"/>
                <w:szCs w:val="22"/>
                <w:lang w:val="en-US" w:eastAsia="en-US" w:bidi="ar-SA"/>
              </w:rPr>
              <w:t>目标情景</w:t>
            </w:r>
          </w:p>
        </w:tc>
      </w:tr>
      <w:tr w14:paraId="5E06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4F194DA5">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覆盖高校</w:t>
            </w:r>
          </w:p>
        </w:tc>
        <w:tc>
          <w:tcPr>
            <w:tcW w:w="2294" w:type="dxa"/>
            <w:vAlign w:val="center"/>
          </w:tcPr>
          <w:p w14:paraId="4F5776CC">
            <w:pPr>
              <w:widowControl/>
              <w:spacing w:before="0" w:after="0" w:line="288" w:lineRule="auto"/>
              <w:jc w:val="center"/>
              <w:rPr>
                <w:kern w:val="0"/>
                <w:szCs w:val="22"/>
                <w:lang w:val="en-US" w:eastAsia="en-US" w:bidi="ar-SA"/>
              </w:rPr>
            </w:pPr>
            <w:r>
              <w:rPr>
                <w:rFonts w:eastAsia="宋体"/>
                <w:kern w:val="0"/>
                <w:sz w:val="18"/>
                <w:szCs w:val="22"/>
                <w:lang w:val="en-US" w:eastAsia="en-US" w:bidi="ar-SA"/>
              </w:rPr>
              <w:t>2</w:t>
            </w:r>
            <w:r>
              <w:rPr>
                <w:rFonts w:ascii="宋体" w:hAnsi="宋体"/>
                <w:kern w:val="0"/>
                <w:sz w:val="18"/>
                <w:szCs w:val="22"/>
                <w:lang w:val="en-US" w:eastAsia="en-US" w:bidi="ar-SA"/>
              </w:rPr>
              <w:t>所</w:t>
            </w:r>
          </w:p>
        </w:tc>
        <w:tc>
          <w:tcPr>
            <w:tcW w:w="2294" w:type="dxa"/>
            <w:vAlign w:val="center"/>
          </w:tcPr>
          <w:p w14:paraId="48EEB6D1">
            <w:pPr>
              <w:widowControl/>
              <w:spacing w:before="0" w:after="0" w:line="288" w:lineRule="auto"/>
              <w:jc w:val="center"/>
              <w:rPr>
                <w:kern w:val="0"/>
                <w:szCs w:val="22"/>
                <w:lang w:val="en-US" w:eastAsia="en-US" w:bidi="ar-SA"/>
              </w:rPr>
            </w:pPr>
            <w:r>
              <w:rPr>
                <w:rFonts w:eastAsia="宋体"/>
                <w:kern w:val="0"/>
                <w:sz w:val="18"/>
                <w:szCs w:val="22"/>
                <w:lang w:val="en-US" w:eastAsia="en-US" w:bidi="ar-SA"/>
              </w:rPr>
              <w:t>10</w:t>
            </w:r>
            <w:r>
              <w:rPr>
                <w:rFonts w:ascii="宋体" w:hAnsi="宋体"/>
                <w:kern w:val="0"/>
                <w:sz w:val="18"/>
                <w:szCs w:val="22"/>
                <w:lang w:val="en-US" w:eastAsia="en-US" w:bidi="ar-SA"/>
              </w:rPr>
              <w:t>所</w:t>
            </w:r>
          </w:p>
        </w:tc>
        <w:tc>
          <w:tcPr>
            <w:tcW w:w="2293" w:type="dxa"/>
            <w:vAlign w:val="center"/>
          </w:tcPr>
          <w:p w14:paraId="63BEAFF4">
            <w:pPr>
              <w:widowControl/>
              <w:spacing w:before="0" w:after="0" w:line="288" w:lineRule="auto"/>
              <w:jc w:val="center"/>
              <w:rPr>
                <w:kern w:val="0"/>
                <w:szCs w:val="22"/>
                <w:lang w:val="en-US" w:eastAsia="en-US" w:bidi="ar-SA"/>
              </w:rPr>
            </w:pPr>
            <w:r>
              <w:rPr>
                <w:rFonts w:eastAsia="宋体"/>
                <w:kern w:val="0"/>
                <w:sz w:val="18"/>
                <w:szCs w:val="22"/>
                <w:lang w:val="en-US" w:eastAsia="en-US" w:bidi="ar-SA"/>
              </w:rPr>
              <w:t>35</w:t>
            </w:r>
            <w:r>
              <w:rPr>
                <w:rFonts w:ascii="宋体" w:hAnsi="宋体"/>
                <w:kern w:val="0"/>
                <w:sz w:val="18"/>
                <w:szCs w:val="22"/>
                <w:lang w:val="en-US" w:eastAsia="en-US" w:bidi="ar-SA"/>
              </w:rPr>
              <w:t>所</w:t>
            </w:r>
          </w:p>
        </w:tc>
      </w:tr>
      <w:tr w14:paraId="6B4D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42DC967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营业收入</w:t>
            </w:r>
          </w:p>
        </w:tc>
        <w:tc>
          <w:tcPr>
            <w:tcW w:w="2294" w:type="dxa"/>
            <w:vAlign w:val="center"/>
          </w:tcPr>
          <w:p w14:paraId="2C729B2B">
            <w:pPr>
              <w:widowControl/>
              <w:spacing w:before="0" w:after="0" w:line="288" w:lineRule="auto"/>
              <w:jc w:val="center"/>
              <w:rPr>
                <w:kern w:val="0"/>
                <w:szCs w:val="22"/>
                <w:lang w:val="en-US" w:eastAsia="en-US" w:bidi="ar-SA"/>
              </w:rPr>
            </w:pPr>
            <w:r>
              <w:rPr>
                <w:rFonts w:eastAsia="宋体"/>
                <w:kern w:val="0"/>
                <w:sz w:val="18"/>
                <w:szCs w:val="22"/>
                <w:lang w:val="en-US" w:eastAsia="en-US" w:bidi="ar-SA"/>
              </w:rPr>
              <w:t>12.5</w:t>
            </w:r>
            <w:r>
              <w:rPr>
                <w:rFonts w:ascii="宋体" w:hAnsi="宋体"/>
                <w:kern w:val="0"/>
                <w:sz w:val="18"/>
                <w:szCs w:val="22"/>
                <w:lang w:val="en-US" w:eastAsia="en-US" w:bidi="ar-SA"/>
              </w:rPr>
              <w:t>万元</w:t>
            </w:r>
          </w:p>
        </w:tc>
        <w:tc>
          <w:tcPr>
            <w:tcW w:w="2294" w:type="dxa"/>
            <w:vAlign w:val="center"/>
          </w:tcPr>
          <w:p w14:paraId="275FEAFA">
            <w:pPr>
              <w:widowControl/>
              <w:spacing w:before="0" w:after="0" w:line="288" w:lineRule="auto"/>
              <w:jc w:val="center"/>
              <w:rPr>
                <w:kern w:val="0"/>
                <w:szCs w:val="22"/>
                <w:lang w:val="en-US" w:eastAsia="en-US" w:bidi="ar-SA"/>
              </w:rPr>
            </w:pPr>
            <w:r>
              <w:rPr>
                <w:rFonts w:eastAsia="宋体"/>
                <w:kern w:val="0"/>
                <w:sz w:val="18"/>
                <w:szCs w:val="22"/>
                <w:lang w:val="en-US" w:eastAsia="en-US" w:bidi="ar-SA"/>
              </w:rPr>
              <w:t>68</w:t>
            </w:r>
            <w:r>
              <w:rPr>
                <w:rFonts w:ascii="宋体" w:hAnsi="宋体"/>
                <w:kern w:val="0"/>
                <w:sz w:val="18"/>
                <w:szCs w:val="22"/>
                <w:lang w:val="en-US" w:eastAsia="en-US" w:bidi="ar-SA"/>
              </w:rPr>
              <w:t>万元</w:t>
            </w:r>
          </w:p>
        </w:tc>
        <w:tc>
          <w:tcPr>
            <w:tcW w:w="2293" w:type="dxa"/>
            <w:vAlign w:val="center"/>
          </w:tcPr>
          <w:p w14:paraId="0D789F02">
            <w:pPr>
              <w:widowControl/>
              <w:spacing w:before="0" w:after="0" w:line="288" w:lineRule="auto"/>
              <w:jc w:val="center"/>
              <w:rPr>
                <w:kern w:val="0"/>
                <w:szCs w:val="22"/>
                <w:lang w:val="en-US" w:eastAsia="en-US" w:bidi="ar-SA"/>
              </w:rPr>
            </w:pPr>
            <w:r>
              <w:rPr>
                <w:rFonts w:eastAsia="宋体"/>
                <w:kern w:val="0"/>
                <w:sz w:val="18"/>
                <w:szCs w:val="22"/>
                <w:lang w:val="en-US" w:eastAsia="en-US" w:bidi="ar-SA"/>
              </w:rPr>
              <w:t>240</w:t>
            </w:r>
            <w:r>
              <w:rPr>
                <w:rFonts w:ascii="宋体" w:hAnsi="宋体"/>
                <w:kern w:val="0"/>
                <w:sz w:val="18"/>
                <w:szCs w:val="22"/>
                <w:lang w:val="en-US" w:eastAsia="en-US" w:bidi="ar-SA"/>
              </w:rPr>
              <w:t>万元</w:t>
            </w:r>
          </w:p>
        </w:tc>
      </w:tr>
      <w:tr w14:paraId="57C0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7427A79B">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硬件投入</w:t>
            </w:r>
          </w:p>
        </w:tc>
        <w:tc>
          <w:tcPr>
            <w:tcW w:w="2294" w:type="dxa"/>
            <w:vAlign w:val="center"/>
          </w:tcPr>
          <w:p w14:paraId="1CD5C05C">
            <w:pPr>
              <w:widowControl/>
              <w:spacing w:before="0" w:after="0" w:line="288" w:lineRule="auto"/>
              <w:jc w:val="center"/>
              <w:rPr>
                <w:kern w:val="0"/>
                <w:szCs w:val="22"/>
                <w:lang w:val="en-US" w:eastAsia="en-US" w:bidi="ar-SA"/>
              </w:rPr>
            </w:pPr>
            <w:r>
              <w:rPr>
                <w:rFonts w:eastAsia="宋体"/>
                <w:kern w:val="0"/>
                <w:sz w:val="18"/>
                <w:szCs w:val="22"/>
                <w:lang w:val="en-US" w:eastAsia="en-US" w:bidi="ar-SA"/>
              </w:rPr>
              <w:t>8</w:t>
            </w:r>
            <w:r>
              <w:rPr>
                <w:rFonts w:ascii="宋体" w:hAnsi="宋体"/>
                <w:kern w:val="0"/>
                <w:sz w:val="18"/>
                <w:szCs w:val="22"/>
                <w:lang w:val="en-US" w:eastAsia="en-US" w:bidi="ar-SA"/>
              </w:rPr>
              <w:t>万元</w:t>
            </w:r>
          </w:p>
        </w:tc>
        <w:tc>
          <w:tcPr>
            <w:tcW w:w="2294" w:type="dxa"/>
            <w:vAlign w:val="center"/>
          </w:tcPr>
          <w:p w14:paraId="3160DCBF">
            <w:pPr>
              <w:widowControl/>
              <w:spacing w:before="0" w:after="0" w:line="288" w:lineRule="auto"/>
              <w:jc w:val="center"/>
              <w:rPr>
                <w:kern w:val="0"/>
                <w:szCs w:val="22"/>
                <w:lang w:val="en-US" w:eastAsia="en-US" w:bidi="ar-SA"/>
              </w:rPr>
            </w:pPr>
            <w:r>
              <w:rPr>
                <w:rFonts w:eastAsia="宋体"/>
                <w:kern w:val="0"/>
                <w:sz w:val="18"/>
                <w:szCs w:val="22"/>
                <w:lang w:val="en-US" w:eastAsia="en-US" w:bidi="ar-SA"/>
              </w:rPr>
              <w:t>30</w:t>
            </w:r>
            <w:r>
              <w:rPr>
                <w:rFonts w:ascii="宋体" w:hAnsi="宋体"/>
                <w:kern w:val="0"/>
                <w:sz w:val="18"/>
                <w:szCs w:val="22"/>
                <w:lang w:val="en-US" w:eastAsia="en-US" w:bidi="ar-SA"/>
              </w:rPr>
              <w:t>万元</w:t>
            </w:r>
          </w:p>
        </w:tc>
        <w:tc>
          <w:tcPr>
            <w:tcW w:w="2293" w:type="dxa"/>
            <w:vAlign w:val="center"/>
          </w:tcPr>
          <w:p w14:paraId="6B15F9B9">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按扩张计划动态投入</w:t>
            </w:r>
          </w:p>
        </w:tc>
      </w:tr>
      <w:tr w14:paraId="129B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94" w:type="dxa"/>
            <w:vAlign w:val="center"/>
          </w:tcPr>
          <w:p w14:paraId="4E764943">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净利润</w:t>
            </w:r>
          </w:p>
        </w:tc>
        <w:tc>
          <w:tcPr>
            <w:tcW w:w="2294" w:type="dxa"/>
            <w:vAlign w:val="center"/>
          </w:tcPr>
          <w:p w14:paraId="0D22047B">
            <w:pPr>
              <w:widowControl/>
              <w:spacing w:before="0" w:after="0" w:line="288" w:lineRule="auto"/>
              <w:jc w:val="center"/>
              <w:rPr>
                <w:kern w:val="0"/>
                <w:szCs w:val="22"/>
                <w:lang w:val="en-US" w:eastAsia="en-US" w:bidi="ar-SA"/>
              </w:rPr>
            </w:pPr>
            <w:r>
              <w:rPr>
                <w:rFonts w:eastAsia="宋体"/>
                <w:kern w:val="0"/>
                <w:sz w:val="18"/>
                <w:szCs w:val="22"/>
                <w:lang w:val="en-US" w:eastAsia="en-US" w:bidi="ar-SA"/>
              </w:rPr>
              <w:t>2.5</w:t>
            </w:r>
            <w:r>
              <w:rPr>
                <w:rFonts w:ascii="宋体" w:hAnsi="宋体"/>
                <w:kern w:val="0"/>
                <w:sz w:val="18"/>
                <w:szCs w:val="22"/>
                <w:lang w:val="en-US" w:eastAsia="en-US" w:bidi="ar-SA"/>
              </w:rPr>
              <w:t>万元</w:t>
            </w:r>
          </w:p>
        </w:tc>
        <w:tc>
          <w:tcPr>
            <w:tcW w:w="2294" w:type="dxa"/>
            <w:vAlign w:val="center"/>
          </w:tcPr>
          <w:p w14:paraId="29FC7034">
            <w:pPr>
              <w:widowControl/>
              <w:spacing w:before="0" w:after="0" w:line="288" w:lineRule="auto"/>
              <w:jc w:val="center"/>
              <w:rPr>
                <w:kern w:val="0"/>
                <w:szCs w:val="22"/>
                <w:lang w:val="en-US" w:eastAsia="en-US" w:bidi="ar-SA"/>
              </w:rPr>
            </w:pPr>
            <w:r>
              <w:rPr>
                <w:rFonts w:eastAsia="宋体"/>
                <w:kern w:val="0"/>
                <w:sz w:val="18"/>
                <w:szCs w:val="22"/>
                <w:lang w:val="en-US" w:eastAsia="en-US" w:bidi="ar-SA"/>
              </w:rPr>
              <w:t>26</w:t>
            </w:r>
            <w:r>
              <w:rPr>
                <w:rFonts w:ascii="宋体" w:hAnsi="宋体"/>
                <w:kern w:val="0"/>
                <w:sz w:val="18"/>
                <w:szCs w:val="22"/>
                <w:lang w:val="en-US" w:eastAsia="en-US" w:bidi="ar-SA"/>
              </w:rPr>
              <w:t>万元</w:t>
            </w:r>
          </w:p>
        </w:tc>
        <w:tc>
          <w:tcPr>
            <w:tcW w:w="2293" w:type="dxa"/>
            <w:vAlign w:val="center"/>
          </w:tcPr>
          <w:p w14:paraId="17872DA3">
            <w:pPr>
              <w:widowControl/>
              <w:spacing w:before="0" w:after="0" w:line="288" w:lineRule="auto"/>
              <w:jc w:val="center"/>
              <w:rPr>
                <w:kern w:val="0"/>
                <w:szCs w:val="22"/>
                <w:lang w:val="en-US" w:eastAsia="en-US" w:bidi="ar-SA"/>
              </w:rPr>
            </w:pPr>
            <w:r>
              <w:rPr>
                <w:rFonts w:eastAsia="宋体"/>
                <w:kern w:val="0"/>
                <w:sz w:val="18"/>
                <w:szCs w:val="22"/>
                <w:lang w:val="en-US" w:eastAsia="en-US" w:bidi="ar-SA"/>
              </w:rPr>
              <w:t>105</w:t>
            </w:r>
            <w:r>
              <w:rPr>
                <w:rFonts w:ascii="宋体" w:hAnsi="宋体"/>
                <w:kern w:val="0"/>
                <w:sz w:val="18"/>
                <w:szCs w:val="22"/>
                <w:lang w:val="en-US" w:eastAsia="en-US" w:bidi="ar-SA"/>
              </w:rPr>
              <w:t>万元</w:t>
            </w:r>
          </w:p>
        </w:tc>
      </w:tr>
    </w:tbl>
    <w:p w14:paraId="7B87FD66"/>
    <w:p w14:paraId="0D9C6CEC">
      <w:pPr>
        <w:spacing w:before="0" w:after="100" w:line="360" w:lineRule="auto"/>
        <w:ind w:firstLine="420"/>
      </w:pPr>
      <w:r>
        <w:rPr>
          <w:rFonts w:ascii="宋体" w:hAnsi="宋体"/>
          <w:b w:val="0"/>
          <w:sz w:val="21"/>
        </w:rPr>
        <w:t>以上数字为原稿提出的目标情景，不应直接视为已验证预测。正式参赛时必须附收入构成、单位经济模型、成本明细和现金流测算，并进行敏感性分析。</w:t>
      </w:r>
    </w:p>
    <w:p w14:paraId="6289C5FE">
      <w:pPr>
        <w:pStyle w:val="4"/>
        <w:outlineLvl w:val="0"/>
      </w:pPr>
      <w:bookmarkStart w:id="45" w:name="_Toc6268"/>
      <w:r>
        <w:t>8.3 成本与费用预测</w:t>
      </w:r>
      <w:bookmarkEnd w:id="45"/>
    </w:p>
    <w:p w14:paraId="39610EE6">
      <w:pPr>
        <w:pStyle w:val="16"/>
        <w:numPr>
          <w:ilvl w:val="0"/>
          <w:numId w:val="3"/>
        </w:numPr>
        <w:spacing w:before="0" w:after="40" w:line="336" w:lineRule="auto"/>
        <w:contextualSpacing/>
      </w:pPr>
      <w:r>
        <w:rPr>
          <w:rFonts w:ascii="宋体" w:hAnsi="宋体"/>
          <w:sz w:val="21"/>
        </w:rPr>
        <w:t>固定成本：平台开发维护、仓储基础费用、软件服务和必要的设备折旧。</w:t>
      </w:r>
    </w:p>
    <w:p w14:paraId="6C9D1F82">
      <w:pPr>
        <w:pStyle w:val="16"/>
        <w:numPr>
          <w:ilvl w:val="0"/>
          <w:numId w:val="3"/>
        </w:numPr>
        <w:spacing w:before="0" w:after="40" w:line="336" w:lineRule="auto"/>
        <w:contextualSpacing/>
      </w:pPr>
      <w:r>
        <w:rPr>
          <w:rFonts w:ascii="宋体" w:hAnsi="宋体"/>
          <w:sz w:val="21"/>
        </w:rPr>
        <w:t>变动成本：图书采购、包装、运输、平台支付手续费和用户激励。</w:t>
      </w:r>
    </w:p>
    <w:p w14:paraId="7C5B97C2">
      <w:pPr>
        <w:pStyle w:val="16"/>
        <w:numPr>
          <w:ilvl w:val="0"/>
          <w:numId w:val="3"/>
        </w:numPr>
        <w:spacing w:before="0" w:after="40" w:line="336" w:lineRule="auto"/>
        <w:contextualSpacing/>
      </w:pPr>
      <w:r>
        <w:rPr>
          <w:rFonts w:ascii="宋体" w:hAnsi="宋体"/>
          <w:sz w:val="21"/>
        </w:rPr>
        <w:t>扩张成本：智能柜采购、安装、维护和新学校市场推广。</w:t>
      </w:r>
    </w:p>
    <w:p w14:paraId="3DA72AC0">
      <w:pPr>
        <w:pStyle w:val="16"/>
        <w:numPr>
          <w:ilvl w:val="0"/>
          <w:numId w:val="3"/>
        </w:numPr>
        <w:spacing w:before="0" w:after="40" w:line="336" w:lineRule="auto"/>
        <w:contextualSpacing/>
      </w:pPr>
      <w:r>
        <w:rPr>
          <w:rFonts w:ascii="宋体" w:hAnsi="宋体"/>
          <w:sz w:val="21"/>
        </w:rPr>
        <w:t>人工成本：前期以校园大使、勤工助学和核心团队为主，规模化后逐步引入专职人员。</w:t>
      </w:r>
    </w:p>
    <w:p w14:paraId="7950ADDE">
      <w:pPr>
        <w:pStyle w:val="4"/>
        <w:outlineLvl w:val="0"/>
      </w:pPr>
      <w:bookmarkStart w:id="46" w:name="_Toc24831"/>
      <w:r>
        <w:t>8.4 利润表与现金流分析</w:t>
      </w:r>
      <w:bookmarkEnd w:id="46"/>
    </w:p>
    <w:p w14:paraId="4F644106">
      <w:pPr>
        <w:spacing w:before="0" w:after="100" w:line="360" w:lineRule="auto"/>
        <w:ind w:firstLine="420"/>
      </w:pPr>
      <w:r>
        <w:rPr>
          <w:rFonts w:ascii="宋体" w:hAnsi="宋体"/>
          <w:b w:val="0"/>
          <w:sz w:val="21"/>
        </w:rPr>
        <w:t>财务模型应至少按月建立前</w:t>
      </w:r>
      <w:r>
        <w:rPr>
          <w:rFonts w:eastAsia="宋体"/>
          <w:b w:val="0"/>
          <w:sz w:val="21"/>
        </w:rPr>
        <w:t>18</w:t>
      </w:r>
      <w:r>
        <w:rPr>
          <w:rFonts w:ascii="宋体" w:hAnsi="宋体"/>
          <w:b w:val="0"/>
          <w:sz w:val="21"/>
        </w:rPr>
        <w:t>个月现金流预测，并按年度形成</w:t>
      </w:r>
      <w:r>
        <w:rPr>
          <w:rFonts w:eastAsia="宋体"/>
          <w:b w:val="0"/>
          <w:sz w:val="21"/>
        </w:rPr>
        <w:t>3—5</w:t>
      </w:r>
      <w:r>
        <w:rPr>
          <w:rFonts w:ascii="宋体" w:hAnsi="宋体"/>
          <w:b w:val="0"/>
          <w:sz w:val="21"/>
        </w:rPr>
        <w:t>年财务预测。重点观察现金余额、库存占用、应收</w:t>
      </w:r>
      <w:r>
        <w:rPr>
          <w:rFonts w:eastAsia="宋体"/>
          <w:b w:val="0"/>
          <w:sz w:val="21"/>
        </w:rPr>
        <w:t>/</w:t>
      </w:r>
      <w:r>
        <w:rPr>
          <w:rFonts w:ascii="宋体" w:hAnsi="宋体"/>
          <w:b w:val="0"/>
          <w:sz w:val="21"/>
        </w:rPr>
        <w:t>应付、单位获客成本、单本毛利、库存周转天数和盈亏平衡点。</w:t>
      </w:r>
    </w:p>
    <w:p w14:paraId="7BBD0B7B">
      <w:pPr>
        <w:pStyle w:val="4"/>
        <w:outlineLvl w:val="0"/>
      </w:pPr>
      <w:bookmarkStart w:id="47" w:name="_Toc22180"/>
      <w:r>
        <w:t>8.5 盈亏平衡点与ROI</w:t>
      </w:r>
      <w:bookmarkEnd w:id="47"/>
    </w:p>
    <w:p w14:paraId="2FDDD973">
      <w:pPr>
        <w:spacing w:before="0" w:after="100" w:line="360" w:lineRule="auto"/>
        <w:ind w:firstLine="420"/>
      </w:pPr>
      <w:r>
        <w:rPr>
          <w:rFonts w:ascii="宋体" w:hAnsi="宋体"/>
          <w:b w:val="0"/>
          <w:sz w:val="21"/>
        </w:rPr>
        <w:t xml:space="preserve">盈亏平衡点公式：固定成本 </w:t>
      </w:r>
      <w:r>
        <w:rPr>
          <w:rFonts w:eastAsia="宋体"/>
          <w:b w:val="0"/>
          <w:sz w:val="21"/>
        </w:rPr>
        <w:t xml:space="preserve">÷ </w:t>
      </w:r>
      <w:r>
        <w:rPr>
          <w:rFonts w:ascii="宋体" w:hAnsi="宋体"/>
          <w:b w:val="0"/>
          <w:sz w:val="21"/>
        </w:rPr>
        <w:t xml:space="preserve">单位贡献毛利 </w:t>
      </w:r>
      <w:r>
        <w:rPr>
          <w:rFonts w:eastAsia="宋体"/>
          <w:b w:val="0"/>
          <w:sz w:val="21"/>
        </w:rPr>
        <w:t xml:space="preserve">= </w:t>
      </w:r>
      <w:r>
        <w:rPr>
          <w:rFonts w:ascii="宋体" w:hAnsi="宋体"/>
          <w:b w:val="0"/>
          <w:sz w:val="21"/>
        </w:rPr>
        <w:t>盈亏平衡销量。</w:t>
      </w:r>
      <w:r>
        <w:rPr>
          <w:rFonts w:eastAsia="宋体"/>
          <w:b w:val="0"/>
          <w:sz w:val="21"/>
        </w:rPr>
        <w:t>ROI</w:t>
      </w:r>
      <w:r>
        <w:rPr>
          <w:rFonts w:ascii="宋体" w:hAnsi="宋体"/>
          <w:b w:val="0"/>
          <w:sz w:val="21"/>
        </w:rPr>
        <w:t>则根据实际投入资本和项目累计净收益计算。由于项目尚未提供真实单位成本、客单价和固定成本数据，本版本不虚构具体</w:t>
      </w:r>
      <w:r>
        <w:rPr>
          <w:rFonts w:eastAsia="宋体"/>
          <w:b w:val="0"/>
          <w:sz w:val="21"/>
        </w:rPr>
        <w:t>BEP</w:t>
      </w:r>
      <w:r>
        <w:rPr>
          <w:rFonts w:ascii="宋体" w:hAnsi="宋体"/>
          <w:b w:val="0"/>
          <w:sz w:val="21"/>
        </w:rPr>
        <w:t>或</w:t>
      </w:r>
      <w:r>
        <w:rPr>
          <w:rFonts w:eastAsia="宋体"/>
          <w:b w:val="0"/>
          <w:sz w:val="21"/>
        </w:rPr>
        <w:t>ROI</w:t>
      </w:r>
      <w:r>
        <w:rPr>
          <w:rFonts w:ascii="宋体" w:hAnsi="宋体"/>
          <w:b w:val="0"/>
          <w:sz w:val="21"/>
        </w:rPr>
        <w:t>数值。</w:t>
      </w:r>
    </w:p>
    <w:p w14:paraId="202E3BC1">
      <w:pPr>
        <w:pStyle w:val="3"/>
      </w:pPr>
      <w:bookmarkStart w:id="48" w:name="_Toc19099"/>
      <w:r>
        <w:t>第九章 风险分析与应对措施</w:t>
      </w:r>
      <w:bookmarkEnd w:id="48"/>
    </w:p>
    <w:tbl>
      <w:tblPr>
        <w:tblStyle w:val="37"/>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9"/>
        <w:gridCol w:w="3059"/>
        <w:gridCol w:w="3059"/>
      </w:tblGrid>
      <w:tr w14:paraId="1AC5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shd w:val="clear" w:color="auto" w:fill="D9EAF7"/>
            <w:vAlign w:val="center"/>
          </w:tcPr>
          <w:p w14:paraId="046CA32E">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风险</w:t>
            </w:r>
          </w:p>
        </w:tc>
        <w:tc>
          <w:tcPr>
            <w:tcW w:w="3059" w:type="dxa"/>
            <w:shd w:val="clear" w:color="auto" w:fill="D9EAF7"/>
            <w:vAlign w:val="center"/>
          </w:tcPr>
          <w:p w14:paraId="6D425576">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表现</w:t>
            </w:r>
          </w:p>
        </w:tc>
        <w:tc>
          <w:tcPr>
            <w:tcW w:w="3059" w:type="dxa"/>
            <w:shd w:val="clear" w:color="auto" w:fill="D9EAF7"/>
            <w:vAlign w:val="center"/>
          </w:tcPr>
          <w:p w14:paraId="6F3F74E2">
            <w:pPr>
              <w:widowControl/>
              <w:spacing w:before="0" w:after="0" w:line="240" w:lineRule="auto"/>
              <w:jc w:val="center"/>
              <w:rPr>
                <w:kern w:val="0"/>
                <w:szCs w:val="22"/>
                <w:lang w:val="en-US" w:eastAsia="en-US" w:bidi="ar-SA"/>
              </w:rPr>
            </w:pPr>
            <w:r>
              <w:rPr>
                <w:rFonts w:ascii="宋体" w:hAnsi="宋体"/>
                <w:b/>
                <w:kern w:val="0"/>
                <w:sz w:val="19"/>
                <w:szCs w:val="22"/>
                <w:lang w:val="en-US" w:eastAsia="en-US" w:bidi="ar-SA"/>
              </w:rPr>
              <w:t>应对措施</w:t>
            </w:r>
          </w:p>
        </w:tc>
      </w:tr>
      <w:tr w14:paraId="268E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122B4B9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技术与硬件风险</w:t>
            </w:r>
          </w:p>
        </w:tc>
        <w:tc>
          <w:tcPr>
            <w:tcW w:w="3059" w:type="dxa"/>
            <w:vAlign w:val="center"/>
          </w:tcPr>
          <w:p w14:paraId="357F5C97">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智能柜故障、识别误差、网络中断</w:t>
            </w:r>
          </w:p>
        </w:tc>
        <w:tc>
          <w:tcPr>
            <w:tcW w:w="3059" w:type="dxa"/>
            <w:vAlign w:val="center"/>
          </w:tcPr>
          <w:p w14:paraId="0B24C981">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先人工回收验证需求；硬件模块化；设置人工接管和故障报警</w:t>
            </w:r>
          </w:p>
        </w:tc>
      </w:tr>
      <w:tr w14:paraId="19283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74C1794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市场竞争风险</w:t>
            </w:r>
          </w:p>
        </w:tc>
        <w:tc>
          <w:tcPr>
            <w:tcW w:w="3059" w:type="dxa"/>
            <w:vAlign w:val="center"/>
          </w:tcPr>
          <w:p w14:paraId="518B3D55">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综合二手平台抢占用户</w:t>
            </w:r>
          </w:p>
        </w:tc>
        <w:tc>
          <w:tcPr>
            <w:tcW w:w="3059" w:type="dxa"/>
            <w:vAlign w:val="center"/>
          </w:tcPr>
          <w:p w14:paraId="236E50C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聚焦校园专业教材、线下即时交付和校园合作</w:t>
            </w:r>
          </w:p>
        </w:tc>
      </w:tr>
      <w:tr w14:paraId="5586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3F8BFB6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用户留存风险</w:t>
            </w:r>
          </w:p>
        </w:tc>
        <w:tc>
          <w:tcPr>
            <w:tcW w:w="3059" w:type="dxa"/>
            <w:vAlign w:val="center"/>
          </w:tcPr>
          <w:p w14:paraId="26906E6C">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用户仅在毕业季使用</w:t>
            </w:r>
          </w:p>
        </w:tc>
        <w:tc>
          <w:tcPr>
            <w:tcW w:w="3059" w:type="dxa"/>
            <w:vAlign w:val="center"/>
          </w:tcPr>
          <w:p w14:paraId="77CF02A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增加租赁、换书、考研</w:t>
            </w:r>
            <w:r>
              <w:rPr>
                <w:rFonts w:eastAsia="宋体"/>
                <w:kern w:val="0"/>
                <w:sz w:val="18"/>
                <w:szCs w:val="22"/>
                <w:lang w:val="en-US" w:eastAsia="en-US" w:bidi="ar-SA"/>
              </w:rPr>
              <w:t>/</w:t>
            </w:r>
            <w:r>
              <w:rPr>
                <w:rFonts w:ascii="宋体" w:hAnsi="宋体"/>
                <w:kern w:val="0"/>
                <w:sz w:val="18"/>
                <w:szCs w:val="22"/>
                <w:lang w:val="en-US" w:eastAsia="en-US" w:bidi="ar-SA"/>
              </w:rPr>
              <w:t>考证专题和日常图书服务</w:t>
            </w:r>
          </w:p>
        </w:tc>
      </w:tr>
      <w:tr w14:paraId="2E49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13DF05E0">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校园进驻风险</w:t>
            </w:r>
          </w:p>
        </w:tc>
        <w:tc>
          <w:tcPr>
            <w:tcW w:w="3059" w:type="dxa"/>
            <w:vAlign w:val="center"/>
          </w:tcPr>
          <w:p w14:paraId="004D8372">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场地、宣传和设备安装受管理制度约束</w:t>
            </w:r>
          </w:p>
        </w:tc>
        <w:tc>
          <w:tcPr>
            <w:tcW w:w="3059" w:type="dxa"/>
            <w:vAlign w:val="center"/>
          </w:tcPr>
          <w:p w14:paraId="0716DD8D">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提前取得学校</w:t>
            </w:r>
            <w:r>
              <w:rPr>
                <w:rFonts w:eastAsia="宋体"/>
                <w:kern w:val="0"/>
                <w:sz w:val="18"/>
                <w:szCs w:val="22"/>
                <w:lang w:val="en-US" w:eastAsia="en-US" w:bidi="ar-SA"/>
              </w:rPr>
              <w:t>/</w:t>
            </w:r>
            <w:r>
              <w:rPr>
                <w:rFonts w:ascii="宋体" w:hAnsi="宋体"/>
                <w:kern w:val="0"/>
                <w:sz w:val="18"/>
                <w:szCs w:val="22"/>
                <w:lang w:val="en-US" w:eastAsia="en-US" w:bidi="ar-SA"/>
              </w:rPr>
              <w:t>后勤</w:t>
            </w:r>
            <w:r>
              <w:rPr>
                <w:rFonts w:eastAsia="宋体"/>
                <w:kern w:val="0"/>
                <w:sz w:val="18"/>
                <w:szCs w:val="22"/>
                <w:lang w:val="en-US" w:eastAsia="en-US" w:bidi="ar-SA"/>
              </w:rPr>
              <w:t>/</w:t>
            </w:r>
            <w:r>
              <w:rPr>
                <w:rFonts w:ascii="宋体" w:hAnsi="宋体"/>
                <w:kern w:val="0"/>
                <w:sz w:val="18"/>
                <w:szCs w:val="22"/>
                <w:lang w:val="en-US" w:eastAsia="en-US" w:bidi="ar-SA"/>
              </w:rPr>
              <w:t>物业书面授权，遵守校园管理规定</w:t>
            </w:r>
          </w:p>
        </w:tc>
      </w:tr>
      <w:tr w14:paraId="1CF4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41E591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库存风险</w:t>
            </w:r>
          </w:p>
        </w:tc>
        <w:tc>
          <w:tcPr>
            <w:tcW w:w="3059" w:type="dxa"/>
            <w:vAlign w:val="center"/>
          </w:tcPr>
          <w:p w14:paraId="532D151A">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滞销图书积压、资金占用</w:t>
            </w:r>
          </w:p>
        </w:tc>
        <w:tc>
          <w:tcPr>
            <w:tcW w:w="3059" w:type="dxa"/>
            <w:vAlign w:val="center"/>
          </w:tcPr>
          <w:p w14:paraId="44C76D8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设置库存上限、动态定价、捐赠和回收处理机制</w:t>
            </w:r>
          </w:p>
        </w:tc>
      </w:tr>
      <w:tr w14:paraId="6D56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7D193E8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版权合规风险</w:t>
            </w:r>
          </w:p>
        </w:tc>
        <w:tc>
          <w:tcPr>
            <w:tcW w:w="3059" w:type="dxa"/>
            <w:vAlign w:val="center"/>
          </w:tcPr>
          <w:p w14:paraId="47B2D3C8">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盗版教材、非法复制资料</w:t>
            </w:r>
          </w:p>
        </w:tc>
        <w:tc>
          <w:tcPr>
            <w:tcW w:w="3059" w:type="dxa"/>
            <w:vAlign w:val="center"/>
          </w:tcPr>
          <w:p w14:paraId="7E3B3FF3">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建立图书来源审核和黑名单；禁止销售盗版及侵权复制品</w:t>
            </w:r>
          </w:p>
        </w:tc>
      </w:tr>
      <w:tr w14:paraId="24C9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69D3519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数据安全风险</w:t>
            </w:r>
          </w:p>
        </w:tc>
        <w:tc>
          <w:tcPr>
            <w:tcW w:w="3059" w:type="dxa"/>
            <w:vAlign w:val="center"/>
          </w:tcPr>
          <w:p w14:paraId="131FA1A4">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个人信息和订单数据泄露</w:t>
            </w:r>
          </w:p>
        </w:tc>
        <w:tc>
          <w:tcPr>
            <w:tcW w:w="3059" w:type="dxa"/>
            <w:vAlign w:val="center"/>
          </w:tcPr>
          <w:p w14:paraId="1FAED38E">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最小化采集、权限控制、加密存储和日志审计</w:t>
            </w:r>
          </w:p>
        </w:tc>
      </w:tr>
      <w:tr w14:paraId="76EB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9" w:type="dxa"/>
            <w:vAlign w:val="center"/>
          </w:tcPr>
          <w:p w14:paraId="323B8013">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季节性风险</w:t>
            </w:r>
          </w:p>
        </w:tc>
        <w:tc>
          <w:tcPr>
            <w:tcW w:w="3059" w:type="dxa"/>
            <w:vAlign w:val="center"/>
          </w:tcPr>
          <w:p w14:paraId="2872BADA">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毕业季和开学季订单波动</w:t>
            </w:r>
          </w:p>
        </w:tc>
        <w:tc>
          <w:tcPr>
            <w:tcW w:w="3059" w:type="dxa"/>
            <w:vAlign w:val="center"/>
          </w:tcPr>
          <w:p w14:paraId="3868545F">
            <w:pPr>
              <w:widowControl/>
              <w:spacing w:before="0" w:after="0" w:line="288" w:lineRule="auto"/>
              <w:jc w:val="center"/>
              <w:rPr>
                <w:kern w:val="0"/>
                <w:szCs w:val="22"/>
                <w:lang w:val="en-US" w:eastAsia="en-US" w:bidi="ar-SA"/>
              </w:rPr>
            </w:pPr>
            <w:r>
              <w:rPr>
                <w:rFonts w:ascii="宋体" w:hAnsi="宋体"/>
                <w:kern w:val="0"/>
                <w:sz w:val="18"/>
                <w:szCs w:val="22"/>
                <w:lang w:val="en-US" w:eastAsia="en-US" w:bidi="ar-SA"/>
              </w:rPr>
              <w:t>淡季发展租赁、考研</w:t>
            </w:r>
            <w:r>
              <w:rPr>
                <w:rFonts w:eastAsia="宋体"/>
                <w:kern w:val="0"/>
                <w:sz w:val="18"/>
                <w:szCs w:val="22"/>
                <w:lang w:val="en-US" w:eastAsia="en-US" w:bidi="ar-SA"/>
              </w:rPr>
              <w:t>/</w:t>
            </w:r>
            <w:r>
              <w:rPr>
                <w:rFonts w:ascii="宋体" w:hAnsi="宋体"/>
                <w:kern w:val="0"/>
                <w:sz w:val="18"/>
                <w:szCs w:val="22"/>
                <w:lang w:val="en-US" w:eastAsia="en-US" w:bidi="ar-SA"/>
              </w:rPr>
              <w:t>考证和课外阅读业务</w:t>
            </w:r>
          </w:p>
        </w:tc>
      </w:tr>
    </w:tbl>
    <w:p w14:paraId="18717228"/>
    <w:p w14:paraId="3070AF04">
      <w:pPr>
        <w:pStyle w:val="4"/>
        <w:outlineLvl w:val="0"/>
      </w:pPr>
      <w:bookmarkStart w:id="49" w:name="_Toc26804"/>
      <w:r>
        <w:t>9.1 版权与合规</w:t>
      </w:r>
      <w:bookmarkEnd w:id="49"/>
    </w:p>
    <w:p w14:paraId="194C2BE0">
      <w:pPr>
        <w:spacing w:before="0" w:after="100" w:line="360" w:lineRule="auto"/>
        <w:ind w:firstLine="420"/>
      </w:pPr>
      <w:r>
        <w:rPr>
          <w:rFonts w:ascii="宋体" w:hAnsi="宋体"/>
          <w:b w:val="0"/>
          <w:sz w:val="21"/>
        </w:rPr>
        <w:t>平台原则上仅流转合法取得的正版实体图书。涉及教材扫描件、电子资料、复印资料等内容时，应明确禁止未经授权的复制、传播和交易。涉及学校系统对接时，应在获得学校正式授权和符合数据安全要求的前提下进行。</w:t>
      </w:r>
    </w:p>
    <w:p w14:paraId="126A5647">
      <w:pPr>
        <w:pStyle w:val="3"/>
      </w:pPr>
      <w:bookmarkStart w:id="50" w:name="_Toc30306"/>
      <w:r>
        <w:t>第十章 社会价值与育人成果</w:t>
      </w:r>
      <w:bookmarkEnd w:id="50"/>
    </w:p>
    <w:p w14:paraId="707CD485">
      <w:pPr>
        <w:pStyle w:val="4"/>
        <w:outlineLvl w:val="0"/>
      </w:pPr>
      <w:bookmarkStart w:id="51" w:name="_Toc21402"/>
      <w:r>
        <w:t>10.1 绿色低碳效应</w:t>
      </w:r>
      <w:bookmarkEnd w:id="51"/>
    </w:p>
    <w:p w14:paraId="50252D7E">
      <w:pPr>
        <w:spacing w:before="0" w:after="100" w:line="360" w:lineRule="auto"/>
        <w:ind w:firstLine="420"/>
      </w:pPr>
      <w:r>
        <w:rPr>
          <w:rFonts w:ascii="宋体" w:hAnsi="宋体"/>
          <w:b w:val="0"/>
          <w:sz w:val="21"/>
        </w:rPr>
        <w:t>项目通过提高二手图书流转率，减少部分图书过早进入废纸处理环节。平台可以记录回收册数、再流通册数、捐赠册数和回收重量等可核验数据。</w:t>
      </w:r>
    </w:p>
    <w:p w14:paraId="7AAC0A8A">
      <w:pPr>
        <w:spacing w:before="0" w:after="100" w:line="360" w:lineRule="auto"/>
        <w:ind w:firstLine="420"/>
      </w:pPr>
      <w:r>
        <w:rPr>
          <w:rFonts w:ascii="宋体" w:hAnsi="宋体"/>
          <w:b w:val="0"/>
          <w:sz w:val="21"/>
        </w:rPr>
        <w:t>原稿提出“每流转</w:t>
      </w:r>
      <w:r>
        <w:rPr>
          <w:rFonts w:eastAsia="宋体"/>
          <w:b w:val="0"/>
          <w:sz w:val="21"/>
        </w:rPr>
        <w:t>1</w:t>
      </w:r>
      <w:r>
        <w:rPr>
          <w:rFonts w:ascii="宋体" w:hAnsi="宋体"/>
          <w:b w:val="0"/>
          <w:sz w:val="21"/>
        </w:rPr>
        <w:t>本书减少碳排放约</w:t>
      </w:r>
      <w:r>
        <w:rPr>
          <w:rFonts w:eastAsia="宋体"/>
          <w:b w:val="0"/>
          <w:sz w:val="21"/>
        </w:rPr>
        <w:t>1.2kg”</w:t>
      </w:r>
      <w:r>
        <w:rPr>
          <w:rFonts w:ascii="宋体" w:hAnsi="宋体"/>
          <w:b w:val="0"/>
          <w:sz w:val="21"/>
        </w:rPr>
        <w:t>的固定数字，本版本不直接采用。正式参赛时建议基于纸张重量、再生利用替代关系、运输距离、能源消耗等参数开展生命周期评价（</w:t>
      </w:r>
      <w:r>
        <w:rPr>
          <w:rFonts w:eastAsia="宋体"/>
          <w:b w:val="0"/>
          <w:sz w:val="21"/>
        </w:rPr>
        <w:t>LCA</w:t>
      </w:r>
      <w:r>
        <w:rPr>
          <w:rFonts w:ascii="宋体" w:hAnsi="宋体"/>
          <w:b w:val="0"/>
          <w:sz w:val="21"/>
        </w:rPr>
        <w:t>）或引用具有明确方法学依据的公开研究，形成可审计的碳减排计算方法。</w:t>
      </w:r>
    </w:p>
    <w:p w14:paraId="60DEA0CD">
      <w:pPr>
        <w:pStyle w:val="4"/>
        <w:outlineLvl w:val="0"/>
      </w:pPr>
      <w:bookmarkStart w:id="52" w:name="_Toc11929"/>
      <w:r>
        <w:t>10.2 产教融合</w:t>
      </w:r>
      <w:bookmarkEnd w:id="52"/>
    </w:p>
    <w:p w14:paraId="1C382EF9">
      <w:pPr>
        <w:spacing w:before="0" w:after="100" w:line="360" w:lineRule="auto"/>
        <w:ind w:firstLine="420"/>
      </w:pPr>
      <w:r>
        <w:rPr>
          <w:rFonts w:ascii="宋体" w:hAnsi="宋体"/>
          <w:b w:val="0"/>
          <w:sz w:val="21"/>
        </w:rPr>
        <w:t>项目可以将软件开发、产品设计、市场调研、校园运营、财务管理和商务合作融入大学生创新创业实践，形成“课程学习—项目实践—创业孵化”的实践链条。</w:t>
      </w:r>
    </w:p>
    <w:p w14:paraId="351F541B">
      <w:pPr>
        <w:spacing w:before="0" w:after="100" w:line="360" w:lineRule="auto"/>
        <w:ind w:firstLine="420"/>
      </w:pPr>
      <w:r>
        <w:rPr>
          <w:rFonts w:ascii="宋体" w:hAnsi="宋体"/>
          <w:b w:val="0"/>
          <w:sz w:val="21"/>
        </w:rPr>
        <w:t>原稿提出“直接带动</w:t>
      </w:r>
      <w:r>
        <w:rPr>
          <w:rFonts w:eastAsia="宋体"/>
          <w:b w:val="0"/>
          <w:sz w:val="21"/>
        </w:rPr>
        <w:t>10+</w:t>
      </w:r>
      <w:r>
        <w:rPr>
          <w:rFonts w:ascii="宋体" w:hAnsi="宋体"/>
          <w:b w:val="0"/>
          <w:sz w:val="21"/>
        </w:rPr>
        <w:t>名大学生创业孵化、提供</w:t>
      </w:r>
      <w:r>
        <w:rPr>
          <w:rFonts w:eastAsia="宋体"/>
          <w:b w:val="0"/>
          <w:sz w:val="21"/>
        </w:rPr>
        <w:t>20+</w:t>
      </w:r>
      <w:r>
        <w:rPr>
          <w:rFonts w:ascii="宋体" w:hAnsi="宋体"/>
          <w:b w:val="0"/>
          <w:sz w:val="21"/>
        </w:rPr>
        <w:t>个勤工俭学岗位”等目标，应在形成真实岗位和运营数据后再作为成果披露；现阶段可作为阶段性发展目标。</w:t>
      </w:r>
    </w:p>
    <w:p w14:paraId="61C868D0">
      <w:pPr>
        <w:pStyle w:val="4"/>
        <w:outlineLvl w:val="0"/>
      </w:pPr>
      <w:bookmarkStart w:id="53" w:name="_Toc30035"/>
      <w:r>
        <w:t>10.3 “无废校园”与书香校园</w:t>
      </w:r>
      <w:bookmarkEnd w:id="53"/>
    </w:p>
    <w:p w14:paraId="61E0526A">
      <w:pPr>
        <w:spacing w:before="0" w:after="100" w:line="360" w:lineRule="auto"/>
        <w:ind w:firstLine="420"/>
      </w:pPr>
      <w:r>
        <w:rPr>
          <w:rFonts w:ascii="宋体" w:hAnsi="宋体"/>
          <w:b w:val="0"/>
          <w:sz w:val="21"/>
        </w:rPr>
        <w:t>通过旧书循环、图书漂流和公益捐赠等活动，项目能够服务绿色校园建设，并通过数字化数据记录形成可展示的校园循环利用成果，为学校开展环保教育、劳动教育和创新创业教育提供实践场景。</w:t>
      </w:r>
    </w:p>
    <w:p w14:paraId="7893BEAA">
      <w:pPr>
        <w:pStyle w:val="3"/>
        <w:outlineLvl w:val="9"/>
      </w:pPr>
      <w:r>
        <w:t>附录</w:t>
      </w:r>
    </w:p>
    <w:p w14:paraId="69097048">
      <w:pPr>
        <w:pStyle w:val="4"/>
        <w:outlineLvl w:val="0"/>
      </w:pPr>
      <w:bookmarkStart w:id="54" w:name="_Toc19183"/>
      <w:r>
        <w:t>附录A 专利证书及软件著作权列表</w:t>
      </w:r>
      <w:bookmarkEnd w:id="54"/>
    </w:p>
    <w:p w14:paraId="2BC4ED58">
      <w:pPr>
        <w:spacing w:before="0" w:after="100" w:line="360" w:lineRule="auto"/>
        <w:ind w:firstLine="420"/>
      </w:pPr>
      <w:r>
        <w:rPr>
          <w:rFonts w:ascii="宋体" w:hAnsi="宋体"/>
          <w:b w:val="0"/>
          <w:sz w:val="21"/>
        </w:rPr>
        <w:t>待项目形成正式知识产权成果后补充。</w:t>
      </w:r>
    </w:p>
    <w:p w14:paraId="3C668F5C">
      <w:pPr>
        <w:pStyle w:val="4"/>
        <w:outlineLvl w:val="0"/>
      </w:pPr>
      <w:bookmarkStart w:id="55" w:name="_Toc31215"/>
      <w:r>
        <w:t>附录B 团队荣誉与资质证书</w:t>
      </w:r>
      <w:bookmarkEnd w:id="55"/>
    </w:p>
    <w:p w14:paraId="73ECDE1F">
      <w:pPr>
        <w:spacing w:before="0" w:after="100" w:line="360" w:lineRule="auto"/>
        <w:ind w:firstLine="420"/>
      </w:pPr>
      <w:r>
        <w:rPr>
          <w:rFonts w:ascii="宋体" w:hAnsi="宋体"/>
          <w:b w:val="0"/>
          <w:sz w:val="21"/>
        </w:rPr>
        <w:t>补充团队成员创新创业比赛、软件开发、项目实践、专利</w:t>
      </w:r>
      <w:r>
        <w:rPr>
          <w:rFonts w:eastAsia="宋体"/>
          <w:b w:val="0"/>
          <w:sz w:val="21"/>
        </w:rPr>
        <w:t>/</w:t>
      </w:r>
      <w:r>
        <w:rPr>
          <w:rFonts w:ascii="宋体" w:hAnsi="宋体"/>
          <w:b w:val="0"/>
          <w:sz w:val="21"/>
        </w:rPr>
        <w:t>软著等真实证明材料。</w:t>
      </w:r>
    </w:p>
    <w:p w14:paraId="2102817C">
      <w:pPr>
        <w:pStyle w:val="4"/>
        <w:outlineLvl w:val="0"/>
      </w:pPr>
      <w:bookmarkStart w:id="56" w:name="_Toc5605"/>
      <w:r>
        <w:t>附录C 校企合作与后勤合作意向书</w:t>
      </w:r>
      <w:bookmarkEnd w:id="56"/>
    </w:p>
    <w:p w14:paraId="6C36DE9F">
      <w:pPr>
        <w:spacing w:before="0" w:after="100" w:line="360" w:lineRule="auto"/>
        <w:ind w:firstLine="420"/>
      </w:pPr>
      <w:r>
        <w:rPr>
          <w:rFonts w:ascii="宋体" w:hAnsi="宋体"/>
          <w:b w:val="0"/>
          <w:sz w:val="21"/>
        </w:rPr>
        <w:t>补充学校、后勤、图书馆、公益机构及企业的合作意向书或证明材料。</w:t>
      </w:r>
    </w:p>
    <w:p w14:paraId="179F944D">
      <w:pPr>
        <w:pStyle w:val="4"/>
      </w:pPr>
      <w:bookmarkStart w:id="57" w:name="_Toc24018"/>
      <w:r>
        <w:t>附录D 校园市场调研报告与问卷分析</w:t>
      </w:r>
      <w:bookmarkEnd w:id="57"/>
    </w:p>
    <w:p w14:paraId="4166BB84">
      <w:pPr>
        <w:spacing w:before="0" w:after="100" w:line="360" w:lineRule="auto"/>
        <w:ind w:firstLine="420"/>
      </w:pPr>
      <w:r>
        <w:rPr>
          <w:rFonts w:ascii="宋体" w:hAnsi="宋体"/>
          <w:b w:val="0"/>
          <w:sz w:val="21"/>
        </w:rPr>
        <w:t>建议至少形成：问卷原始数据、样本数量、受访者基本结构、旧书数量、处理方式、购买意愿、价格接受度、平台使用意愿、痛点排序等图表。</w:t>
      </w:r>
    </w:p>
    <w:p w14:paraId="411FF9D6">
      <w:pPr>
        <w:pStyle w:val="3"/>
      </w:pPr>
      <w:bookmarkStart w:id="58" w:name="_Toc11920"/>
      <w:r>
        <w:t>项目一句话总结</w:t>
      </w:r>
      <w:bookmarkEnd w:id="58"/>
    </w:p>
    <w:p w14:paraId="5D4A1E89">
      <w:pPr>
        <w:spacing w:before="0" w:after="100" w:line="360" w:lineRule="auto"/>
        <w:ind w:firstLine="420"/>
      </w:pPr>
      <w:r>
        <w:rPr>
          <w:rFonts w:eastAsia="宋体"/>
          <w:b w:val="0"/>
          <w:sz w:val="21"/>
        </w:rPr>
        <w:t>“</w:t>
      </w:r>
      <w:r>
        <w:rPr>
          <w:rFonts w:ascii="宋体" w:hAnsi="宋体"/>
          <w:b w:val="0"/>
          <w:sz w:val="21"/>
        </w:rPr>
        <w:t>书环智循环”以校园二手教材和图书为切入口，通过“数字平台</w:t>
      </w:r>
      <w:r>
        <w:rPr>
          <w:rFonts w:eastAsia="宋体"/>
          <w:b w:val="0"/>
          <w:sz w:val="21"/>
        </w:rPr>
        <w:t>+</w:t>
      </w:r>
      <w:r>
        <w:rPr>
          <w:rFonts w:ascii="宋体" w:hAnsi="宋体"/>
          <w:b w:val="0"/>
          <w:sz w:val="21"/>
        </w:rPr>
        <w:t>线下回收</w:t>
      </w:r>
      <w:r>
        <w:rPr>
          <w:rFonts w:eastAsia="宋体"/>
          <w:b w:val="0"/>
          <w:sz w:val="21"/>
        </w:rPr>
        <w:t>+</w:t>
      </w:r>
      <w:r>
        <w:rPr>
          <w:rFonts w:ascii="宋体" w:hAnsi="宋体"/>
          <w:b w:val="0"/>
          <w:sz w:val="21"/>
        </w:rPr>
        <w:t>标准化质检</w:t>
      </w:r>
      <w:r>
        <w:rPr>
          <w:rFonts w:eastAsia="宋体"/>
          <w:b w:val="0"/>
          <w:sz w:val="21"/>
        </w:rPr>
        <w:t>+</w:t>
      </w:r>
      <w:r>
        <w:rPr>
          <w:rFonts w:ascii="宋体" w:hAnsi="宋体"/>
          <w:b w:val="0"/>
          <w:sz w:val="21"/>
        </w:rPr>
        <w:t>智能匹配</w:t>
      </w:r>
      <w:r>
        <w:rPr>
          <w:rFonts w:eastAsia="宋体"/>
          <w:b w:val="0"/>
          <w:sz w:val="21"/>
        </w:rPr>
        <w:t>+</w:t>
      </w:r>
      <w:r>
        <w:rPr>
          <w:rFonts w:ascii="宋体" w:hAnsi="宋体"/>
          <w:b w:val="0"/>
          <w:sz w:val="21"/>
        </w:rPr>
        <w:t>循环交易”的模式，让闲置图书在校园内部高效流转，在降低学生购书和处理成本的同时，探索具有商业可持续性、环保价值和育人价值的校园循环经济服务模式。</w:t>
      </w:r>
    </w:p>
    <w:sectPr>
      <w:footerReference r:id="rId7" w:type="first"/>
      <w:footerReference r:id="rId5" w:type="default"/>
      <w:footerReference r:id="rId6" w:type="even"/>
      <w:pgSz w:w="12240" w:h="15840"/>
      <w:pgMar w:top="1417" w:right="1531" w:bottom="1417" w:left="1531" w:header="0" w:footer="7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FFont-Family"/>
    <w:panose1 w:val="00000000000000000000"/>
    <w:charset w:val="00"/>
    <w:family w:val="auto"/>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73834">
    <w:pPr>
      <w:pStyle w:val="24"/>
      <w:jc w:val="center"/>
    </w:pPr>
    <w:r>
      <w:t xml:space="preserve">第 </w:t>
    </w:r>
    <w:r>
      <w:fldChar w:fldCharType="begin"/>
    </w:r>
    <w:r>
      <w:instrText xml:space="preserve"> PAGE </w:instrText>
    </w:r>
    <w:r>
      <w:fldChar w:fldCharType="separate"/>
    </w:r>
    <w:r>
      <w:t>13</w:t>
    </w:r>
    <w:r>
      <w:fldChar w:fldCharType="end"/>
    </w:r>
    <w: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5E1C">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6F968">
    <w:pPr>
      <w:pStyle w:val="24"/>
      <w:jc w:val="center"/>
    </w:pPr>
    <w:r>
      <w:t xml:space="preserve">第 </w:t>
    </w:r>
    <w:r>
      <w:fldChar w:fldCharType="begin"/>
    </w:r>
    <w:r>
      <w:instrText xml:space="preserve"> PAGE </w:instrText>
    </w:r>
    <w:r>
      <w:fldChar w:fldCharType="separate"/>
    </w:r>
    <w:r>
      <w:t>13</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autoHyphenation/>
  <w:hyphenationZone w:val="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D3302B"/>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宋体" w:hAnsi="宋体" w:eastAsia="宋体" w:cstheme="minorBidi"/>
      <w:color w:val="auto"/>
      <w:kern w:val="0"/>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66091" w:themeColor="accent1" w:themeShade="BF"/>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qFormat/>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200"/>
      <w:contextualSpacing/>
    </w:pPr>
  </w:style>
  <w:style w:type="paragraph" w:styleId="17">
    <w:name w:val="Body Text 3"/>
    <w:basedOn w:val="1"/>
    <w:link w:val="148"/>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200"/>
      <w:contextualSpacing/>
    </w:pPr>
  </w:style>
  <w:style w:type="paragraph" w:styleId="19">
    <w:name w:val="Body Text"/>
    <w:basedOn w:val="1"/>
    <w:link w:val="146"/>
    <w:unhideWhenUsed/>
    <w:qFormat/>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200"/>
      <w:contextualSpacing/>
    </w:pPr>
  </w:style>
  <w:style w:type="paragraph" w:styleId="24">
    <w:name w:val="footer"/>
    <w:basedOn w:val="1"/>
    <w:link w:val="140"/>
    <w:unhideWhenUsed/>
    <w:qFormat/>
    <w:uiPriority w:val="99"/>
    <w:pPr>
      <w:tabs>
        <w:tab w:val="center" w:pos="4680"/>
        <w:tab w:val="right" w:pos="9360"/>
      </w:tabs>
      <w:spacing w:before="0" w:after="0" w:line="240" w:lineRule="auto"/>
    </w:pPr>
  </w:style>
  <w:style w:type="paragraph" w:styleId="25">
    <w:name w:val="header"/>
    <w:basedOn w:val="1"/>
    <w:link w:val="139"/>
    <w:unhideWhenUsed/>
    <w:qFormat/>
    <w:uiPriority w:val="99"/>
    <w:pPr>
      <w:tabs>
        <w:tab w:val="center" w:pos="4680"/>
        <w:tab w:val="right" w:pos="9360"/>
      </w:tabs>
      <w:spacing w:before="0" w:after="0" w:line="240" w:lineRule="auto"/>
    </w:pPr>
  </w:style>
  <w:style w:type="paragraph" w:styleId="26">
    <w:name w:val="toc 1"/>
    <w:basedOn w:val="1"/>
    <w:next w:val="1"/>
    <w:semiHidden/>
    <w:unhideWhenUsed/>
    <w:uiPriority w:val="39"/>
  </w:style>
  <w:style w:type="paragraph" w:styleId="27">
    <w:name w:val="index heading"/>
    <w:basedOn w:val="28"/>
    <w:qFormat/>
    <w:uiPriority w:val="0"/>
  </w:style>
  <w:style w:type="paragraph" w:customStyle="1" w:styleId="28">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29">
    <w:name w:val="Subtitle"/>
    <w:basedOn w:val="1"/>
    <w:next w:val="1"/>
    <w:link w:val="145"/>
    <w:qFormat/>
    <w:uiPriority w:val="11"/>
    <w:rPr>
      <w:rFonts w:asciiTheme="majorHAnsi" w:hAnsiTheme="majorHAnsi" w:eastAsiaTheme="majorEastAsia" w:cstheme="majorBidi"/>
      <w:i/>
      <w:iCs/>
      <w:color w:val="4F81BD" w:themeColor="accent1"/>
      <w:spacing w:val="15"/>
      <w:sz w:val="24"/>
      <w:szCs w:val="24"/>
    </w:rPr>
  </w:style>
  <w:style w:type="paragraph" w:styleId="30">
    <w:name w:val="List"/>
    <w:basedOn w:val="1"/>
    <w:unhideWhenUsed/>
    <w:uiPriority w:val="99"/>
    <w:pPr>
      <w:spacing w:before="0" w:after="200"/>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7"/>
    <w:unhideWhenUsed/>
    <w:qFormat/>
    <w:uiPriority w:val="99"/>
    <w:pPr>
      <w:spacing w:before="0" w:after="120" w:line="480" w:lineRule="auto"/>
    </w:pPr>
  </w:style>
  <w:style w:type="paragraph" w:styleId="33">
    <w:name w:val="List Continue 2"/>
    <w:basedOn w:val="1"/>
    <w:unhideWhenUsed/>
    <w:qFormat/>
    <w:uiPriority w:val="99"/>
    <w:pPr>
      <w:spacing w:before="0" w:after="120"/>
      <w:ind w:left="720"/>
      <w:contextualSpacing/>
    </w:pPr>
  </w:style>
  <w:style w:type="paragraph" w:styleId="34">
    <w:name w:val="List Continue 3"/>
    <w:basedOn w:val="1"/>
    <w:unhideWhenUsed/>
    <w:qFormat/>
    <w:uiPriority w:val="99"/>
    <w:pPr>
      <w:spacing w:before="0" w:after="120"/>
      <w:ind w:left="1080"/>
      <w:contextualSpacing/>
    </w:pPr>
  </w:style>
  <w:style w:type="paragraph" w:styleId="35">
    <w:name w:val="Title"/>
    <w:basedOn w:val="1"/>
    <w:next w:val="1"/>
    <w:link w:val="144"/>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b/>
      <w:color w:val="17365D" w:themeColor="text2" w:themeShade="BF"/>
      <w:spacing w:val="5"/>
      <w:kern w:val="2"/>
      <w:sz w:val="48"/>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6">
    <w:name w:val="Colorful Shading Accent 1"/>
    <w:basedOn w:val="36"/>
    <w:qFormat/>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7">
    <w:name w:val="Colorful Shading Accent 2"/>
    <w:basedOn w:val="36"/>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8">
    <w:name w:val="Colorful Shading Accent 3"/>
    <w:basedOn w:val="36"/>
    <w:qFormat/>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0">
    <w:name w:val="Colorful Shading Accent 5"/>
    <w:basedOn w:val="36"/>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1">
    <w:name w:val="Colorful Shading Accent 6"/>
    <w:basedOn w:val="36"/>
    <w:qFormat/>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2">
    <w:name w:val="Colorful List"/>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5"/>
    <w:qFormat/>
    <w:uiPriority w:val="99"/>
  </w:style>
  <w:style w:type="character" w:customStyle="1" w:styleId="140">
    <w:name w:val="Footer Char"/>
    <w:basedOn w:val="136"/>
    <w:link w:val="24"/>
    <w:qFormat/>
    <w:uiPriority w:val="99"/>
  </w:style>
  <w:style w:type="character" w:customStyle="1" w:styleId="141">
    <w:name w:val="Heading 1 Char"/>
    <w:basedOn w:val="136"/>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2">
    <w:name w:val="Heading 2 Char"/>
    <w:basedOn w:val="136"/>
    <w:link w:val="4"/>
    <w:qFormat/>
    <w:uiPriority w:val="9"/>
    <w:rPr>
      <w:rFonts w:asciiTheme="majorHAnsi" w:hAnsiTheme="majorHAnsi" w:eastAsiaTheme="majorEastAsia" w:cstheme="majorBidi"/>
      <w:b/>
      <w:bCs/>
      <w:color w:val="4F81BD" w:themeColor="accent1"/>
      <w:sz w:val="26"/>
      <w:szCs w:val="26"/>
    </w:rPr>
  </w:style>
  <w:style w:type="character" w:customStyle="1" w:styleId="143">
    <w:name w:val="Heading 3 Char"/>
    <w:basedOn w:val="136"/>
    <w:link w:val="5"/>
    <w:qFormat/>
    <w:uiPriority w:val="9"/>
    <w:rPr>
      <w:rFonts w:asciiTheme="majorHAnsi" w:hAnsiTheme="majorHAnsi" w:eastAsiaTheme="majorEastAsia" w:cstheme="majorBidi"/>
      <w:b/>
      <w:bCs/>
      <w:color w:val="4F81BD" w:themeColor="accent1"/>
    </w:rPr>
  </w:style>
  <w:style w:type="character" w:customStyle="1" w:styleId="144">
    <w:name w:val="Title Char"/>
    <w:basedOn w:val="136"/>
    <w:link w:val="35"/>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5">
    <w:name w:val="Subtitle Char"/>
    <w:basedOn w:val="136"/>
    <w:link w:val="29"/>
    <w:qFormat/>
    <w:uiPriority w:val="11"/>
    <w:rPr>
      <w:rFonts w:asciiTheme="majorHAnsi" w:hAnsiTheme="majorHAnsi" w:eastAsiaTheme="majorEastAsia" w:cstheme="majorBidi"/>
      <w:i/>
      <w:iCs/>
      <w:color w:val="4F81BD" w:themeColor="accent1"/>
      <w:spacing w:val="15"/>
      <w:sz w:val="24"/>
      <w:szCs w:val="24"/>
    </w:rPr>
  </w:style>
  <w:style w:type="character" w:customStyle="1" w:styleId="146">
    <w:name w:val="Body Text Char"/>
    <w:basedOn w:val="136"/>
    <w:link w:val="19"/>
    <w:qFormat/>
    <w:uiPriority w:val="99"/>
  </w:style>
  <w:style w:type="character" w:customStyle="1" w:styleId="147">
    <w:name w:val="Body Text 2 Char"/>
    <w:basedOn w:val="136"/>
    <w:link w:val="32"/>
    <w:qFormat/>
    <w:uiPriority w:val="99"/>
  </w:style>
  <w:style w:type="character" w:customStyle="1" w:styleId="148">
    <w:name w:val="Body Text 3 Char"/>
    <w:basedOn w:val="136"/>
    <w:link w:val="17"/>
    <w:qFormat/>
    <w:uiPriority w:val="99"/>
    <w:rPr>
      <w:sz w:val="16"/>
      <w:szCs w:val="16"/>
    </w:rPr>
  </w:style>
  <w:style w:type="character" w:customStyle="1" w:styleId="149">
    <w:name w:val="Macro Text Char"/>
    <w:basedOn w:val="136"/>
    <w:link w:val="2"/>
    <w:qFormat/>
    <w:uiPriority w:val="99"/>
    <w:rPr>
      <w:rFonts w:ascii="Courier" w:hAnsi="Courier"/>
      <w:sz w:val="20"/>
      <w:szCs w:val="20"/>
    </w:rPr>
  </w:style>
  <w:style w:type="character" w:customStyle="1" w:styleId="150">
    <w:name w:val="Quote Char"/>
    <w:basedOn w:val="136"/>
    <w:link w:val="151"/>
    <w:qFormat/>
    <w:uiPriority w:val="29"/>
    <w:rPr>
      <w:i/>
      <w:iCs/>
      <w:color w:val="000000" w:themeColor="text1"/>
    </w:rPr>
  </w:style>
  <w:style w:type="paragraph" w:styleId="151">
    <w:name w:val="Quote"/>
    <w:basedOn w:val="1"/>
    <w:next w:val="1"/>
    <w:link w:val="150"/>
    <w:qFormat/>
    <w:uiPriority w:val="29"/>
    <w:rPr>
      <w:i/>
      <w:iCs/>
      <w:color w:val="000000" w:themeColor="text1"/>
    </w:rPr>
  </w:style>
  <w:style w:type="character" w:customStyle="1" w:styleId="152">
    <w:name w:val="Heading 4 Char"/>
    <w:basedOn w:val="136"/>
    <w:link w:val="6"/>
    <w:semiHidden/>
    <w:qFormat/>
    <w:uiPriority w:val="9"/>
    <w:rPr>
      <w:rFonts w:asciiTheme="majorHAnsi" w:hAnsiTheme="majorHAnsi" w:eastAsiaTheme="majorEastAsia" w:cstheme="majorBidi"/>
      <w:b/>
      <w:bCs/>
      <w:i/>
      <w:iCs/>
      <w:color w:val="4F81BD" w:themeColor="accent1"/>
    </w:rPr>
  </w:style>
  <w:style w:type="character" w:customStyle="1" w:styleId="153">
    <w:name w:val="Heading 5 Char"/>
    <w:basedOn w:val="136"/>
    <w:link w:val="7"/>
    <w:semiHidden/>
    <w:qFormat/>
    <w:uiPriority w:val="9"/>
    <w:rPr>
      <w:rFonts w:asciiTheme="majorHAnsi" w:hAnsiTheme="majorHAnsi" w:eastAsiaTheme="majorEastAsia" w:cstheme="majorBidi"/>
      <w:color w:val="243F61" w:themeColor="accent1" w:themeShade="7F"/>
    </w:rPr>
  </w:style>
  <w:style w:type="character" w:customStyle="1" w:styleId="154">
    <w:name w:val="Heading 6 Char"/>
    <w:basedOn w:val="136"/>
    <w:link w:val="8"/>
    <w:semiHidden/>
    <w:qFormat/>
    <w:uiPriority w:val="9"/>
    <w:rPr>
      <w:rFonts w:asciiTheme="majorHAnsi" w:hAnsiTheme="majorHAnsi" w:eastAsiaTheme="majorEastAsia" w:cstheme="majorBidi"/>
      <w:i/>
      <w:iCs/>
      <w:color w:val="243F61" w:themeColor="accent1" w:themeShade="7F"/>
    </w:rPr>
  </w:style>
  <w:style w:type="character" w:customStyle="1" w:styleId="155">
    <w:name w:val="Heading 7 Char"/>
    <w:basedOn w:val="136"/>
    <w:link w:val="9"/>
    <w:semiHidden/>
    <w:qFormat/>
    <w:uiPriority w:val="9"/>
    <w:rPr>
      <w:rFonts w:asciiTheme="majorHAnsi" w:hAnsiTheme="majorHAnsi" w:eastAsiaTheme="majorEastAsia" w:cstheme="majorBidi"/>
      <w:i/>
      <w:iCs/>
      <w:color w:val="3F3F3F" w:themeColor="text1" w:themeTint="BF"/>
    </w:rPr>
  </w:style>
  <w:style w:type="character" w:customStyle="1" w:styleId="156">
    <w:name w:val="Heading 8 Char"/>
    <w:basedOn w:val="136"/>
    <w:link w:val="10"/>
    <w:semiHidden/>
    <w:qFormat/>
    <w:uiPriority w:val="9"/>
    <w:rPr>
      <w:rFonts w:asciiTheme="majorHAnsi" w:hAnsiTheme="majorHAnsi" w:eastAsiaTheme="majorEastAsia" w:cstheme="majorBidi"/>
      <w:color w:val="4F81BD" w:themeColor="accent1"/>
      <w:sz w:val="20"/>
      <w:szCs w:val="20"/>
    </w:rPr>
  </w:style>
  <w:style w:type="character" w:customStyle="1" w:styleId="157">
    <w:name w:val="Heading 9 Char"/>
    <w:basedOn w:val="136"/>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8">
    <w:name w:val="Intense Quote Char"/>
    <w:basedOn w:val="136"/>
    <w:link w:val="159"/>
    <w:qFormat/>
    <w:uiPriority w:val="30"/>
    <w:rPr>
      <w:b/>
      <w:bCs/>
      <w:i/>
      <w:iCs/>
      <w:color w:val="4F81BD" w:themeColor="accent1"/>
    </w:rPr>
  </w:style>
  <w:style w:type="paragraph" w:styleId="159">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0">
    <w:name w:val="Subtle Emphasis"/>
    <w:basedOn w:val="136"/>
    <w:qFormat/>
    <w:uiPriority w:val="19"/>
    <w:rPr>
      <w:i/>
      <w:iCs/>
      <w:color w:val="7F7F7F" w:themeColor="text1" w:themeTint="7F"/>
    </w:rPr>
  </w:style>
  <w:style w:type="character" w:customStyle="1" w:styleId="161">
    <w:name w:val="Intense Emphasis"/>
    <w:basedOn w:val="136"/>
    <w:qFormat/>
    <w:uiPriority w:val="21"/>
    <w:rPr>
      <w:b/>
      <w:bCs/>
      <w:i/>
      <w:iCs/>
      <w:color w:val="4F81BD" w:themeColor="accent1"/>
    </w:rPr>
  </w:style>
  <w:style w:type="character" w:customStyle="1" w:styleId="162">
    <w:name w:val="Subtle Reference"/>
    <w:basedOn w:val="136"/>
    <w:qFormat/>
    <w:uiPriority w:val="31"/>
    <w:rPr>
      <w:smallCaps/>
      <w:color w:val="C0504D" w:themeColor="accent2"/>
      <w:u w:val="single"/>
    </w:rPr>
  </w:style>
  <w:style w:type="character" w:customStyle="1" w:styleId="163">
    <w:name w:val="Intense Reference"/>
    <w:basedOn w:val="136"/>
    <w:qFormat/>
    <w:uiPriority w:val="32"/>
    <w:rPr>
      <w:b/>
      <w:bCs/>
      <w:smallCaps/>
      <w:color w:val="C0504D" w:themeColor="accent2"/>
      <w:spacing w:val="5"/>
      <w:u w:val="single"/>
    </w:rPr>
  </w:style>
  <w:style w:type="character" w:customStyle="1" w:styleId="164">
    <w:name w:val="Book Title"/>
    <w:basedOn w:val="136"/>
    <w:qFormat/>
    <w:uiPriority w:val="33"/>
    <w:rPr>
      <w:b/>
      <w:bCs/>
      <w:smallCaps/>
      <w:spacing w:val="5"/>
    </w:rPr>
  </w:style>
  <w:style w:type="paragraph" w:customStyle="1" w:styleId="165">
    <w:name w:val="Index"/>
    <w:basedOn w:val="1"/>
    <w:qFormat/>
    <w:uiPriority w:val="0"/>
    <w:pPr>
      <w:suppressLineNumbers/>
    </w:pPr>
    <w:rPr>
      <w:rFonts w:cs="Lohit Devanagari"/>
    </w:rPr>
  </w:style>
  <w:style w:type="paragraph" w:customStyle="1" w:styleId="166">
    <w:name w:val="Header and Footer"/>
    <w:basedOn w:val="1"/>
    <w:qFormat/>
    <w:uiPriority w:val="0"/>
  </w:style>
  <w:style w:type="paragraph" w:styleId="167">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8">
    <w:name w:val="List Paragraph"/>
    <w:basedOn w:val="1"/>
    <w:qFormat/>
    <w:uiPriority w:val="34"/>
    <w:pPr>
      <w:spacing w:before="0" w:after="200"/>
      <w:ind w:left="720"/>
      <w:contextualSpacing/>
    </w:pPr>
  </w:style>
  <w:style w:type="paragraph" w:customStyle="1" w:styleId="169">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689</Words>
  <Characters>705</Characters>
  <Paragraphs>0</Paragraphs>
  <TotalTime>4</TotalTime>
  <ScaleCrop>false</ScaleCrop>
  <LinksUpToDate>false</LinksUpToDate>
  <CharactersWithSpaces>708</CharactersWithSpaces>
  <Application>WPS Office_12.1.0.28488_F1E327BC-269C-435d-A152-05C5408002CA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JIASF</cp:lastModifiedBy>
  <dcterms:modified xsi:type="dcterms:W3CDTF">2026-09-22T12:16:34Z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eyJoZGlkIjoiY2RmODI1NWZkNjZiYWU1YTRhNjBmMjRkMjNiYTZiODkiLCJ1c2VySWQiOiIxNTMxMTM4OTA5In0=</vt:lpwstr>
  </property>
  <property fmtid="{D5CDD505-2E9C-101B-9397-08002B2CF9AE}" pid="3" name="KSOProductBuildVer">
    <vt:lpwstr>2052-12.1.0.28488</vt:lpwstr>
  </property>
  <property fmtid="{D5CDD505-2E9C-101B-9397-08002B2CF9AE}" pid="4" name="ICV">
    <vt:lpwstr>FE6508E15C1247D787BA3286119C2597_13</vt:lpwstr>
  </property>
</Properties>
</file>