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01-General-Architecture</w:t>
      </w:r>
    </w:p>
    <w:bookmarkStart w:id="13" w:name="arquitectura-general-de-sharepoint"/>
    <w:p>
      <w:pPr>
        <w:pStyle w:val="Heading1"/>
      </w:pPr>
      <w:r>
        <w:t xml:space="preserve">Arquitectura General de SharePoint</w:t>
      </w:r>
    </w:p>
    <w:bookmarkStart w:id="9" w:name="resumen"/>
    <w:p>
      <w:pPr>
        <w:pStyle w:val="Heading2"/>
      </w:pPr>
      <w:r>
        <w:t xml:space="preserve">Resumen</w:t>
      </w:r>
    </w:p>
    <w:p>
      <w:pPr>
        <w:pStyle w:val="FirstParagraph"/>
      </w:pPr>
      <w:r>
        <w:t xml:space="preserve">La solución está estructurada utilizando un</w:t>
      </w:r>
      <w:r>
        <w:t xml:space="preserve"> </w:t>
      </w:r>
      <w:r>
        <w:rPr>
          <w:b/>
          <w:bCs/>
        </w:rPr>
        <w:t xml:space="preserve">Hub Site</w:t>
      </w:r>
      <w:r>
        <w:t xml:space="preserve"> </w:t>
      </w:r>
      <w:r>
        <w:t xml:space="preserve">principal para "Casa Familiar Events", al cual se asocian</w:t>
      </w:r>
      <w:r>
        <w:t xml:space="preserve"> </w:t>
      </w:r>
      <w:r>
        <w:rPr>
          <w:b/>
          <w:bCs/>
        </w:rPr>
        <w:t xml:space="preserve">sitios secundarios (Team Sites)</w:t>
      </w:r>
      <w:r>
        <w:t xml:space="preserve"> </w:t>
      </w:r>
      <w:r>
        <w:t xml:space="preserve">para cada evento específico.</w:t>
      </w:r>
    </w:p>
    <w:bookmarkEnd w:id="9"/>
    <w:bookmarkStart w:id="10" w:name="estructura-de-sitios"/>
    <w:p>
      <w:pPr>
        <w:pStyle w:val="Heading2"/>
      </w:pPr>
      <w:r>
        <w:t xml:space="preserve">Estructura de Sitios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Hub Site:</w:t>
      </w:r>
      <w:r>
        <w:t xml:space="preserve"> </w:t>
      </w:r>
      <w:r>
        <w:rPr>
          <w:rStyle w:val="VerbatimChar"/>
        </w:rPr>
        <w:t xml:space="preserve">Casa Familiar Events Hub</w:t>
      </w:r>
    </w:p>
    <w:p>
      <w:pPr>
        <w:pStyle w:val="Compact"/>
        <w:numPr>
          <w:ilvl w:val="1"/>
          <w:numId w:val="1002"/>
        </w:numPr>
      </w:pPr>
      <w:r>
        <w:t xml:space="preserve">Sitios Asociados (Eventos):</w:t>
      </w:r>
    </w:p>
    <w:p>
      <w:pPr>
        <w:pStyle w:val="Compact"/>
        <w:numPr>
          <w:ilvl w:val="2"/>
          <w:numId w:val="1003"/>
        </w:numPr>
      </w:pPr>
      <w:r>
        <w:rPr>
          <w:rStyle w:val="VerbatimChar"/>
        </w:rPr>
        <w:t xml:space="preserve">Fall Festival</w:t>
      </w:r>
    </w:p>
    <w:p>
      <w:pPr>
        <w:pStyle w:val="Compact"/>
        <w:numPr>
          <w:ilvl w:val="2"/>
          <w:numId w:val="1003"/>
        </w:numPr>
      </w:pPr>
      <w:r>
        <w:rPr>
          <w:rStyle w:val="VerbatimChar"/>
        </w:rPr>
        <w:t xml:space="preserve">Haunted House</w:t>
      </w:r>
    </w:p>
    <w:p>
      <w:pPr>
        <w:pStyle w:val="Compact"/>
        <w:numPr>
          <w:ilvl w:val="2"/>
          <w:numId w:val="1003"/>
        </w:numPr>
      </w:pPr>
      <w:r>
        <w:rPr>
          <w:rStyle w:val="VerbatimChar"/>
        </w:rPr>
        <w:t xml:space="preserve">Día de Muertos</w:t>
      </w:r>
    </w:p>
    <w:p>
      <w:pPr>
        <w:pStyle w:val="Compact"/>
        <w:numPr>
          <w:ilvl w:val="2"/>
          <w:numId w:val="1003"/>
        </w:numPr>
      </w:pPr>
      <w:r>
        <w:rPr>
          <w:rStyle w:val="VerbatimChar"/>
        </w:rPr>
        <w:t xml:space="preserve">Thanksgiving</w:t>
      </w:r>
    </w:p>
    <w:p>
      <w:pPr>
        <w:pStyle w:val="Compact"/>
        <w:numPr>
          <w:ilvl w:val="2"/>
          <w:numId w:val="1003"/>
        </w:numPr>
      </w:pPr>
      <w:r>
        <w:rPr>
          <w:rStyle w:val="VerbatimChar"/>
        </w:rPr>
        <w:t xml:space="preserve">Día de Reyes</w:t>
      </w:r>
    </w:p>
    <w:bookmarkEnd w:id="10"/>
    <w:bookmarkStart w:id="11" w:name="Xfae959c50642ee1cc87cde1922e9a932631a34f"/>
    <w:p>
      <w:pPr>
        <w:pStyle w:val="Heading2"/>
      </w:pPr>
      <w:r>
        <w:t xml:space="preserve">Gestión de Comités y Permisos (Estrategia para Alta Rotación)</w:t>
      </w:r>
    </w:p>
    <w:p>
      <w:pPr>
        <w:pStyle w:val="FirstParagraph"/>
      </w:pPr>
      <w:r>
        <w:t xml:space="preserve">Dado que la rotación constante de los miembros del comité año tras año es una realidad, la gestión de identidad es la pieza central de esta arquitectura.</w:t>
      </w:r>
    </w:p>
    <w:p>
      <w:pPr>
        <w:pStyle w:val="Compact"/>
        <w:numPr>
          <w:ilvl w:val="0"/>
          <w:numId w:val="1004"/>
        </w:numPr>
      </w:pPr>
      <w:r>
        <w:t xml:space="preserve">Cada sitio de evento tendrá un</w:t>
      </w:r>
      <w:r>
        <w:t xml:space="preserve"> </w:t>
      </w:r>
      <w:r>
        <w:rPr>
          <w:b/>
          <w:bCs/>
        </w:rPr>
        <w:t xml:space="preserve">Microsoft 365 Group</w:t>
      </w:r>
      <w:r>
        <w:t xml:space="preserve"> </w:t>
      </w:r>
      <w:r>
        <w:t xml:space="preserve">único y persistente.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Onboarding/Offboarding Centralizado:</w:t>
      </w:r>
      <w:r>
        <w:t xml:space="preserve"> </w:t>
      </w:r>
      <w:r>
        <w:t xml:space="preserve">La rotación anual se gestiona</w:t>
      </w:r>
      <w:r>
        <w:t xml:space="preserve"> </w:t>
      </w:r>
      <w:r>
        <w:rPr>
          <w:b/>
          <w:bCs/>
        </w:rPr>
        <w:t xml:space="preserve">exclusivamente</w:t>
      </w:r>
      <w:r>
        <w:t xml:space="preserve"> </w:t>
      </w:r>
      <w:r>
        <w:t xml:space="preserve">agregando o eliminando miembros del grupo M365 a través de Entra ID o el Admin Center.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Ventaja clave:</w:t>
      </w:r>
      <w:r>
        <w:t xml:space="preserve"> </w:t>
      </w:r>
      <w:r>
        <w:t xml:space="preserve">Al dejar un comité, el voluntario pierde instantáneamente el acceso a correos, calendarios y archivos logísticos confidenciales para el próximo año.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Riesgo mitigado:</w:t>
      </w:r>
      <w:r>
        <w:t xml:space="preserve"> </w:t>
      </w:r>
      <w:r>
        <w:t xml:space="preserve">No se crean "grupos huérfanos" (ej: "Comité 2023", "Comité 2024"). Es un solo grupo que muta sus miembros.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Roles y Gobernanza: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Site Owners (Leads):</w:t>
      </w:r>
      <w:r>
        <w:t xml:space="preserve"> </w:t>
      </w:r>
      <w:r>
        <w:t xml:space="preserve">2 personas. Tienen control total sobre las listas, flujos y permisos de su sub-sitio. Son responsables de "Cerrar" el año.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Site Members (Comité):</w:t>
      </w:r>
      <w:r>
        <w:t xml:space="preserve"> </w:t>
      </w:r>
      <w:r>
        <w:t xml:space="preserve">~8 personas. Pueden agregar, editar y completar tareas en las listas de su evento. No pueden borrar elementos ni borrar Vistas (se debe configurar el nivel de permiso</w:t>
      </w:r>
      <w:r>
        <w:t xml:space="preserve"> </w:t>
      </w:r>
      <w:r>
        <w:rPr>
          <w:i/>
          <w:iCs/>
        </w:rPr>
        <w:t xml:space="preserve">Contribute</w:t>
      </w:r>
      <w:r>
        <w:t xml:space="preserve"> </w:t>
      </w:r>
      <w:r>
        <w:t xml:space="preserve">sin</w:t>
      </w:r>
      <w:r>
        <w:t xml:space="preserve"> </w:t>
      </w:r>
      <w:r>
        <w:rPr>
          <w:i/>
          <w:iCs/>
        </w:rPr>
        <w:t xml:space="preserve">Delete</w:t>
      </w:r>
      <w:r>
        <w:t xml:space="preserve"> </w:t>
      </w:r>
      <w:r>
        <w:t xml:space="preserve">para proteger la auditoría).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Site Visitors:</w:t>
      </w:r>
      <w:r>
        <w:t xml:space="preserve"> </w:t>
      </w:r>
      <w:r>
        <w:t xml:space="preserve">Empleados o voluntarios que solo necesitan ver el progreso (Solo lectura).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External Sharing:</w:t>
      </w:r>
      <w:r>
        <w:t xml:space="preserve"> </w:t>
      </w:r>
      <w:r>
        <w:t xml:space="preserve">Debe estar bloqueado o restringido para asegurar que las minutas, bases de datos o contratos permanezcan accesibles solo para el personal interno.</w:t>
      </w:r>
    </w:p>
    <w:bookmarkEnd w:id="11"/>
    <w:bookmarkStart w:id="12" w:name="X3f60f358c0b76f04c7ade36150a265f1f2e3705"/>
    <w:p>
      <w:pPr>
        <w:pStyle w:val="Heading2"/>
      </w:pPr>
      <w:r>
        <w:t xml:space="preserve">Unificación y Mantenibilidad (Enfoque de Desarrollo)</w:t>
      </w:r>
    </w:p>
    <w:p>
      <w:pPr>
        <w:pStyle w:val="FirstParagraph"/>
      </w:pPr>
      <w:r>
        <w:t xml:space="preserve">Para lograr la mantenibilidad requerida por un perfil técnico (Developer) y unificar los sitios: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Configuración del Hub Site:</w:t>
      </w:r>
      <w:r>
        <w:t xml:space="preserve"> </w:t>
      </w:r>
      <w:r>
        <w:t xml:space="preserve">La navegación principal, el branding y los permisos globales (si aplica) se gestionan desde el Hub.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Site Templates / Site Scripts (JSON):</w:t>
      </w:r>
    </w:p>
    <w:p>
      <w:pPr>
        <w:pStyle w:val="Compact"/>
        <w:numPr>
          <w:ilvl w:val="1"/>
          <w:numId w:val="1008"/>
        </w:numPr>
      </w:pPr>
      <w:r>
        <w:t xml:space="preserve">Crear un esquema de sitio base usando JSON/PowerShell que contenga todas las listas requeridas. Al aplicar esta plantilla a cualquier evento nuevo o existente, las listas estándar se generarán o actualizarán automáticamente.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Consideración profunda:</w:t>
      </w:r>
      <w:r>
        <w:t xml:space="preserve"> </w:t>
      </w:r>
      <w:r>
        <w:t xml:space="preserve">Esto permite que en el futuro, si se agrega un nuevo evento (ej: "Posada Navideña"), lanzar el portal tome 5 minutos y respete exactamente las mismas columnas.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Site Columns y Content Types:</w:t>
      </w:r>
      <w:r>
        <w:t xml:space="preserve"> </w:t>
      </w:r>
      <w:r>
        <w:t xml:space="preserve">Definirlos a nivel de Hub y publicarlos en los sitios secundarios (Content Type Hub) para que todas las listas de eventos compartan exactamente los mismos nombres internos e IDs de esquema (ej:</w:t>
      </w:r>
      <w:r>
        <w:t xml:space="preserve"> </w:t>
      </w:r>
      <w:r>
        <w:rPr>
          <w:rStyle w:val="VerbatimChar"/>
        </w:rPr>
        <w:t xml:space="preserve">Task 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 Year</w:t>
      </w:r>
      <w:r>
        <w:t xml:space="preserve">). Esto es crucial para el cruce de datos (Roll-up) y consolidaciones en PowerBI.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01-General-Architecture</dc:title>
  <dc:creator/>
  <cp:keywords/>
  <dcterms:created xsi:type="dcterms:W3CDTF">2026-03-13T21:34:19Z</dcterms:created>
  <dcterms:modified xsi:type="dcterms:W3CDTF">2026-03-13T21:34:19Z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