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c6abee0d9a1299542d7379969a5d21fbac572c"/>
    <w:p>
      <w:pPr>
        <w:pStyle w:val="Heading1"/>
      </w:pPr>
      <w:r>
        <w:t xml:space="preserve">Run of Show: Who Is Liable When a Trucking Company’s Driver Causes an Atlanta Truck Accident?</w:t>
      </w:r>
    </w:p>
    <w:p>
      <w:pPr>
        <w:pStyle w:val="FirstParagraph"/>
      </w:pPr>
      <w:r>
        <w:rPr>
          <w:b/>
          <w:bCs/>
        </w:rPr>
        <w:t xml:space="preserve">Practice Area:</w:t>
      </w:r>
      <w:r>
        <w:t xml:space="preserve"> </w:t>
      </w:r>
      <w:r>
        <w:rPr>
          <w:b/>
          <w:bCs/>
        </w:rPr>
        <w:t xml:space="preserve">truck accidents</w:t>
      </w:r>
      <w:r>
        <w:t xml:space="preserve"> </w:t>
      </w:r>
      <w:r>
        <w:rPr>
          <w:b/>
          <w:bCs/>
        </w:rPr>
        <w:t xml:space="preserve">Episode: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~16 minutes</w:t>
      </w:r>
      <w:r>
        <w:t xml:space="preserve"> </w:t>
      </w:r>
      <w:r>
        <w:rPr>
          <w:b/>
          <w:bCs/>
        </w:rPr>
        <w:t xml:space="preserve">Recording Date: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rPr>
          <w:b/>
          <w:bCs/>
        </w:rPr>
        <w:t xml:space="preserve">Template Version:</w:t>
      </w:r>
      <w:r>
        <w:t xml:space="preserve"> </w:t>
      </w:r>
      <w:r>
        <w:t xml:space="preserve">1.0 (bonus / SEO)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Atlanta, Georgia (Fulton County)</w:t>
      </w:r>
    </w:p>
    <w:p>
      <w:r>
        <w:pict>
          <v:rect style="width:0;height:1.5pt" o:hralign="center" o:hrstd="t" o:hr="t"/>
        </w:pict>
      </w:r>
    </w:p>
    <w:bookmarkStart w:id="18" w:name="producer-notes"/>
    <w:p>
      <w:pPr>
        <w:pStyle w:val="Heading2"/>
      </w:pPr>
      <w:r>
        <w:t xml:space="preserve">Producer Notes</w:t>
      </w:r>
    </w:p>
    <w:p>
      <w:pPr>
        <w:pStyle w:val="FirstParagraph"/>
      </w:pPr>
      <w:r>
        <w:rPr>
          <w:b/>
          <w:bCs/>
        </w:rPr>
        <w:t xml:space="preserve">Jurisdiction:</w:t>
      </w:r>
      <w:r>
        <w:t xml:space="preserve"> </w:t>
      </w:r>
      <w:r>
        <w:t xml:space="preserve">Georgia is a fault-based (tort) state with modified comparative negligence under</w:t>
      </w:r>
      <w:r>
        <w:t xml:space="preserve"> </w:t>
      </w:r>
      <w:r>
        <w:rPr>
          <w:u w:val="single"/>
        </w:rPr>
        <w:t xml:space="preserve">O.C.G.A. § 51-12-33</w:t>
      </w:r>
      <w:r>
        <w:t xml:space="preserve"> </w:t>
      </w:r>
      <w:r>
        <w:t xml:space="preserve">- an injured person can recover only if their fault is less than 50%, with damages reduced by their percentage of fault. Statute of limitations: 2 years personal injury and wrongful death under</w:t>
      </w:r>
      <w:r>
        <w:t xml:space="preserve"> </w:t>
      </w:r>
      <w:r>
        <w:rPr>
          <w:u w:val="single"/>
        </w:rPr>
        <w:t xml:space="preserve">O.C.G.A. § 9-3-33</w:t>
      </w:r>
      <w:r>
        <w:t xml:space="preserve">, 4 years property damage. Georgia is one of a small number of states with a</w:t>
      </w:r>
      <w:r>
        <w:t xml:space="preserve"> </w:t>
      </w:r>
      <w:r>
        <w:rPr>
          <w:u w:val="single"/>
        </w:rPr>
        <w:t xml:space="preserve">Direct Action Statute (O.C.G.A. § 40-1-112)</w:t>
      </w:r>
      <w:r>
        <w:t xml:space="preserve"> </w:t>
      </w:r>
      <w:r>
        <w:t xml:space="preserve">that allows an injured person to sue the trucking company’s insurance carrier directly alongside the carrier - a major procedural advantage in Atlanta truck cases. Federal layer governs every interstate motor carrier:</w:t>
      </w:r>
      <w:r>
        <w:t xml:space="preserve"> </w:t>
      </w:r>
      <w:r>
        <w:rPr>
          <w:u w:val="single"/>
        </w:rPr>
        <w:t xml:space="preserve">FMCSA</w:t>
      </w:r>
      <w:r>
        <w:t xml:space="preserve">,</w:t>
      </w:r>
      <w:r>
        <w:t xml:space="preserve"> </w:t>
      </w:r>
      <w:r>
        <w:rPr>
          <w:u w:val="single"/>
        </w:rPr>
        <w:t xml:space="preserve">49 CFR Parts 350-399</w:t>
      </w:r>
      <w:r>
        <w:t xml:space="preserve">,</w:t>
      </w:r>
      <w:r>
        <w:t xml:space="preserve"> </w:t>
      </w:r>
      <w:r>
        <w:rPr>
          <w:u w:val="single"/>
        </w:rPr>
        <w:t xml:space="preserve">Federal Motor Carrier Safety Act</w:t>
      </w:r>
      <w:r>
        <w:t xml:space="preserve">. State-level enforcement falls to the</w:t>
      </w:r>
      <w:r>
        <w:t xml:space="preserve"> </w:t>
      </w:r>
      <w:r>
        <w:rPr>
          <w:u w:val="single"/>
        </w:rPr>
        <w:t xml:space="preserve">Georgia Department of Public Safety</w:t>
      </w:r>
      <w:r>
        <w:t xml:space="preserve"> </w:t>
      </w:r>
      <w:r>
        <w:t xml:space="preserve">and the</w:t>
      </w:r>
      <w:r>
        <w:t xml:space="preserve"> </w:t>
      </w:r>
      <w:r>
        <w:rPr>
          <w:u w:val="single"/>
        </w:rPr>
        <w:t xml:space="preserve">Georgia State Patrol Motor Carrier Compliance Division</w:t>
      </w:r>
      <w:r>
        <w:t xml:space="preserve">; intrastate carrier registration runs through the</w:t>
      </w:r>
      <w:r>
        <w:t xml:space="preserve"> </w:t>
      </w:r>
      <w:r>
        <w:rPr>
          <w:u w:val="single"/>
        </w:rPr>
        <w:t xml:space="preserve">Georgia Public Service Commission</w:t>
      </w:r>
      <w:r>
        <w:t xml:space="preserve">. High-volume Atlanta trucking corridors:</w:t>
      </w:r>
      <w:r>
        <w:t xml:space="preserve"> </w:t>
      </w:r>
      <w:r>
        <w:rPr>
          <w:u w:val="single"/>
        </w:rPr>
        <w:t xml:space="preserve">I-285</w:t>
      </w:r>
      <w:r>
        <w:t xml:space="preserve">,</w:t>
      </w:r>
      <w:r>
        <w:t xml:space="preserve"> </w:t>
      </w:r>
      <w:r>
        <w:rPr>
          <w:u w:val="single"/>
        </w:rPr>
        <w:t xml:space="preserve">I-75</w:t>
      </w:r>
      <w:r>
        <w:t xml:space="preserve">,</w:t>
      </w:r>
      <w:r>
        <w:t xml:space="preserve"> </w:t>
      </w:r>
      <w:r>
        <w:rPr>
          <w:u w:val="single"/>
        </w:rPr>
        <w:t xml:space="preserve">I-20</w:t>
      </w:r>
      <w:r>
        <w:t xml:space="preserve">,</w:t>
      </w:r>
      <w:r>
        <w:t xml:space="preserve"> </w:t>
      </w:r>
      <w:r>
        <w:rPr>
          <w:u w:val="single"/>
        </w:rPr>
        <w:t xml:space="preserve">I-85</w:t>
      </w:r>
      <w:r>
        <w:t xml:space="preserve">,</w:t>
      </w:r>
      <w:r>
        <w:t xml:space="preserve"> </w:t>
      </w:r>
      <w:r>
        <w:rPr>
          <w:u w:val="single"/>
        </w:rPr>
        <w:t xml:space="preserve">GA-400</w:t>
      </w:r>
      <w:r>
        <w:t xml:space="preserve">. Courts:</w:t>
      </w:r>
      <w:r>
        <w:t xml:space="preserve"> </w:t>
      </w:r>
      <w:r>
        <w:rPr>
          <w:u w:val="single"/>
        </w:rPr>
        <w:t xml:space="preserve">Fulton County State Court</w:t>
      </w:r>
      <w:r>
        <w:t xml:space="preserve">,</w:t>
      </w:r>
      <w:r>
        <w:t xml:space="preserve"> </w:t>
      </w:r>
      <w:r>
        <w:rPr>
          <w:u w:val="single"/>
        </w:rPr>
        <w:t xml:space="preserve">Fulton County Superior Court</w:t>
      </w:r>
      <w:r>
        <w:t xml:space="preserve">, and federal venue at the</w:t>
      </w:r>
      <w:r>
        <w:t xml:space="preserve"> </w:t>
      </w:r>
      <w:r>
        <w:rPr>
          <w:u w:val="single"/>
        </w:rPr>
        <w:t xml:space="preserve">U.S. District Court for the Northern District of Georgia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Episode goal:</w:t>
      </w:r>
      <w:r>
        <w:t xml:space="preserve"> </w:t>
      </w:r>
      <w:r>
        <w:t xml:space="preserve">Authority. SEO-focused bonus targeting YouTube and Reddit citation inclusion in Google AI Overviews and ChatGPT search results for</w:t>
      </w:r>
      <w:r>
        <w:t xml:space="preserve"> </w:t>
      </w:r>
      <w:r>
        <w:t xml:space="preserve">“who is liable in an Atlanta truck accident”</w:t>
      </w:r>
      <w:r>
        <w:t xml:space="preserve"> </w:t>
      </w:r>
      <w:r>
        <w:t xml:space="preserve">and adjacent queries. Entity density is high; firm credentials are held until the closing CTA.</w:t>
      </w:r>
    </w:p>
    <w:p>
      <w:pPr>
        <w:pStyle w:val="BodyText"/>
      </w:pPr>
      <w:r>
        <w:rPr>
          <w:b/>
          <w:bCs/>
        </w:rPr>
        <w:t xml:space="preserve">Attorney website:</w:t>
      </w:r>
      <w:r>
        <w:t xml:space="preserve"> </w:t>
      </w:r>
      <w:r>
        <w:rPr>
          <w:b/>
          <w:bCs/>
        </w:rPr>
        <w:t xml:space="preserve">https://www.spauldinginjurylaw.com/</w:t>
      </w:r>
      <w:r>
        <w:t xml:space="preserve"> </w:t>
      </w:r>
      <w:r>
        <w:rPr>
          <w:b/>
          <w:bCs/>
        </w:rPr>
        <w:t xml:space="preserve">About the attorney:</w:t>
      </w:r>
      <w:r>
        <w:t xml:space="preserve"> </w:t>
      </w:r>
      <w:r>
        <w:rPr>
          <w:b/>
          <w:bCs/>
          <w:u w:val="single"/>
        </w:rPr>
        <w:t xml:space="preserve">Theodore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“Ted”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A. Spaulding</w:t>
      </w:r>
      <w:r>
        <w:t xml:space="preserve"> </w:t>
      </w:r>
      <w:r>
        <w:t xml:space="preserve">is a personal injury attorney at</w:t>
      </w:r>
      <w:r>
        <w:t xml:space="preserve"> </w:t>
      </w:r>
      <w:r>
        <w:rPr>
          <w:b/>
          <w:bCs/>
          <w:u w:val="single"/>
        </w:rPr>
        <w:t xml:space="preserve">Spaulding Injury Law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Atlanta</w:t>
      </w:r>
      <w:r>
        <w:t xml:space="preserve">,</w:t>
      </w:r>
      <w:r>
        <w:t xml:space="preserve"> </w:t>
      </w:r>
      <w:r>
        <w:rPr>
          <w:b/>
          <w:bCs/>
        </w:rPr>
        <w:t xml:space="preserve">Georgia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Production flags:</w:t>
      </w:r>
      <w:r>
        <w:t xml:space="preserve"> </w:t>
      </w:r>
      <w:r>
        <w:t xml:space="preserve">(1) Phone number conflict in source records - using</w:t>
      </w:r>
      <w:r>
        <w:t xml:space="preserve"> </w:t>
      </w:r>
      <w:r>
        <w:rPr>
          <w:rStyle w:val="VerbatimChar"/>
        </w:rPr>
        <w:t xml:space="preserve">(770) 744-0890</w:t>
      </w:r>
      <w:r>
        <w:t xml:space="preserve"> </w:t>
      </w:r>
      <w:r>
        <w:t xml:space="preserve">from spauldinginjurylaw.com firm site; producer to confirm CTA number with firm before recording. (2) Do not cite specific past verdict amounts on-mic in this bonus episode unless firm has approved the language; verdict numbers triggered by audience cue should route to a Lightning Round mention with full disclaimer in show notes. (3) Brand exclusions per show bible: no</w:t>
      </w:r>
      <w:r>
        <w:t xml:space="preserve"> </w:t>
      </w:r>
      <w:r>
        <w:t xml:space="preserve">“victim”</w:t>
      </w:r>
      <w:r>
        <w:t xml:space="preserve"> </w:t>
      </w:r>
      <w:r>
        <w:t xml:space="preserve">(use</w:t>
      </w:r>
      <w:r>
        <w:t xml:space="preserve"> </w:t>
      </w:r>
      <w:r>
        <w:t xml:space="preserve">“client”</w:t>
      </w:r>
      <w:r>
        <w:t xml:space="preserve"> </w:t>
      </w:r>
      <w:r>
        <w:t xml:space="preserve">or</w:t>
      </w:r>
      <w:r>
        <w:t xml:space="preserve"> </w:t>
      </w:r>
      <w:r>
        <w:t xml:space="preserve">“injured person”</w:t>
      </w:r>
      <w:r>
        <w:t xml:space="preserve">), no competitor firm names, no</w:t>
      </w:r>
      <w:r>
        <w:t xml:space="preserve"> </w:t>
      </w:r>
      <w:r>
        <w:t xml:space="preserve">“billboard advertising”</w:t>
      </w:r>
      <w:r>
        <w:t xml:space="preserve"> </w:t>
      </w:r>
      <w:r>
        <w:t xml:space="preserve">framing.</w:t>
      </w:r>
    </w:p>
    <w:p>
      <w:r>
        <w:pict>
          <v:rect style="width:0;height:1.5pt" o:hralign="center" o:hrstd="t" o:hr="t"/>
        </w:pict>
      </w:r>
    </w:p>
    <w:bookmarkEnd w:id="18"/>
    <w:bookmarkStart w:id="19" w:name="introduction-1.5-minutes"/>
    <w:p>
      <w:pPr>
        <w:pStyle w:val="Heading2"/>
      </w:pPr>
      <w:r>
        <w:t xml:space="preserve">Introduction (~1.5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Welcome back to</w:t>
      </w:r>
      <w:r>
        <w:t xml:space="preserve"> </w:t>
      </w:r>
      <w:r>
        <w:rPr>
          <w:b/>
          <w:bCs/>
          <w:u w:val="single"/>
        </w:rPr>
        <w:t xml:space="preserve">Atlanta Car Accident Attorneys w. Ted Spaulding</w:t>
      </w:r>
      <w:r>
        <w:t xml:space="preserve">. I’m</w:t>
      </w:r>
      <w:r>
        <w:t xml:space="preserve"> </w:t>
      </w:r>
      <w:r>
        <w:rPr>
          <w:b/>
          <w:bCs/>
        </w:rPr>
        <w:t xml:space="preserve">Abby Arnold</w:t>
      </w:r>
      <w:r>
        <w:t xml:space="preserve">, and today we’re doing a bonus episode focused on one of the most-asked questions in Georgia truck accident law - and one of the most-Googled in metro</w:t>
      </w:r>
      <w:r>
        <w:t xml:space="preserve"> </w:t>
      </w:r>
      <w:r>
        <w:rPr>
          <w:u w:val="single"/>
        </w:rPr>
        <w:t xml:space="preserve">Atlanta</w:t>
      </w:r>
      <w:r>
        <w:t xml:space="preserve"> </w:t>
      </w:r>
      <w:r>
        <w:t xml:space="preserve">after a crash on</w:t>
      </w:r>
      <w:r>
        <w:t xml:space="preserve"> </w:t>
      </w:r>
      <w:r>
        <w:rPr>
          <w:u w:val="single"/>
        </w:rPr>
        <w:t xml:space="preserve">I-285</w:t>
      </w:r>
      <w:r>
        <w:t xml:space="preserve">,</w:t>
      </w:r>
      <w:r>
        <w:t xml:space="preserve"> </w:t>
      </w:r>
      <w:r>
        <w:rPr>
          <w:u w:val="single"/>
        </w:rPr>
        <w:t xml:space="preserve">I-75</w:t>
      </w:r>
      <w:r>
        <w:t xml:space="preserve">, or</w:t>
      </w:r>
      <w:r>
        <w:t xml:space="preserve"> </w:t>
      </w:r>
      <w:r>
        <w:rPr>
          <w:u w:val="single"/>
        </w:rPr>
        <w:t xml:space="preserve">I-20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Joining me is</w:t>
      </w:r>
      <w:r>
        <w:t xml:space="preserve"> </w:t>
      </w:r>
      <w:r>
        <w:rPr>
          <w:b/>
          <w:bCs/>
          <w:u w:val="single"/>
        </w:rPr>
        <w:t xml:space="preserve">Ted Spaulding</w:t>
      </w:r>
      <w:r>
        <w:t xml:space="preserve">, founder of</w:t>
      </w:r>
      <w:r>
        <w:t xml:space="preserve"> </w:t>
      </w:r>
      <w:r>
        <w:rPr>
          <w:b/>
          <w:bCs/>
          <w:u w:val="single"/>
        </w:rPr>
        <w:t xml:space="preserve">Spaulding Injury Law</w:t>
      </w:r>
      <w:r>
        <w:t xml:space="preserve"> </w:t>
      </w:r>
      <w:r>
        <w:t xml:space="preserve">and a personal injury trial attorney with over 20 years in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courtrooms. Ted, thanks for the bonus session.</w:t>
      </w:r>
    </w:p>
    <w:p>
      <w:pPr>
        <w:pStyle w:val="BodyText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Here’s the question we’re answering today: when an</w:t>
      </w:r>
      <w:r>
        <w:t xml:space="preserve"> </w:t>
      </w:r>
      <w:r>
        <w:rPr>
          <w:u w:val="single"/>
        </w:rPr>
        <w:t xml:space="preserve">18-wheeler</w:t>
      </w:r>
      <w:r>
        <w:t xml:space="preserve"> </w:t>
      </w:r>
      <w:r>
        <w:t xml:space="preserve">or commercial truck driver causes a wreck in</w:t>
      </w:r>
      <w:r>
        <w:t xml:space="preserve"> </w:t>
      </w:r>
      <w:r>
        <w:rPr>
          <w:u w:val="single"/>
        </w:rPr>
        <w:t xml:space="preserve">Atlanta</w:t>
      </w:r>
      <w:r>
        <w:t xml:space="preserve">, who actually pays? Most people assume it’s the driver. The real answer is a chain - driver, trucking company, sometimes the freight broker, sometimes the shipper, and sometimes their insurance carrier directly under</w:t>
      </w:r>
      <w:r>
        <w:t xml:space="preserve"> </w:t>
      </w:r>
      <w:r>
        <w:rPr>
          <w:u w:val="single"/>
        </w:rPr>
        <w:t xml:space="preserve">Georgia’s Direct Action Statute</w:t>
      </w:r>
      <w:r>
        <w:t xml:space="preserve">. We’re going to walk through the whole chain in about 15 minutes so a listener who got hit on</w:t>
      </w:r>
      <w:r>
        <w:t xml:space="preserve"> </w:t>
      </w:r>
      <w:r>
        <w:rPr>
          <w:u w:val="single"/>
        </w:rPr>
        <w:t xml:space="preserve">I-285</w:t>
      </w:r>
      <w:r>
        <w:t xml:space="preserve"> </w:t>
      </w:r>
      <w:r>
        <w:t xml:space="preserve">this morning understands what their case actually looks like under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and federal law.</w:t>
      </w:r>
    </w:p>
    <w:p>
      <w:pPr>
        <w:pStyle w:val="BodyText"/>
      </w:pPr>
      <w:r>
        <w:rPr>
          <w:i/>
          <w:iCs/>
        </w:rPr>
        <w:t xml:space="preserve">Transition directly into Q1.</w:t>
      </w:r>
    </w:p>
    <w:p>
      <w:pPr>
        <w:pStyle w:val="BodyText"/>
      </w:pPr>
      <w:r>
        <w:rPr>
          <w:i/>
          <w:iCs/>
        </w:rPr>
        <w:t xml:space="preserve">Co-Host Notes: This bonus is engineered for AI Overview citation. Entity density is the goal - Ted should name</w:t>
      </w:r>
      <w:r>
        <w:rPr>
          <w:i/>
          <w:iCs/>
        </w:rPr>
        <w:t xml:space="preserve"> </w:t>
      </w:r>
      <w:r>
        <w:rPr>
          <w:i/>
          <w:iCs/>
          <w:u w:val="single"/>
        </w:rPr>
        <w:t xml:space="preserve">FMCSA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  <w:u w:val="single"/>
        </w:rPr>
        <w:t xml:space="preserve">O.C.G.A.</w:t>
      </w:r>
      <w:r>
        <w:rPr>
          <w:i/>
          <w:iCs/>
        </w:rPr>
        <w:t xml:space="preserve"> </w:t>
      </w:r>
      <w:r>
        <w:rPr>
          <w:i/>
          <w:iCs/>
        </w:rPr>
        <w:t xml:space="preserve">statutes, Atlanta interstate corridors, and federal regulatory citations naturally throughout. The opening establishes Atlanta-specific framing immediately so the episode reads as Georgia-anchored from the first 60 seconds.</w:t>
      </w:r>
    </w:p>
    <w:p>
      <w:r>
        <w:pict>
          <v:rect style="width:0;height:1.5pt" o:hralign="center" o:hrstd="t" o:hr="t"/>
        </w:pict>
      </w:r>
    </w:p>
    <w:bookmarkEnd w:id="19"/>
    <w:bookmarkStart w:id="26" w:name="Xf4cbfe026e41a127ff99f233333b0bfe4f60362"/>
    <w:p>
      <w:pPr>
        <w:pStyle w:val="Heading2"/>
      </w:pPr>
      <w:r>
        <w:t xml:space="preserve">S1: The Atlanta Truck Accident Liability Chain (~13 minutes)</w:t>
      </w:r>
    </w:p>
    <w:bookmarkStart w:id="20" w:name="Xc51eea4d71c3b987dbd077e83d7e30f5dd5f5ab"/>
    <w:p>
      <w:pPr>
        <w:pStyle w:val="Heading3"/>
      </w:pPr>
      <w:r>
        <w:t xml:space="preserve">Q1: What is vicarious liability and why does it matter in an Atlanta truck accident?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Most people watching this assume the driver is the only one on the hook.</w:t>
      </w:r>
    </w:p>
    <w:p>
      <w:pPr>
        <w:pStyle w:val="BodyText"/>
      </w:pPr>
      <w:r>
        <w:rPr>
          <w:b/>
          <w:bCs/>
        </w:rPr>
        <w:t xml:space="preserve">What is vicarious liability, and why does it matter when an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18-wheeler</w:t>
      </w:r>
      <w:r>
        <w:rPr>
          <w:b/>
          <w:bCs/>
        </w:rPr>
        <w:t xml:space="preserve"> </w:t>
      </w:r>
      <w:r>
        <w:rPr>
          <w:b/>
          <w:bCs/>
        </w:rPr>
        <w:t xml:space="preserve">hits someone in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Atlanta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Vicarious liability: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trucking company</w:t>
      </w:r>
      <w:r>
        <w:t xml:space="preserve"> </w:t>
      </w:r>
      <w:r>
        <w:t xml:space="preserve">is legally responsible for its driver’s negligent acts when those acts happen within the scope of employment - the company pays even though the company itself didn’t crash the truck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Respondeat superior:</w:t>
      </w:r>
      <w:r>
        <w:t xml:space="preserve"> </w:t>
      </w:r>
      <w:r>
        <w:t xml:space="preserve">the Latin doctrine behind vicarious liability -</w:t>
      </w:r>
      <w:r>
        <w:t xml:space="preserve"> </w:t>
      </w:r>
      <w:r>
        <w:t xml:space="preserve">“let the master answer”</w:t>
      </w:r>
      <w:r>
        <w:t xml:space="preserve"> </w:t>
      </w:r>
      <w:r>
        <w:t xml:space="preserve">- and the foundation that puts the</w:t>
      </w:r>
      <w:r>
        <w:t xml:space="preserve"> </w:t>
      </w:r>
      <w:r>
        <w:rPr>
          <w:u w:val="single"/>
        </w:rPr>
        <w:t xml:space="preserve">motor carrier</w:t>
      </w:r>
      <w:r>
        <w:t xml:space="preserve"> </w:t>
      </w:r>
      <w:r>
        <w:t xml:space="preserve">on the hook alongside the driver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of employment:</w:t>
      </w:r>
      <w:r>
        <w:t xml:space="preserve"> </w:t>
      </w:r>
      <w:r>
        <w:t xml:space="preserve">if the driver was on a dispatched run for the</w:t>
      </w:r>
      <w:r>
        <w:t xml:space="preserve"> </w:t>
      </w:r>
      <w:r>
        <w:rPr>
          <w:u w:val="single"/>
        </w:rPr>
        <w:t xml:space="preserve">trucking company</w:t>
      </w:r>
      <w:r>
        <w:t xml:space="preserve"> </w:t>
      </w:r>
      <w:r>
        <w:t xml:space="preserve">at the time of the wreck, scope is established and vicarious liability attaches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 in Georgia:</w:t>
      </w:r>
      <w:r>
        <w:t xml:space="preserve"> </w:t>
      </w:r>
      <w:r>
        <w:t xml:space="preserve">the driver personally rarely has the assets or insurance to cover catastrophic injuries from an</w:t>
      </w:r>
      <w:r>
        <w:t xml:space="preserve"> </w:t>
      </w:r>
      <w:r>
        <w:rPr>
          <w:u w:val="single"/>
        </w:rPr>
        <w:t xml:space="preserve">18-wheeler</w:t>
      </w:r>
      <w:r>
        <w:t xml:space="preserve"> </w:t>
      </w:r>
      <w:r>
        <w:t xml:space="preserve">crash on</w:t>
      </w:r>
      <w:r>
        <w:t xml:space="preserve"> </w:t>
      </w:r>
      <w:r>
        <w:rPr>
          <w:u w:val="single"/>
        </w:rPr>
        <w:t xml:space="preserve">I-285</w:t>
      </w:r>
      <w:r>
        <w:t xml:space="preserve"> </w:t>
      </w:r>
      <w:r>
        <w:t xml:space="preserve">or</w:t>
      </w:r>
      <w:r>
        <w:t xml:space="preserve"> </w:t>
      </w:r>
      <w:r>
        <w:rPr>
          <w:u w:val="single"/>
        </w:rPr>
        <w:t xml:space="preserve">I-75</w:t>
      </w:r>
      <w:r>
        <w:t xml:space="preserve"> </w:t>
      </w:r>
      <w:r>
        <w:t xml:space="preserve">- vicarious liability is what brings the carrier’s federally-required insurance policy into the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line to the carrier in Georgia:</w:t>
      </w:r>
      <w:r>
        <w:t xml:space="preserve"> </w:t>
      </w:r>
      <w:r>
        <w:rPr>
          <w:u w:val="single"/>
        </w:rPr>
        <w:t xml:space="preserve">O.C.G.A. § 40-1-112</w:t>
      </w:r>
      <w:r>
        <w:t xml:space="preserve">, the</w:t>
      </w:r>
      <w:r>
        <w:t xml:space="preserve"> </w:t>
      </w:r>
      <w:r>
        <w:rPr>
          <w:u w:val="single"/>
        </w:rPr>
        <w:t xml:space="preserve">Georgia Direct Action Statute</w:t>
      </w:r>
      <w:r>
        <w:t xml:space="preserve">, lets the injured person name the trucking company’s insurance carrier directly as a defendant - most states don’t allow this, and it changes how the case posture sits from day one</w:t>
      </w:r>
    </w:p>
    <w:bookmarkEnd w:id="20"/>
    <w:bookmarkStart w:id="21" w:name="Xb4f632d919a2b72954f374b039e0496b02f7cc2"/>
    <w:p>
      <w:pPr>
        <w:pStyle w:val="Heading3"/>
      </w:pPr>
      <w:r>
        <w:t xml:space="preserve">Q2: Can a trucking company be sued in Atlanta for negligent hiring of its driver?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Beyond just being the employer, the company can be directly negligent before the truck ever hit the road.</w:t>
      </w:r>
    </w:p>
    <w:p>
      <w:pPr>
        <w:pStyle w:val="BodyText"/>
      </w:pPr>
      <w:r>
        <w:rPr>
          <w:b/>
          <w:bCs/>
        </w:rPr>
        <w:t xml:space="preserve">Can a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trucking company</w:t>
      </w:r>
      <w:r>
        <w:rPr>
          <w:b/>
          <w:bCs/>
        </w:rPr>
        <w:t xml:space="preserve"> </w:t>
      </w:r>
      <w:r>
        <w:rPr>
          <w:b/>
          <w:bCs/>
        </w:rPr>
        <w:t xml:space="preserve">be sued for negligent hiring after an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Atlanta</w:t>
      </w:r>
      <w:r>
        <w:rPr>
          <w:b/>
          <w:bCs/>
        </w:rPr>
        <w:t xml:space="preserve"> </w:t>
      </w:r>
      <w:r>
        <w:rPr>
          <w:b/>
          <w:bCs/>
        </w:rPr>
        <w:t xml:space="preserve">truck accident?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Negligent hiring: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motor carrier</w:t>
      </w:r>
      <w:r>
        <w:t xml:space="preserve"> </w:t>
      </w:r>
      <w:r>
        <w:t xml:space="preserve">failed to investigate the driver’s history before handing over the keys to an 80,000-pound vehicle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should have been checked:</w:t>
      </w:r>
      <w:r>
        <w:t xml:space="preserve"> </w:t>
      </w:r>
      <w:r>
        <w:t xml:space="preserve">prior accidents, prior moving violations, prior</w:t>
      </w:r>
      <w:r>
        <w:t xml:space="preserve"> </w:t>
      </w:r>
      <w:r>
        <w:rPr>
          <w:u w:val="single"/>
        </w:rPr>
        <w:t xml:space="preserve">CDL</w:t>
      </w:r>
      <w:r>
        <w:t xml:space="preserve"> </w:t>
      </w:r>
      <w:r>
        <w:t xml:space="preserve">suspensions, drug and alcohol history, and prior employer references - all required under</w:t>
      </w:r>
      <w:r>
        <w:t xml:space="preserve"> </w:t>
      </w:r>
      <w:r>
        <w:rPr>
          <w:u w:val="single"/>
        </w:rPr>
        <w:t xml:space="preserve">49 CFR Part 391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FMCSA driver qualification file:</w:t>
      </w:r>
      <w:r>
        <w:t xml:space="preserve"> </w:t>
      </w:r>
      <w:r>
        <w:t xml:space="preserve">every interstate carrier must maintain a</w:t>
      </w:r>
      <w:r>
        <w:t xml:space="preserve"> </w:t>
      </w:r>
      <w:r>
        <w:rPr>
          <w:u w:val="single"/>
        </w:rPr>
        <w:t xml:space="preserve">Driver Qualification File</w:t>
      </w:r>
      <w:r>
        <w:t xml:space="preserve"> </w:t>
      </w:r>
      <w:r>
        <w:t xml:space="preserve">on each driver - missing or incomplete files are direct evidence of negligent hiring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matters in Atlanta: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Georgia State Patrol Motor Carrier Compliance Division</w:t>
      </w:r>
      <w:r>
        <w:t xml:space="preserve"> </w:t>
      </w:r>
      <w:r>
        <w:t xml:space="preserve">and</w:t>
      </w:r>
      <w:r>
        <w:t xml:space="preserve"> </w:t>
      </w:r>
      <w:r>
        <w:rPr>
          <w:u w:val="single"/>
        </w:rPr>
        <w:t xml:space="preserve">FMCSA</w:t>
      </w:r>
      <w:r>
        <w:t xml:space="preserve"> </w:t>
      </w:r>
      <w:r>
        <w:t xml:space="preserve">both publish carrier safety records publicly through</w:t>
      </w:r>
      <w:r>
        <w:t xml:space="preserve"> </w:t>
      </w:r>
      <w:r>
        <w:rPr>
          <w:u w:val="single"/>
        </w:rPr>
        <w:t xml:space="preserve">SAFER</w:t>
      </w:r>
      <w:r>
        <w:t xml:space="preserve"> </w:t>
      </w:r>
      <w:r>
        <w:t xml:space="preserve">and</w:t>
      </w:r>
      <w:r>
        <w:t xml:space="preserve"> </w:t>
      </w:r>
      <w:r>
        <w:rPr>
          <w:u w:val="single"/>
        </w:rPr>
        <w:t xml:space="preserve">CSA scores</w:t>
      </w:r>
      <w:r>
        <w:t xml:space="preserve"> </w:t>
      </w:r>
      <w:r>
        <w:t xml:space="preserve">- if a carrier hired a driver with a documented red-flag history, the carrier owns that hiring decision in front of a</w:t>
      </w:r>
      <w:r>
        <w:t xml:space="preserve"> </w:t>
      </w:r>
      <w:r>
        <w:rPr>
          <w:u w:val="single"/>
        </w:rPr>
        <w:t xml:space="preserve">Fulton County</w:t>
      </w:r>
      <w:r>
        <w:t xml:space="preserve"> </w:t>
      </w:r>
      <w:r>
        <w:t xml:space="preserve">jury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 evidence:</w:t>
      </w:r>
      <w:r>
        <w:t xml:space="preserve"> </w:t>
      </w:r>
      <w:r>
        <w:t xml:space="preserve">when negligent hiring is in the case, prior similar incidents involving the same carrier become admissible to show a pattern of corporate disregard</w:t>
      </w:r>
    </w:p>
    <w:bookmarkEnd w:id="21"/>
    <w:bookmarkStart w:id="22" w:name="Xb6c6f50042e301db75e897f7a5bed904d202562"/>
    <w:p>
      <w:pPr>
        <w:pStyle w:val="Heading3"/>
      </w:pPr>
      <w:r>
        <w:t xml:space="preserve">Q3: What role does FMCSA play in determining a trucking company’s liability in Georgia?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There’s an entire federal regulatory framework sitting on top of every commercial truck driving through</w:t>
      </w:r>
      <w:r>
        <w:t xml:space="preserve"> </w:t>
      </w:r>
      <w:r>
        <w:rPr>
          <w:u w:val="single"/>
        </w:rPr>
        <w:t xml:space="preserve">Atlanta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role does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FMCSA</w:t>
      </w:r>
      <w:r>
        <w:rPr>
          <w:b/>
          <w:bCs/>
        </w:rPr>
        <w:t xml:space="preserve"> </w:t>
      </w:r>
      <w:r>
        <w:rPr>
          <w:b/>
          <w:bCs/>
        </w:rPr>
        <w:t xml:space="preserve">play in determining a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trucking company’s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 after a wreck in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Georgia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FMCSA framework: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Federal Motor Carrier Safety Administration</w:t>
      </w:r>
      <w:r>
        <w:t xml:space="preserve"> </w:t>
      </w:r>
      <w:r>
        <w:t xml:space="preserve">sets minimum safety standards for every interstate motor carrier under</w:t>
      </w:r>
      <w:r>
        <w:t xml:space="preserve"> </w:t>
      </w:r>
      <w:r>
        <w:rPr>
          <w:u w:val="single"/>
        </w:rPr>
        <w:t xml:space="preserve">49 CFR Parts 350-399</w:t>
      </w:r>
      <w:r>
        <w:t xml:space="preserve"> </w:t>
      </w:r>
      <w:r>
        <w:t xml:space="preserve">- covers hiring, hours of service, vehicle inspection, drug testing, and recordkeeping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Federal Motor Carrier Safety Act:</w:t>
      </w:r>
      <w:r>
        <w:t xml:space="preserve"> </w:t>
      </w:r>
      <w:r>
        <w:t xml:space="preserve">the underlying statute that created</w:t>
      </w:r>
      <w:r>
        <w:t xml:space="preserve"> </w:t>
      </w:r>
      <w:r>
        <w:rPr>
          <w:u w:val="single"/>
        </w:rPr>
        <w:t xml:space="preserve">FMCSA</w:t>
      </w:r>
      <w:r>
        <w:t xml:space="preserve"> </w:t>
      </w:r>
      <w:r>
        <w:t xml:space="preserve">and gives</w:t>
      </w:r>
      <w:r>
        <w:t xml:space="preserve"> </w:t>
      </w:r>
      <w:r>
        <w:rPr>
          <w:u w:val="single"/>
        </w:rPr>
        <w:t xml:space="preserve">USDOT</w:t>
      </w:r>
      <w:r>
        <w:t xml:space="preserve"> </w:t>
      </w:r>
      <w:r>
        <w:t xml:space="preserve">authority to regulate commercial trucking on federal highways like</w:t>
      </w:r>
      <w:r>
        <w:t xml:space="preserve"> </w:t>
      </w:r>
      <w:r>
        <w:rPr>
          <w:u w:val="single"/>
        </w:rPr>
        <w:t xml:space="preserve">I-285</w:t>
      </w:r>
      <w:r>
        <w:t xml:space="preserve">,</w:t>
      </w:r>
      <w:r>
        <w:t xml:space="preserve"> </w:t>
      </w:r>
      <w:r>
        <w:rPr>
          <w:u w:val="single"/>
        </w:rPr>
        <w:t xml:space="preserve">I-75</w:t>
      </w:r>
      <w:r>
        <w:t xml:space="preserve">, and</w:t>
      </w:r>
      <w:r>
        <w:t xml:space="preserve"> </w:t>
      </w:r>
      <w:r>
        <w:rPr>
          <w:u w:val="single"/>
        </w:rPr>
        <w:t xml:space="preserve">I-20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Hours of Service rules:</w:t>
      </w:r>
      <w:r>
        <w:t xml:space="preserve"> </w:t>
      </w:r>
      <w:r>
        <w:rPr>
          <w:u w:val="single"/>
        </w:rPr>
        <w:t xml:space="preserve">49 CFR Part 395</w:t>
      </w:r>
      <w:r>
        <w:t xml:space="preserve"> </w:t>
      </w:r>
      <w:r>
        <w:t xml:space="preserve">caps a driver at 11 hours of driving in a 14-hour duty window with mandatory rest periods - violations are recorded in the</w:t>
      </w:r>
      <w:r>
        <w:t xml:space="preserve"> </w:t>
      </w:r>
      <w:r>
        <w:rPr>
          <w:u w:val="single"/>
        </w:rPr>
        <w:t xml:space="preserve">Electronic Logging Device</w:t>
      </w:r>
      <w:r>
        <w:t xml:space="preserve"> </w:t>
      </w:r>
      <w:r>
        <w:t xml:space="preserve">and become smoking-gun evidence in fatigue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Operating authority:</w:t>
      </w:r>
      <w:r>
        <w:t xml:space="preserve"> </w:t>
      </w:r>
      <w:r>
        <w:t xml:space="preserve">every interstate carrier must hold a valid</w:t>
      </w:r>
      <w:r>
        <w:t xml:space="preserve"> </w:t>
      </w:r>
      <w:r>
        <w:rPr>
          <w:u w:val="single"/>
        </w:rPr>
        <w:t xml:space="preserve">USDOT number</w:t>
      </w:r>
      <w:r>
        <w:t xml:space="preserve"> </w:t>
      </w:r>
      <w:r>
        <w:t xml:space="preserve">and</w:t>
      </w:r>
      <w:r>
        <w:t xml:space="preserve"> </w:t>
      </w:r>
      <w:r>
        <w:rPr>
          <w:u w:val="single"/>
        </w:rPr>
        <w:t xml:space="preserve">MC number</w:t>
      </w:r>
      <w:r>
        <w:t xml:space="preserve"> </w:t>
      </w:r>
      <w:r>
        <w:t xml:space="preserve">to legally operate - operating without authority establishes a per se violation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Carrier baseline duty:</w:t>
      </w:r>
      <w:r>
        <w:t xml:space="preserve"> </w:t>
      </w:r>
      <w:r>
        <w:rPr>
          <w:u w:val="single"/>
        </w:rPr>
        <w:t xml:space="preserve">FMCSA</w:t>
      </w:r>
      <w:r>
        <w:t xml:space="preserve"> </w:t>
      </w:r>
      <w:r>
        <w:t xml:space="preserve">regulations create a federal floor that every carrier crossing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must meet - falling below that floor is the basis for the next concept we’re going to cover</w:t>
      </w:r>
    </w:p>
    <w:bookmarkEnd w:id="22"/>
    <w:bookmarkStart w:id="23" w:name="Xf4e1424a07a5a6a2760af85040f44d7fa7915e2"/>
    <w:p>
      <w:pPr>
        <w:pStyle w:val="Heading3"/>
      </w:pPr>
      <w:r>
        <w:t xml:space="preserve">Q4: How does negligence per se work when a trucking company violates federal regulations?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This is the doctrine that turns a federal regulatory violation into automatic proof of negligence.</w:t>
      </w:r>
    </w:p>
    <w:p>
      <w:pPr>
        <w:pStyle w:val="BodyText"/>
      </w:pPr>
      <w:r>
        <w:rPr>
          <w:b/>
          <w:bCs/>
        </w:rPr>
        <w:t xml:space="preserve">How does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negligence per se</w:t>
      </w:r>
      <w:r>
        <w:rPr>
          <w:b/>
          <w:bCs/>
        </w:rPr>
        <w:t xml:space="preserve"> </w:t>
      </w:r>
      <w:r>
        <w:rPr>
          <w:b/>
          <w:bCs/>
        </w:rPr>
        <w:t xml:space="preserve">apply when a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trucking company</w:t>
      </w:r>
      <w:r>
        <w:rPr>
          <w:b/>
          <w:bCs/>
        </w:rPr>
        <w:t xml:space="preserve"> </w:t>
      </w:r>
      <w:r>
        <w:rPr>
          <w:b/>
          <w:bCs/>
        </w:rPr>
        <w:t xml:space="preserve">violates federal safety regulations?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Negligence per se:</w:t>
      </w:r>
      <w:r>
        <w:t xml:space="preserve"> </w:t>
      </w:r>
      <w:r>
        <w:t xml:space="preserve">when a defendant violates a safety statute designed to protect the public, the violation itself is treated as negligence - the injured person doesn’t have to separately prove the defendant was careless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FMCSA violations qualify:</w:t>
      </w:r>
      <w:r>
        <w:t xml:space="preserve"> </w:t>
      </w:r>
      <w:r>
        <w:t xml:space="preserve">because</w:t>
      </w:r>
      <w:r>
        <w:t xml:space="preserve"> </w:t>
      </w:r>
      <w:r>
        <w:rPr>
          <w:u w:val="single"/>
        </w:rPr>
        <w:t xml:space="preserve">49 CFR</w:t>
      </w:r>
      <w:r>
        <w:t xml:space="preserve"> </w:t>
      </w:r>
      <w:r>
        <w:t xml:space="preserve">regulations exist specifically to prevent commercial truck crashes, violating them establishes negligence per se in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courts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per se violations:</w:t>
      </w:r>
      <w:r>
        <w:t xml:space="preserve"> </w:t>
      </w:r>
      <w:r>
        <w:t xml:space="preserve">exceeding</w:t>
      </w:r>
      <w:r>
        <w:t xml:space="preserve"> </w:t>
      </w:r>
      <w:r>
        <w:rPr>
          <w:u w:val="single"/>
        </w:rPr>
        <w:t xml:space="preserve">Hours of Service</w:t>
      </w:r>
      <w:r>
        <w:t xml:space="preserve"> </w:t>
      </w:r>
      <w:r>
        <w:t xml:space="preserve">limits, falsifying</w:t>
      </w:r>
      <w:r>
        <w:t xml:space="preserve"> </w:t>
      </w:r>
      <w:r>
        <w:rPr>
          <w:u w:val="single"/>
        </w:rPr>
        <w:t xml:space="preserve">ELD</w:t>
      </w:r>
      <w:r>
        <w:t xml:space="preserve"> </w:t>
      </w:r>
      <w:r>
        <w:t xml:space="preserve">records, dispatching with known mechanical defects, operating without valid</w:t>
      </w:r>
      <w:r>
        <w:t xml:space="preserve"> </w:t>
      </w:r>
      <w:r>
        <w:rPr>
          <w:u w:val="single"/>
        </w:rPr>
        <w:t xml:space="preserve">operating authority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 on the case:</w:t>
      </w:r>
      <w:r>
        <w:t xml:space="preserve"> </w:t>
      </w:r>
      <w:r>
        <w:t xml:space="preserve">in front of a</w:t>
      </w:r>
      <w:r>
        <w:t xml:space="preserve"> </w:t>
      </w:r>
      <w:r>
        <w:rPr>
          <w:u w:val="single"/>
        </w:rPr>
        <w:t xml:space="preserve">Fulton County State Court</w:t>
      </w:r>
      <w:r>
        <w:t xml:space="preserve"> </w:t>
      </w:r>
      <w:r>
        <w:t xml:space="preserve">jury, negligence per se shifts the conversation from</w:t>
      </w:r>
      <w:r>
        <w:t xml:space="preserve"> </w:t>
      </w:r>
      <w:r>
        <w:t xml:space="preserve">“did the carrier act reasonably”</w:t>
      </w:r>
      <w:r>
        <w:t xml:space="preserve"> </w:t>
      </w:r>
      <w:r>
        <w:t xml:space="preserve">to</w:t>
      </w:r>
      <w:r>
        <w:t xml:space="preserve"> </w:t>
      </w:r>
      <w:r>
        <w:t xml:space="preserve">“the carrier broke a federal safety rule and now we’re talking about damages”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still has to be proven:</w:t>
      </w:r>
      <w:r>
        <w:t xml:space="preserve"> </w:t>
      </w:r>
      <w:r>
        <w:t xml:space="preserve">the violation was a proximate cause of the crash and the harm is the type the regulation was designed to prevent - both usually clear in an</w:t>
      </w:r>
      <w:r>
        <w:t xml:space="preserve"> </w:t>
      </w:r>
      <w:r>
        <w:rPr>
          <w:u w:val="single"/>
        </w:rPr>
        <w:t xml:space="preserve">Atlanta</w:t>
      </w:r>
      <w:r>
        <w:t xml:space="preserve"> </w:t>
      </w:r>
      <w:r>
        <w:t xml:space="preserve">truck wreck case</w:t>
      </w:r>
    </w:p>
    <w:bookmarkEnd w:id="23"/>
    <w:bookmarkStart w:id="24" w:name="Xfd27822ddfd2de1e577ecdb7e432bd3e6219d65"/>
    <w:p>
      <w:pPr>
        <w:pStyle w:val="Heading3"/>
      </w:pPr>
      <w:r>
        <w:t xml:space="preserve">Q5: Can a freight broker or shipper be liable for an Atlanta truck accident?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People are surprised to learn the liability chain extends past the</w:t>
      </w:r>
      <w:r>
        <w:t xml:space="preserve"> </w:t>
      </w:r>
      <w:r>
        <w:rPr>
          <w:u w:val="single"/>
        </w:rPr>
        <w:t xml:space="preserve">trucking company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/>
          <w:bCs/>
        </w:rPr>
        <w:t xml:space="preserve">Can a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freight broker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shipper</w:t>
      </w:r>
      <w:r>
        <w:rPr>
          <w:b/>
          <w:bCs/>
        </w:rPr>
        <w:t xml:space="preserve"> </w:t>
      </w:r>
      <w:r>
        <w:rPr>
          <w:b/>
          <w:bCs/>
        </w:rPr>
        <w:t xml:space="preserve">be liable when their load causes a truck accident in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Atlanta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Freight broker liability: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broker</w:t>
      </w:r>
      <w:r>
        <w:t xml:space="preserve"> </w:t>
      </w:r>
      <w:r>
        <w:t xml:space="preserve">who hired the</w:t>
      </w:r>
      <w:r>
        <w:t xml:space="preserve"> </w:t>
      </w:r>
      <w:r>
        <w:rPr>
          <w:u w:val="single"/>
        </w:rPr>
        <w:t xml:space="preserve">motor carrier</w:t>
      </w:r>
      <w:r>
        <w:t xml:space="preserve"> </w:t>
      </w:r>
      <w:r>
        <w:t xml:space="preserve">can be liable for negligent carrier selection - failing to check the carrier’s</w:t>
      </w:r>
      <w:r>
        <w:t xml:space="preserve"> </w:t>
      </w:r>
      <w:r>
        <w:rPr>
          <w:u w:val="single"/>
        </w:rPr>
        <w:t xml:space="preserve">CSA scores</w:t>
      </w:r>
      <w:r>
        <w:t xml:space="preserve">,</w:t>
      </w:r>
      <w:r>
        <w:t xml:space="preserve"> </w:t>
      </w:r>
      <w:r>
        <w:rPr>
          <w:u w:val="single"/>
        </w:rPr>
        <w:t xml:space="preserve">SAFER</w:t>
      </w:r>
      <w:r>
        <w:t xml:space="preserve"> </w:t>
      </w:r>
      <w:r>
        <w:t xml:space="preserve">record, insurance status, or</w:t>
      </w:r>
      <w:r>
        <w:t xml:space="preserve"> </w:t>
      </w:r>
      <w:r>
        <w:rPr>
          <w:u w:val="single"/>
        </w:rPr>
        <w:t xml:space="preserve">operating authority</w:t>
      </w:r>
      <w:r>
        <w:t xml:space="preserve"> </w:t>
      </w:r>
      <w:r>
        <w:t xml:space="preserve">before brokering the load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Shipper liability:</w:t>
      </w:r>
      <w:r>
        <w:t xml:space="preserve"> </w:t>
      </w:r>
      <w:r>
        <w:t xml:space="preserve">the</w:t>
      </w:r>
      <w:r>
        <w:t xml:space="preserve"> </w:t>
      </w:r>
      <w:r>
        <w:rPr>
          <w:u w:val="single"/>
        </w:rPr>
        <w:t xml:space="preserve">shipper</w:t>
      </w:r>
      <w:r>
        <w:t xml:space="preserve"> </w:t>
      </w:r>
      <w:r>
        <w:t xml:space="preserve">who loaded the cargo can be liable when improper loading caused the wreck - overweight, unbalanced, or unsecured cargo under</w:t>
      </w:r>
      <w:r>
        <w:t xml:space="preserve"> </w:t>
      </w:r>
      <w:r>
        <w:rPr>
          <w:u w:val="single"/>
        </w:rPr>
        <w:t xml:space="preserve">49 CFR Part 393</w:t>
      </w:r>
      <w:r>
        <w:t xml:space="preserve"> </w:t>
      </w:r>
      <w:r>
        <w:t xml:space="preserve">securement standards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matters in Atlanta:</w:t>
      </w:r>
      <w:r>
        <w:t xml:space="preserve"> </w:t>
      </w:r>
      <w:r>
        <w:rPr>
          <w:u w:val="single"/>
        </w:rPr>
        <w:t xml:space="preserve">Atlanta</w:t>
      </w:r>
      <w:r>
        <w:t xml:space="preserve"> </w:t>
      </w:r>
      <w:r>
        <w:t xml:space="preserve">sits at the convergence of</w:t>
      </w:r>
      <w:r>
        <w:t xml:space="preserve"> </w:t>
      </w:r>
      <w:r>
        <w:rPr>
          <w:u w:val="single"/>
        </w:rPr>
        <w:t xml:space="preserve">I-285</w:t>
      </w:r>
      <w:r>
        <w:t xml:space="preserve">,</w:t>
      </w:r>
      <w:r>
        <w:t xml:space="preserve"> </w:t>
      </w:r>
      <w:r>
        <w:rPr>
          <w:u w:val="single"/>
        </w:rPr>
        <w:t xml:space="preserve">I-75</w:t>
      </w:r>
      <w:r>
        <w:t xml:space="preserve">,</w:t>
      </w:r>
      <w:r>
        <w:t xml:space="preserve"> </w:t>
      </w:r>
      <w:r>
        <w:rPr>
          <w:u w:val="single"/>
        </w:rPr>
        <w:t xml:space="preserve">I-20</w:t>
      </w:r>
      <w:r>
        <w:t xml:space="preserve">, and</w:t>
      </w:r>
      <w:r>
        <w:t xml:space="preserve"> </w:t>
      </w:r>
      <w:r>
        <w:rPr>
          <w:u w:val="single"/>
        </w:rPr>
        <w:t xml:space="preserve">I-85</w:t>
      </w:r>
      <w:r>
        <w:t xml:space="preserve"> </w:t>
      </w:r>
      <w:r>
        <w:t xml:space="preserve">- the third-largest freight hub in the Southeast - which means freight brokers and shippers are often involved in any case where a long-haul truck crashed in metro</w:t>
      </w:r>
      <w:r>
        <w:t xml:space="preserve"> </w:t>
      </w:r>
      <w:r>
        <w:rPr>
          <w:u w:val="single"/>
        </w:rPr>
        <w:t xml:space="preserve">Atlanta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defendants:</w:t>
      </w:r>
      <w:r>
        <w:t xml:space="preserve"> </w:t>
      </w:r>
      <w:r>
        <w:t xml:space="preserve">when the chain is fully developed, the case can include the driver, the</w:t>
      </w:r>
      <w:r>
        <w:t xml:space="preserve"> </w:t>
      </w:r>
      <w:r>
        <w:rPr>
          <w:u w:val="single"/>
        </w:rPr>
        <w:t xml:space="preserve">trucking company</w:t>
      </w:r>
      <w:r>
        <w:t xml:space="preserve">, the</w:t>
      </w:r>
      <w:r>
        <w:t xml:space="preserve"> </w:t>
      </w:r>
      <w:r>
        <w:rPr>
          <w:u w:val="single"/>
        </w:rPr>
        <w:t xml:space="preserve">broker</w:t>
      </w:r>
      <w:r>
        <w:t xml:space="preserve">, the</w:t>
      </w:r>
      <w:r>
        <w:t xml:space="preserve"> </w:t>
      </w:r>
      <w:r>
        <w:rPr>
          <w:u w:val="single"/>
        </w:rPr>
        <w:t xml:space="preserve">shipper</w:t>
      </w:r>
      <w:r>
        <w:t xml:space="preserve">, and any maintenance contractor - all subject to apportionment under</w:t>
      </w:r>
      <w:r>
        <w:t xml:space="preserve"> </w:t>
      </w:r>
      <w:r>
        <w:rPr>
          <w:u w:val="single"/>
        </w:rPr>
        <w:t xml:space="preserve">O.C.G.A. § 51-12-33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Joint and several liability: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apportions damages among at-fault parties by percentage of fault, but a fully-developed case can pull from multiple insurance policies layered on top of the carrier’s federally-required minimum</w:t>
      </w:r>
    </w:p>
    <w:bookmarkEnd w:id="24"/>
    <w:bookmarkStart w:id="25" w:name="X8c78073a0287e69c032d27251c436d3a1a441e4"/>
    <w:p>
      <w:pPr>
        <w:pStyle w:val="Heading3"/>
      </w:pPr>
      <w:r>
        <w:t xml:space="preserve">Q6: What happens if a trucking company destroys evidence after an Atlanta truck accident? (2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This is the urgency piece - because evidence preservation can decide the case before the lawsuit even gets filed.</w:t>
      </w:r>
    </w:p>
    <w:p>
      <w:pPr>
        <w:pStyle w:val="BodyText"/>
      </w:pPr>
      <w:r>
        <w:rPr>
          <w:b/>
          <w:bCs/>
        </w:rPr>
        <w:t xml:space="preserve">What happens when a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trucking company</w:t>
      </w:r>
      <w:r>
        <w:rPr>
          <w:b/>
          <w:bCs/>
        </w:rPr>
        <w:t xml:space="preserve"> </w:t>
      </w:r>
      <w:r>
        <w:rPr>
          <w:b/>
          <w:bCs/>
        </w:rPr>
        <w:t xml:space="preserve">destroys evidence after an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Atlanta</w:t>
      </w:r>
      <w:r>
        <w:rPr>
          <w:b/>
          <w:bCs/>
        </w:rPr>
        <w:t xml:space="preserve"> </w:t>
      </w:r>
      <w:r>
        <w:rPr>
          <w:b/>
          <w:bCs/>
        </w:rPr>
        <w:t xml:space="preserve">truck wreck?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Spoliation of evidence:</w:t>
      </w:r>
      <w:r>
        <w:t xml:space="preserve"> </w:t>
      </w:r>
      <w:r>
        <w:t xml:space="preserve">the legal doctrine that punishes a party for destroying or failing to preserve evidence relevant to a foreseeable lawsuit - applies to</w:t>
      </w:r>
      <w:r>
        <w:t xml:space="preserve"> </w:t>
      </w:r>
      <w:r>
        <w:rPr>
          <w:u w:val="single"/>
        </w:rPr>
        <w:t xml:space="preserve">trucking companies</w:t>
      </w:r>
      <w:r>
        <w:t xml:space="preserve"> </w:t>
      </w:r>
      <w:r>
        <w:t xml:space="preserve">the moment they’re on notice of a serious crash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electronic records:</w:t>
      </w:r>
      <w:r>
        <w:t xml:space="preserve"> </w:t>
      </w:r>
      <w:r>
        <w:rPr>
          <w:u w:val="single"/>
        </w:rPr>
        <w:t xml:space="preserve">ELD</w:t>
      </w:r>
      <w:r>
        <w:t xml:space="preserve"> </w:t>
      </w:r>
      <w:r>
        <w:t xml:space="preserve">data,</w:t>
      </w:r>
      <w:r>
        <w:t xml:space="preserve"> </w:t>
      </w:r>
      <w:r>
        <w:rPr>
          <w:u w:val="single"/>
        </w:rPr>
        <w:t xml:space="preserve">Engine Control Module (ECM)</w:t>
      </w:r>
      <w:r>
        <w:t xml:space="preserve"> </w:t>
      </w:r>
      <w:r>
        <w:t xml:space="preserve">or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data,</w:t>
      </w:r>
      <w:r>
        <w:t xml:space="preserve"> </w:t>
      </w:r>
      <w:r>
        <w:rPr>
          <w:u w:val="single"/>
        </w:rPr>
        <w:t xml:space="preserve">dashcam</w:t>
      </w:r>
      <w:r>
        <w:t xml:space="preserve"> </w:t>
      </w:r>
      <w:r>
        <w:t xml:space="preserve">footage,</w:t>
      </w:r>
      <w:r>
        <w:t xml:space="preserve"> </w:t>
      </w:r>
      <w:r>
        <w:rPr>
          <w:u w:val="single"/>
        </w:rPr>
        <w:t xml:space="preserve">GPS</w:t>
      </w:r>
      <w:r>
        <w:t xml:space="preserve"> </w:t>
      </w:r>
      <w:r>
        <w:t xml:space="preserve">routing logs, dispatch communications - all degradable or overwritable within days or weeks of the wreck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Spoliation letter:</w:t>
      </w:r>
      <w:r>
        <w:t xml:space="preserve"> </w:t>
      </w:r>
      <w:r>
        <w:t xml:space="preserve">an experienced</w:t>
      </w:r>
      <w:r>
        <w:t xml:space="preserve"> </w:t>
      </w:r>
      <w:r>
        <w:rPr>
          <w:u w:val="single"/>
        </w:rPr>
        <w:t xml:space="preserve">Atlanta</w:t>
      </w:r>
      <w:r>
        <w:t xml:space="preserve"> </w:t>
      </w:r>
      <w:r>
        <w:t xml:space="preserve">truck accident attorney sends a formal preservation letter to the</w:t>
      </w:r>
      <w:r>
        <w:t xml:space="preserve"> </w:t>
      </w:r>
      <w:r>
        <w:rPr>
          <w:u w:val="single"/>
        </w:rPr>
        <w:t xml:space="preserve">motor carrier</w:t>
      </w:r>
      <w:r>
        <w:t xml:space="preserve"> </w:t>
      </w:r>
      <w:r>
        <w:t xml:space="preserve">within 24 to 48 hours of being retained - this puts the carrier on legal notice that destroying evidence will trigger sanctions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Adverse inference:</w:t>
      </w:r>
      <w:r>
        <w:t xml:space="preserve"> </w:t>
      </w:r>
      <w:r>
        <w:t xml:space="preserve">if a</w:t>
      </w:r>
      <w:r>
        <w:t xml:space="preserve"> </w:t>
      </w:r>
      <w:r>
        <w:rPr>
          <w:u w:val="single"/>
        </w:rPr>
        <w:t xml:space="preserve">Georgia</w:t>
      </w:r>
      <w:r>
        <w:t xml:space="preserve"> </w:t>
      </w:r>
      <w:r>
        <w:t xml:space="preserve">court finds spoliation, the jury can be instructed to presume the destroyed evidence would have been unfavorable to the carrier - one of the most powerful trial weapons in the playbook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timing matters:</w:t>
      </w:r>
      <w:r>
        <w:t xml:space="preserve"> </w:t>
      </w:r>
      <w:r>
        <w:rPr>
          <w:u w:val="single"/>
        </w:rPr>
        <w:t xml:space="preserve">trucking companies</w:t>
      </w:r>
      <w:r>
        <w:t xml:space="preserve"> </w:t>
      </w:r>
      <w:r>
        <w:t xml:space="preserve">typically have rapid-response teams - lawyers and adjusters - on scene within hours of a major crash on</w:t>
      </w:r>
      <w:r>
        <w:t xml:space="preserve"> </w:t>
      </w:r>
      <w:r>
        <w:rPr>
          <w:u w:val="single"/>
        </w:rPr>
        <w:t xml:space="preserve">I-285</w:t>
      </w:r>
      <w:r>
        <w:t xml:space="preserve"> </w:t>
      </w:r>
      <w:r>
        <w:t xml:space="preserve">or</w:t>
      </w:r>
      <w:r>
        <w:t xml:space="preserve"> </w:t>
      </w:r>
      <w:r>
        <w:rPr>
          <w:u w:val="single"/>
        </w:rPr>
        <w:t xml:space="preserve">I-75</w:t>
      </w:r>
      <w:r>
        <w:t xml:space="preserve">; the injured person needs counsel just as fast to preserve the evidence chain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That’s the full chain - vicarious liability, negligent hiring,</w:t>
      </w:r>
      <w:r>
        <w:t xml:space="preserve"> </w:t>
      </w:r>
      <w:r>
        <w:rPr>
          <w:u w:val="single"/>
        </w:rPr>
        <w:t xml:space="preserve">FMCSA</w:t>
      </w:r>
      <w:r>
        <w:t xml:space="preserve"> </w:t>
      </w:r>
      <w:r>
        <w:t xml:space="preserve">regulations, negligence per se, freight broker and shipper liability, and spoliation. Now let’s bring it home for someone listening who was just hit by an</w:t>
      </w:r>
      <w:r>
        <w:t xml:space="preserve"> </w:t>
      </w:r>
      <w:r>
        <w:rPr>
          <w:u w:val="single"/>
        </w:rPr>
        <w:t xml:space="preserve">18-wheeler</w:t>
      </w:r>
      <w:r>
        <w:t xml:space="preserve"> </w:t>
      </w:r>
      <w:r>
        <w:t xml:space="preserve">in metro</w:t>
      </w:r>
      <w:r>
        <w:t xml:space="preserve"> </w:t>
      </w:r>
      <w:r>
        <w:rPr>
          <w:u w:val="single"/>
        </w:rPr>
        <w:t xml:space="preserve">Atlanta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losing-and-call-to-action-1.5-minutes"/>
    <w:p>
      <w:pPr>
        <w:pStyle w:val="Heading2"/>
      </w:pPr>
      <w:r>
        <w:t xml:space="preserve">Closing and Call to Action (~1.5 minutes)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Ted, if someone listening right now was just in a serious truck accident on</w:t>
      </w:r>
      <w:r>
        <w:t xml:space="preserve"> </w:t>
      </w:r>
      <w:r>
        <w:rPr>
          <w:u w:val="single"/>
        </w:rPr>
        <w:t xml:space="preserve">I-285</w:t>
      </w:r>
      <w:r>
        <w:t xml:space="preserve"> </w:t>
      </w:r>
      <w:r>
        <w:t xml:space="preserve">or anywhere in metro</w:t>
      </w:r>
      <w:r>
        <w:t xml:space="preserve"> </w:t>
      </w:r>
      <w:r>
        <w:rPr>
          <w:u w:val="single"/>
        </w:rPr>
        <w:t xml:space="preserve">Atlanta</w:t>
      </w:r>
      <w:r>
        <w:t xml:space="preserve">, what’s the one thing they need to do today?</w:t>
      </w:r>
    </w:p>
    <w:p>
      <w:pPr>
        <w:pStyle w:val="BodyText"/>
      </w:pPr>
      <w:r>
        <w:rPr>
          <w:i/>
          <w:iCs/>
        </w:rPr>
        <w:t xml:space="preserve">[Attorney Response]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 medical attention immediately,</w:t>
      </w:r>
      <w:r>
        <w:t xml:space="preserve"> </w:t>
      </w:r>
      <w:r>
        <w:t xml:space="preserve">even if you feel okay - adrenaline masks injuries that surface 24 to 72 hours later, and the medical record is the foundation of the case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give a recorded statement to the trucking company’s insurance adjuster</w:t>
      </w:r>
      <w:r>
        <w:t xml:space="preserve"> </w:t>
      </w:r>
      <w:r>
        <w:t xml:space="preserve">- they will call within hours, and anything said can and will be used to reduce or deny the claim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Call a Georgia truck accident attorney before evidence disappears</w:t>
      </w:r>
      <w:r>
        <w:t xml:space="preserve"> </w:t>
      </w:r>
      <w:r>
        <w:t xml:space="preserve">-</w:t>
      </w:r>
      <w:r>
        <w:t xml:space="preserve"> </w:t>
      </w:r>
      <w:r>
        <w:rPr>
          <w:u w:val="single"/>
        </w:rPr>
        <w:t xml:space="preserve">ELD</w:t>
      </w:r>
      <w:r>
        <w:t xml:space="preserve"> </w:t>
      </w:r>
      <w:r>
        <w:t xml:space="preserve">data, dashcam footage, and dispatch records can be overwritten in days; a preservation letter from counsel locks them in place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 everything you can:</w:t>
      </w:r>
      <w:r>
        <w:t xml:space="preserve"> </w:t>
      </w:r>
      <w:r>
        <w:t xml:space="preserve">photos of the scene, the truck, the</w:t>
      </w:r>
      <w:r>
        <w:t xml:space="preserve"> </w:t>
      </w:r>
      <w:r>
        <w:rPr>
          <w:u w:val="single"/>
        </w:rPr>
        <w:t xml:space="preserve">USDOT number</w:t>
      </w:r>
      <w:r>
        <w:t xml:space="preserve"> </w:t>
      </w:r>
      <w:r>
        <w:t xml:space="preserve">and</w:t>
      </w:r>
      <w:r>
        <w:t xml:space="preserve"> </w:t>
      </w:r>
      <w:r>
        <w:rPr>
          <w:u w:val="single"/>
        </w:rPr>
        <w:t xml:space="preserve">MC number</w:t>
      </w:r>
      <w:r>
        <w:t xml:space="preserve"> </w:t>
      </w:r>
      <w:r>
        <w:t xml:space="preserve">on the cab, the police report, witness contacts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Remember the Georgia clock:</w:t>
      </w:r>
      <w:r>
        <w:t xml:space="preserve"> </w:t>
      </w:r>
      <w:r>
        <w:rPr>
          <w:u w:val="single"/>
        </w:rPr>
        <w:t xml:space="preserve">O.C.G.A. § 9-3-33</w:t>
      </w:r>
      <w:r>
        <w:t xml:space="preserve"> </w:t>
      </w:r>
      <w:r>
        <w:t xml:space="preserve">gives an injured person two years from the date of the wreck to file - sounds like a lot, but evidence and witness memory degrade fast</w:t>
      </w:r>
    </w:p>
    <w:p>
      <w:pPr>
        <w:pStyle w:val="FirstParagraph"/>
      </w:pPr>
      <w:r>
        <w:rPr>
          <w:i/>
          <w:iCs/>
        </w:rPr>
        <w:t xml:space="preserve">[Co-Host]</w:t>
      </w:r>
    </w:p>
    <w:p>
      <w:pPr>
        <w:pStyle w:val="BodyText"/>
      </w:pPr>
      <w:r>
        <w:t xml:space="preserve">If you or someone you know was hurt in a truck accident anywhere in metro</w:t>
      </w:r>
      <w:r>
        <w:t xml:space="preserve"> </w:t>
      </w:r>
      <w:r>
        <w:rPr>
          <w:u w:val="single"/>
        </w:rPr>
        <w:t xml:space="preserve">Atlanta</w:t>
      </w:r>
      <w:r>
        <w:t xml:space="preserve"> </w:t>
      </w:r>
      <w:r>
        <w:t xml:space="preserve">- on</w:t>
      </w:r>
      <w:r>
        <w:t xml:space="preserve"> </w:t>
      </w:r>
      <w:r>
        <w:rPr>
          <w:u w:val="single"/>
        </w:rPr>
        <w:t xml:space="preserve">I-285</w:t>
      </w:r>
      <w:r>
        <w:t xml:space="preserve">,</w:t>
      </w:r>
      <w:r>
        <w:t xml:space="preserve"> </w:t>
      </w:r>
      <w:r>
        <w:rPr>
          <w:u w:val="single"/>
        </w:rPr>
        <w:t xml:space="preserve">I-75</w:t>
      </w:r>
      <w:r>
        <w:t xml:space="preserve">,</w:t>
      </w:r>
      <w:r>
        <w:t xml:space="preserve"> </w:t>
      </w:r>
      <w:r>
        <w:rPr>
          <w:u w:val="single"/>
        </w:rPr>
        <w:t xml:space="preserve">I-20</w:t>
      </w:r>
      <w:r>
        <w:t xml:space="preserve">,</w:t>
      </w:r>
      <w:r>
        <w:t xml:space="preserve"> </w:t>
      </w:r>
      <w:r>
        <w:rPr>
          <w:u w:val="single"/>
        </w:rPr>
        <w:t xml:space="preserve">I-85</w:t>
      </w:r>
      <w:r>
        <w:t xml:space="preserve">,</w:t>
      </w:r>
      <w:r>
        <w:t xml:space="preserve"> </w:t>
      </w:r>
      <w:r>
        <w:rPr>
          <w:u w:val="single"/>
        </w:rPr>
        <w:t xml:space="preserve">GA-400</w:t>
      </w:r>
      <w:r>
        <w:t xml:space="preserve">, or anywhere across</w:t>
      </w:r>
      <w:r>
        <w:t xml:space="preserve"> </w:t>
      </w:r>
      <w:r>
        <w:rPr>
          <w:u w:val="single"/>
        </w:rPr>
        <w:t xml:space="preserve">Fulton</w:t>
      </w:r>
      <w:r>
        <w:t xml:space="preserve">,</w:t>
      </w:r>
      <w:r>
        <w:t xml:space="preserve"> </w:t>
      </w:r>
      <w:r>
        <w:rPr>
          <w:u w:val="single"/>
        </w:rPr>
        <w:t xml:space="preserve">DeKalb</w:t>
      </w:r>
      <w:r>
        <w:t xml:space="preserve">,</w:t>
      </w:r>
      <w:r>
        <w:t xml:space="preserve"> </w:t>
      </w:r>
      <w:r>
        <w:rPr>
          <w:u w:val="single"/>
        </w:rPr>
        <w:t xml:space="preserve">Cobb</w:t>
      </w:r>
      <w:r>
        <w:t xml:space="preserve">,</w:t>
      </w:r>
      <w:r>
        <w:t xml:space="preserve"> </w:t>
      </w:r>
      <w:r>
        <w:rPr>
          <w:u w:val="single"/>
        </w:rPr>
        <w:t xml:space="preserve">Gwinnett</w:t>
      </w:r>
      <w:r>
        <w:t xml:space="preserve">, or</w:t>
      </w:r>
      <w:r>
        <w:t xml:space="preserve"> </w:t>
      </w:r>
      <w:r>
        <w:rPr>
          <w:u w:val="single"/>
        </w:rPr>
        <w:t xml:space="preserve">Forsyth</w:t>
      </w:r>
      <w:r>
        <w:t xml:space="preserve"> </w:t>
      </w:r>
      <w:r>
        <w:t xml:space="preserve">counties - you can reach</w:t>
      </w:r>
      <w:r>
        <w:t xml:space="preserve"> </w:t>
      </w:r>
      <w:r>
        <w:rPr>
          <w:b/>
          <w:bCs/>
          <w:u w:val="single"/>
        </w:rPr>
        <w:t xml:space="preserve">Ted Spaulding</w:t>
      </w:r>
      <w:r>
        <w:t xml:space="preserve"> </w:t>
      </w:r>
      <w:r>
        <w:t xml:space="preserve">and the team at</w:t>
      </w:r>
      <w:r>
        <w:t xml:space="preserve"> </w:t>
      </w:r>
      <w:r>
        <w:rPr>
          <w:b/>
          <w:bCs/>
          <w:u w:val="single"/>
        </w:rPr>
        <w:t xml:space="preserve">Spaulding Injury Law</w:t>
      </w:r>
      <w:r>
        <w:t xml:space="preserve"> </w:t>
      </w:r>
      <w:r>
        <w:t xml:space="preserve">for a free case evaluation. Call</w:t>
      </w:r>
      <w:r>
        <w:t xml:space="preserve"> </w:t>
      </w:r>
      <w:r>
        <w:rPr>
          <w:b/>
          <w:bCs/>
        </w:rPr>
        <w:t xml:space="preserve">(770) 744-0890</w:t>
      </w:r>
      <w:r>
        <w:t xml:space="preserve"> </w:t>
      </w:r>
      <w:r>
        <w:t xml:space="preserve">or visit</w:t>
      </w:r>
      <w:r>
        <w:t xml:space="preserve"> </w:t>
      </w:r>
      <w:r>
        <w:rPr>
          <w:b/>
          <w:bCs/>
        </w:rPr>
        <w:t xml:space="preserve">https://www.spauldinginjurylaw.com/</w:t>
      </w:r>
      <w:r>
        <w:t xml:space="preserve">. Thanks for listening, and we’ll see you on the next episode.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Run of Show</w:t>
      </w:r>
    </w:p>
    <w:p>
      <w:r>
        <w:pict>
          <v:rect style="width:0;height:1.5pt" o:hralign="center" o:hrstd="t" o:hr="t"/>
        </w:pict>
      </w:r>
    </w:p>
    <w:bookmarkEnd w:id="27"/>
    <w:bookmarkStart w:id="28" w:name="entity-checklist"/>
    <w:p>
      <w:pPr>
        <w:pStyle w:val="Heading2"/>
      </w:pPr>
      <w:r>
        <w:t xml:space="preserve">Entity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Target Mentions</w:t>
            </w:r>
          </w:p>
        </w:tc>
        <w:tc>
          <w:tcPr/>
          <w:p>
            <w:pPr>
              <w:pStyle w:val="Compact"/>
            </w:pPr>
            <w:r>
              <w:t xml:space="preserve">Actual Mentions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FMCSA</w:t>
            </w:r>
          </w:p>
        </w:tc>
        <w:tc>
          <w:tcPr/>
          <w:p>
            <w:pPr>
              <w:pStyle w:val="Compact"/>
            </w:pPr>
            <w:r>
              <w:t xml:space="preserve">Q2, Q3, Q4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49 CFR</w:t>
            </w:r>
            <w:r>
              <w:t xml:space="preserve"> </w:t>
            </w:r>
            <w:r>
              <w:t xml:space="preserve">(Parts 350-399, 391, 393, 395)</w:t>
            </w:r>
          </w:p>
        </w:tc>
        <w:tc>
          <w:tcPr/>
          <w:p>
            <w:pPr>
              <w:pStyle w:val="Compact"/>
            </w:pPr>
            <w:r>
              <w:t xml:space="preserve">Q2, Q3, Q4, Q5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Federal Motor Carrier Safety Act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USDOT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USDOT number</w:t>
            </w:r>
          </w:p>
        </w:tc>
        <w:tc>
          <w:tcPr/>
          <w:p>
            <w:pPr>
              <w:pStyle w:val="Compact"/>
            </w:pPr>
            <w:r>
              <w:t xml:space="preserve">Q3, Closing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MC 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Operating authority</w:t>
            </w:r>
          </w:p>
        </w:tc>
        <w:tc>
          <w:tcPr/>
          <w:p>
            <w:pPr>
              <w:pStyle w:val="Compact"/>
            </w:pPr>
            <w:r>
              <w:t xml:space="preserve">Q3, Q4, Closing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Hours of Service</w:t>
            </w:r>
          </w:p>
        </w:tc>
        <w:tc>
          <w:tcPr/>
          <w:p>
            <w:pPr>
              <w:pStyle w:val="Compact"/>
            </w:pPr>
            <w:r>
              <w:t xml:space="preserve">Q3, Q4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ELD</w:t>
            </w:r>
            <w:r>
              <w:t xml:space="preserve"> </w:t>
            </w:r>
            <w:r>
              <w:t xml:space="preserve">(Electronic Logging Device)</w:t>
            </w:r>
          </w:p>
        </w:tc>
        <w:tc>
          <w:tcPr/>
          <w:p>
            <w:pPr>
              <w:pStyle w:val="Compact"/>
            </w:pPr>
            <w:r>
              <w:t xml:space="preserve">Q3, Q4, Q6, Closing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CSA scores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SAFER</w:t>
            </w:r>
          </w:p>
        </w:tc>
        <w:tc>
          <w:tcPr/>
          <w:p>
            <w:pPr>
              <w:pStyle w:val="Compact"/>
            </w:pPr>
            <w:r>
              <w:t xml:space="preserve">Q2, Q5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CDL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Driver Qualification File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Vicarious liability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Respondeat superior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Negligence per se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Spoliation of evidence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Adverse inference</w:t>
            </w:r>
          </w:p>
        </w:tc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Engine Control Module (ECM)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Black box</w:t>
            </w:r>
          </w:p>
        </w:tc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O.C.G.A. § 51-12-33</w:t>
            </w:r>
            <w:r>
              <w:t xml:space="preserve"> </w:t>
            </w:r>
            <w:r>
              <w:t xml:space="preserve">(apportionment)</w:t>
            </w:r>
          </w:p>
        </w:tc>
        <w:tc>
          <w:tcPr/>
          <w:p>
            <w:pPr>
              <w:pStyle w:val="Compact"/>
            </w:pPr>
            <w:r>
              <w:t xml:space="preserve">Producer Notes, Q5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O.C.G.A. § 9-3-33</w:t>
            </w:r>
            <w:r>
              <w:t xml:space="preserve"> </w:t>
            </w:r>
            <w:r>
              <w:t xml:space="preserve">(statute of limitations)</w:t>
            </w:r>
          </w:p>
        </w:tc>
        <w:tc>
          <w:tcPr/>
          <w:p>
            <w:pPr>
              <w:pStyle w:val="Compact"/>
            </w:pPr>
            <w:r>
              <w:t xml:space="preserve">Producer Notes, Closing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O.C.G.A. § 40-1-112</w:t>
            </w:r>
            <w:r>
              <w:t xml:space="preserve"> </w:t>
            </w:r>
            <w:r>
              <w:t xml:space="preserve">(Georgia Direct Action Statute)</w:t>
            </w:r>
          </w:p>
        </w:tc>
        <w:tc>
          <w:tcPr/>
          <w:p>
            <w:pPr>
              <w:pStyle w:val="Compact"/>
            </w:pPr>
            <w:r>
              <w:t xml:space="preserve">Producer Notes, Q1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Georgia Department of Public Safety</w:t>
            </w:r>
          </w:p>
        </w:tc>
        <w:tc>
          <w:tcPr/>
          <w:p>
            <w:pPr>
              <w:pStyle w:val="Compact"/>
            </w:pPr>
            <w:r>
              <w:t xml:space="preserve">Producer Notes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Georgia State Patrol Motor Carrier Compliance Division</w:t>
            </w:r>
          </w:p>
        </w:tc>
        <w:tc>
          <w:tcPr/>
          <w:p>
            <w:pPr>
              <w:pStyle w:val="Compact"/>
            </w:pPr>
            <w:r>
              <w:t xml:space="preserve">Producer Notes, Q2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Georgia Public Service Commission</w:t>
            </w:r>
          </w:p>
        </w:tc>
        <w:tc>
          <w:tcPr/>
          <w:p>
            <w:pPr>
              <w:pStyle w:val="Compact"/>
            </w:pPr>
            <w:r>
              <w:t xml:space="preserve">Producer Notes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Fulton County State Court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Fulton County Superior Court</w:t>
            </w:r>
          </w:p>
        </w:tc>
        <w:tc>
          <w:tcPr/>
          <w:p>
            <w:pPr>
              <w:pStyle w:val="Compact"/>
            </w:pPr>
            <w:r>
              <w:t xml:space="preserve">Producer Notes, Q4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I-285</w:t>
            </w:r>
          </w:p>
        </w:tc>
        <w:tc>
          <w:tcPr/>
          <w:p>
            <w:pPr>
              <w:pStyle w:val="Compact"/>
            </w:pPr>
            <w:r>
              <w:t xml:space="preserve">Intro, Q1, Q5, Q6, Closing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I-75</w:t>
            </w:r>
          </w:p>
        </w:tc>
        <w:tc>
          <w:tcPr/>
          <w:p>
            <w:pPr>
              <w:pStyle w:val="Compact"/>
            </w:pPr>
            <w:r>
              <w:t xml:space="preserve">Intro, Q1, Q3, Q5, Q6, Closing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I-20</w:t>
            </w:r>
          </w:p>
        </w:tc>
        <w:tc>
          <w:tcPr/>
          <w:p>
            <w:pPr>
              <w:pStyle w:val="Compact"/>
            </w:pPr>
            <w:r>
              <w:t xml:space="preserve">Intro, Q3, Q5, Closing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I-85</w:t>
            </w:r>
          </w:p>
        </w:tc>
        <w:tc>
          <w:tcPr/>
          <w:p>
            <w:pPr>
              <w:pStyle w:val="Compact"/>
            </w:pPr>
            <w:r>
              <w:t xml:space="preserve">Q5, Closing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GA-400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Atlanta</w:t>
            </w:r>
            <w:r>
              <w:t xml:space="preserve"> </w:t>
            </w:r>
            <w:r>
              <w:t xml:space="preserve">(metro)</w:t>
            </w:r>
          </w:p>
        </w:tc>
        <w:tc>
          <w:tcPr/>
          <w:p>
            <w:pPr>
              <w:pStyle w:val="Compact"/>
            </w:pPr>
            <w:r>
              <w:t xml:space="preserve">Intro, Q2, Q3, Q5, Q6, Closing</w:t>
            </w:r>
          </w:p>
        </w:tc>
        <w:tc>
          <w:tcPr/>
          <w:p>
            <w:pPr>
              <w:pStyle w:val="Compact"/>
            </w:pPr>
            <w:r>
              <w:t xml:space="preserve">7-10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Trucking company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Motor carrier</w:t>
            </w:r>
          </w:p>
        </w:tc>
        <w:tc>
          <w:tcPr/>
          <w:p>
            <w:pPr>
              <w:pStyle w:val="Compact"/>
            </w:pPr>
            <w:r>
              <w:t xml:space="preserve">Q1-Q6, Closing</w:t>
            </w:r>
          </w:p>
        </w:tc>
        <w:tc>
          <w:tcPr/>
          <w:p>
            <w:pPr>
              <w:pStyle w:val="Compact"/>
            </w:pPr>
            <w:r>
              <w:t xml:space="preserve">12-15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Freight broker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u w:val="single"/>
              </w:rPr>
              <w:t xml:space="preserve">Shipper</w:t>
            </w:r>
          </w:p>
        </w:tc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18-wheeler</w:t>
            </w:r>
          </w:p>
        </w:tc>
        <w:tc>
          <w:tcPr/>
          <w:p>
            <w:pPr>
              <w:pStyle w:val="Compact"/>
            </w:pPr>
            <w:r>
              <w:t xml:space="preserve">Intro, Q1, Q5, Q6, Closing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sectPr w:rsidR="00D02E53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F1B8" w14:textId="77777777" w:rsidR="00D02E53" w:rsidRDefault="00000000">
    <w:pPr>
      <w:pStyle w:val="Footer"/>
      <w:jc w:val="center"/>
    </w:pPr>
    <w:r>
      <w:t>Case Engine | Confidential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30017724" w:numId="1">
    <w:abstractNumId w:val="8"/>
  </w:num>
  <w:num w16cid:durableId="221599345" w:numId="2">
    <w:abstractNumId w:val="6"/>
  </w:num>
  <w:num w16cid:durableId="481432800" w:numId="3">
    <w:abstractNumId w:val="5"/>
  </w:num>
  <w:num w16cid:durableId="1300762534" w:numId="4">
    <w:abstractNumId w:val="4"/>
  </w:num>
  <w:num w16cid:durableId="835152386" w:numId="5">
    <w:abstractNumId w:val="7"/>
  </w:num>
  <w:num w16cid:durableId="567307368" w:numId="6">
    <w:abstractNumId w:val="3"/>
  </w:num>
  <w:num w16cid:durableId="499467315" w:numId="7">
    <w:abstractNumId w:val="2"/>
  </w:num>
  <w:num w16cid:durableId="1685087689" w:numId="8">
    <w:abstractNumId w:val="1"/>
  </w:num>
  <w:num w16cid:durableId="1770539107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7E1"/>
    <w:rsid w:val="00803D17"/>
    <w:rsid w:val="00AA1D8D"/>
    <w:rsid w:val="00AA5F0A"/>
    <w:rsid w:val="00B47730"/>
    <w:rsid w:val="00CB0664"/>
    <w:rsid w:val="00D02E5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  <w:color w:val="0F172A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color w:val="999999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png" Type="http://schemas.openxmlformats.org/officeDocument/2006/relationships/image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3998</Words>
  <Characters>21514</Characters>
  <Application>Microsoft Office Word</Application>
  <DocSecurity>0</DocSecurity>
  <Lines>430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2026-04-27T20:39:30Z</dcterms:created>
  <dcterms:modified xsi:type="dcterms:W3CDTF">2026-04-27T20:39:30Z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