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37163" w14:textId="005C453E" w:rsidR="00AB0B62" w:rsidRDefault="00C549A2" w:rsidP="00C549A2">
      <w:pPr>
        <w:pStyle w:val="Title"/>
        <w:jc w:val="center"/>
      </w:pPr>
      <w:r>
        <w:t>The affordability of safety: COVID and Affordable Housing in Gwinnett County</w:t>
      </w:r>
    </w:p>
    <w:p w14:paraId="614FDFAC" w14:textId="77777777" w:rsidR="00C549A2" w:rsidRDefault="00C549A2" w:rsidP="00C549A2">
      <w:pPr>
        <w:pStyle w:val="Subtitle"/>
        <w:jc w:val="center"/>
      </w:pPr>
    </w:p>
    <w:p w14:paraId="6ED91AAF" w14:textId="337D74B1" w:rsidR="00C549A2" w:rsidRDefault="00C549A2" w:rsidP="00C549A2">
      <w:pPr>
        <w:pStyle w:val="Subtitle"/>
        <w:jc w:val="center"/>
      </w:pPr>
      <w:r>
        <w:t>Caleb Case</w:t>
      </w:r>
    </w:p>
    <w:p w14:paraId="6EF26EC8" w14:textId="0857318A" w:rsidR="00C549A2" w:rsidRPr="00C549A2" w:rsidRDefault="00C549A2" w:rsidP="00C549A2">
      <w:pPr>
        <w:pStyle w:val="Subtitle"/>
        <w:jc w:val="center"/>
      </w:pPr>
      <w:r>
        <w:t>DATA 512 Final Assignment</w:t>
      </w:r>
    </w:p>
    <w:p w14:paraId="513369BD" w14:textId="3436C056" w:rsidR="00C549A2" w:rsidRPr="00C549A2" w:rsidRDefault="00C549A2" w:rsidP="00C549A2">
      <w:pPr>
        <w:pStyle w:val="Subtitle"/>
        <w:jc w:val="center"/>
      </w:pPr>
      <w:r>
        <w:t>Dec 12</w:t>
      </w:r>
      <w:r w:rsidRPr="00C549A2">
        <w:rPr>
          <w:vertAlign w:val="superscript"/>
        </w:rPr>
        <w:t>th</w:t>
      </w:r>
      <w:r>
        <w:t>, 2021</w:t>
      </w:r>
    </w:p>
    <w:p w14:paraId="56B1280D" w14:textId="5AA72171" w:rsidR="00C549A2" w:rsidRDefault="00C549A2" w:rsidP="00C549A2">
      <w:pPr>
        <w:pStyle w:val="Heading1"/>
      </w:pPr>
      <w:r>
        <w:t>Introduction</w:t>
      </w:r>
    </w:p>
    <w:p w14:paraId="3CF08C06" w14:textId="608272D7" w:rsidR="00C549A2" w:rsidRDefault="00394FD4" w:rsidP="0053131A">
      <w:pPr>
        <w:ind w:firstLine="720"/>
      </w:pPr>
      <w:r>
        <w:t xml:space="preserve">The COVID-19 pandemic has highlighted and exacerbated many of the underlying inequalities and injustices in America over the past two years. Key among those is the unavailability and unaffordability of housing. The amount of people paying rent paycheck to paycheck became apparent as soon as a drop in unemployment occurred, and national eviction moratoriums </w:t>
      </w:r>
      <w:r w:rsidR="0053131A">
        <w:t>had to be</w:t>
      </w:r>
      <w:r>
        <w:t xml:space="preserve"> put in place to prevent mass </w:t>
      </w:r>
      <w:r w:rsidR="0053131A">
        <w:t>eviction and homelessness.</w:t>
      </w:r>
    </w:p>
    <w:p w14:paraId="077C8D55" w14:textId="05556350" w:rsidR="0053131A" w:rsidRDefault="0053131A" w:rsidP="00C549A2">
      <w:r>
        <w:tab/>
        <w:t>Less clear has been the impact of housing on COVID-19.</w:t>
      </w:r>
      <w:r w:rsidR="001239F8">
        <w:t xml:space="preserve"> When households must be larger and more dense to afford rent, quarantining and social distancing becomes more difficult. When workers are unable to lose income without becoming unable to pay rent, they may have to make tough decisions after a potential exposure or showing symptoms. If more affordable housing does help slow the spread of disease, this should inform policy makers and add one more social benefit to the </w:t>
      </w:r>
      <w:r w:rsidR="006B655A">
        <w:t>creation of more affordable living situations.</w:t>
      </w:r>
    </w:p>
    <w:p w14:paraId="0D097CF9" w14:textId="196F4812" w:rsidR="001239F8" w:rsidRDefault="001239F8" w:rsidP="00C549A2">
      <w:r>
        <w:tab/>
        <w:t xml:space="preserve">This paper examines the impacts of affordable housing availability on the spread of COVID-19, focusing specifically on Gwinnett County in Georgia as it compares to the rest of the Atlanta metro area. </w:t>
      </w:r>
      <w:r w:rsidR="006B655A">
        <w:t>While there is insufficient evidence to establish a relationship between low income housing units and COVID spread, there is indication that larger household size may increase exposure rates. This could warrant further study into the relation of policy, household size and disease spread.</w:t>
      </w:r>
    </w:p>
    <w:p w14:paraId="5D2C8AB7" w14:textId="10D286D2" w:rsidR="006B655A" w:rsidRDefault="006B655A" w:rsidP="00C549A2"/>
    <w:p w14:paraId="778ACED2" w14:textId="49DBB12E" w:rsidR="006B655A" w:rsidRDefault="00094912" w:rsidP="00094912">
      <w:pPr>
        <w:pStyle w:val="Heading1"/>
      </w:pPr>
      <w:r>
        <w:t>Background</w:t>
      </w:r>
    </w:p>
    <w:p w14:paraId="0C291B10" w14:textId="0DCABFCB" w:rsidR="00094912" w:rsidRDefault="00094912" w:rsidP="00094912">
      <w:pPr>
        <w:pStyle w:val="Heading2"/>
      </w:pPr>
      <w:r>
        <w:t>Affordable Housing</w:t>
      </w:r>
    </w:p>
    <w:p w14:paraId="362C928F" w14:textId="10041C48" w:rsidR="001E0D65" w:rsidRDefault="001E0D65" w:rsidP="001E0D65">
      <w:r>
        <w:tab/>
        <w:t>There is significant study relating to housing, evictions and COVID-19. However, the majority of the literature focuses on how COVID has impacted housing conditions, and less common are studies of how COVID transmission has been impacted by housing.</w:t>
      </w:r>
    </w:p>
    <w:p w14:paraId="17A188EA" w14:textId="6BA1FBE2" w:rsidR="002C3503" w:rsidRPr="001E0D65" w:rsidRDefault="001E0D65" w:rsidP="001E0D65">
      <w:r>
        <w:tab/>
        <w:t>There is some indication that “</w:t>
      </w:r>
      <w:r w:rsidR="0050316E">
        <w:rPr>
          <w:rFonts w:ascii="Helvetica" w:hAnsi="Helvetica" w:cs="Helvetica"/>
          <w:color w:val="202020"/>
          <w:sz w:val="20"/>
          <w:szCs w:val="20"/>
          <w:shd w:val="clear" w:color="auto" w:fill="FFFFFF"/>
        </w:rPr>
        <w:t>Counties with a higher percentage of households with poor housing had higher incidence of, and mortality associated with, COVID-19.</w:t>
      </w:r>
      <w:r>
        <w:t>”</w:t>
      </w:r>
      <w:sdt>
        <w:sdtPr>
          <w:id w:val="-1665321"/>
          <w:citation/>
        </w:sdtPr>
        <w:sdtEndPr/>
        <w:sdtContent>
          <w:r>
            <w:fldChar w:fldCharType="begin"/>
          </w:r>
          <w:r>
            <w:instrText xml:space="preserve"> CITATION Ahm20 \l 1033 </w:instrText>
          </w:r>
          <w:r>
            <w:fldChar w:fldCharType="separate"/>
          </w:r>
          <w:r w:rsidR="008176EC">
            <w:rPr>
              <w:noProof/>
            </w:rPr>
            <w:t xml:space="preserve"> (Ahmad, 2020)</w:t>
          </w:r>
          <w:r>
            <w:fldChar w:fldCharType="end"/>
          </w:r>
        </w:sdtContent>
      </w:sdt>
      <w:r w:rsidR="0050316E">
        <w:t xml:space="preserve"> In this study, poor housing included overcrowding and high housing cost, but also incomplete facilities. Affordable housing is included in this definition and correlated with both COVID spread and mortality. However, it is not separated </w:t>
      </w:r>
      <w:r w:rsidR="002C3503">
        <w:t>form other characteristics such as incomplete kitchen and toilet facilities, and the effect of affordable housing specifically is not clear.</w:t>
      </w:r>
    </w:p>
    <w:p w14:paraId="6DAB73CE" w14:textId="0D2FF253" w:rsidR="002F75F7" w:rsidRDefault="00094912" w:rsidP="00094912">
      <w:pPr>
        <w:rPr>
          <w:color w:val="000000"/>
          <w:shd w:val="clear" w:color="auto" w:fill="FFFFFF"/>
        </w:rPr>
      </w:pPr>
      <w:r>
        <w:lastRenderedPageBreak/>
        <w:tab/>
      </w:r>
      <w:r w:rsidR="00167152">
        <w:t xml:space="preserve">Eviction, one outcome of a lack of affordable housing especially when combined with economic disruptions, has been found to increase the spread of COVID-19.  </w:t>
      </w:r>
      <w:sdt>
        <w:sdtPr>
          <w:rPr>
            <w:color w:val="000000"/>
            <w:shd w:val="clear" w:color="auto" w:fill="FFFFFF"/>
          </w:rPr>
          <w:id w:val="1428771001"/>
          <w:citation/>
        </w:sdtPr>
        <w:sdtEndPr/>
        <w:sdtContent>
          <w:r w:rsidR="00167152">
            <w:rPr>
              <w:color w:val="000000"/>
              <w:shd w:val="clear" w:color="auto" w:fill="FFFFFF"/>
            </w:rPr>
            <w:fldChar w:fldCharType="begin"/>
          </w:r>
          <w:r w:rsidR="001E0D65">
            <w:rPr>
              <w:color w:val="000000"/>
              <w:shd w:val="clear" w:color="auto" w:fill="FFFFFF"/>
            </w:rPr>
            <w:instrText xml:space="preserve">CITATION Ben21 \l 1033 </w:instrText>
          </w:r>
          <w:r w:rsidR="00167152">
            <w:rPr>
              <w:color w:val="000000"/>
              <w:shd w:val="clear" w:color="auto" w:fill="FFFFFF"/>
            </w:rPr>
            <w:fldChar w:fldCharType="separate"/>
          </w:r>
          <w:r w:rsidR="008176EC" w:rsidRPr="008176EC">
            <w:rPr>
              <w:noProof/>
              <w:color w:val="000000"/>
              <w:shd w:val="clear" w:color="auto" w:fill="FFFFFF"/>
            </w:rPr>
            <w:t>(Benfer, 2021)</w:t>
          </w:r>
          <w:r w:rsidR="00167152">
            <w:rPr>
              <w:color w:val="000000"/>
              <w:shd w:val="clear" w:color="auto" w:fill="FFFFFF"/>
            </w:rPr>
            <w:fldChar w:fldCharType="end"/>
          </w:r>
        </w:sdtContent>
      </w:sdt>
      <w:r w:rsidR="00167152">
        <w:rPr>
          <w:color w:val="000000"/>
          <w:shd w:val="clear" w:color="auto" w:fill="FFFFFF"/>
        </w:rPr>
        <w:t xml:space="preserve"> Even more concerningly, “Disproportionate rates of both COVID-19 and eviction in communities of color compound negative health effects” </w:t>
      </w:r>
      <w:sdt>
        <w:sdtPr>
          <w:rPr>
            <w:color w:val="000000"/>
            <w:shd w:val="clear" w:color="auto" w:fill="FFFFFF"/>
          </w:rPr>
          <w:id w:val="1897934828"/>
          <w:citation/>
        </w:sdtPr>
        <w:sdtEndPr/>
        <w:sdtContent>
          <w:r w:rsidR="00167152">
            <w:rPr>
              <w:color w:val="000000"/>
              <w:shd w:val="clear" w:color="auto" w:fill="FFFFFF"/>
            </w:rPr>
            <w:fldChar w:fldCharType="begin"/>
          </w:r>
          <w:r w:rsidR="001E0D65">
            <w:rPr>
              <w:color w:val="000000"/>
              <w:shd w:val="clear" w:color="auto" w:fill="FFFFFF"/>
            </w:rPr>
            <w:instrText xml:space="preserve">CITATION Ben21 \l 1033 </w:instrText>
          </w:r>
          <w:r w:rsidR="00167152">
            <w:rPr>
              <w:color w:val="000000"/>
              <w:shd w:val="clear" w:color="auto" w:fill="FFFFFF"/>
            </w:rPr>
            <w:fldChar w:fldCharType="separate"/>
          </w:r>
          <w:r w:rsidR="008176EC" w:rsidRPr="008176EC">
            <w:rPr>
              <w:noProof/>
              <w:color w:val="000000"/>
              <w:shd w:val="clear" w:color="auto" w:fill="FFFFFF"/>
            </w:rPr>
            <w:t>(Benfer, 2021)</w:t>
          </w:r>
          <w:r w:rsidR="00167152">
            <w:rPr>
              <w:color w:val="000000"/>
              <w:shd w:val="clear" w:color="auto" w:fill="FFFFFF"/>
            </w:rPr>
            <w:fldChar w:fldCharType="end"/>
          </w:r>
        </w:sdtContent>
      </w:sdt>
      <w:r w:rsidR="00167152">
        <w:rPr>
          <w:color w:val="000000"/>
          <w:shd w:val="clear" w:color="auto" w:fill="FFFFFF"/>
        </w:rPr>
        <w:t xml:space="preserve"> However, the authors suggest eviction moratoriums and other supportive measures as a solution, which would likely mitigate the negative effects of evictions, but would not necessarily increase the supply of affordable housing, and would not help to treat any disparities caused by the lack thereof.</w:t>
      </w:r>
    </w:p>
    <w:p w14:paraId="4A4EA0BD" w14:textId="3AE60C5B" w:rsidR="006E3EB5" w:rsidRDefault="006E3EB5" w:rsidP="00094912">
      <w:pPr>
        <w:rPr>
          <w:color w:val="000000"/>
          <w:shd w:val="clear" w:color="auto" w:fill="FFFFFF"/>
        </w:rPr>
      </w:pPr>
      <w:r>
        <w:rPr>
          <w:color w:val="000000"/>
          <w:shd w:val="clear" w:color="auto" w:fill="FFFFFF"/>
        </w:rPr>
        <w:tab/>
        <w:t xml:space="preserve">This research supports this paper’s hypothesis that a lack of affordable housing could increase COVID transmission rates. It also adds additional reasons affordable housing would aid in the pandemic, such as mitigating the costs of eviction and the disproportionate effects on at-risk groups. However, it also suggest that there may be some more specific measures that are truly important, such as household size and living conditions, </w:t>
      </w:r>
      <w:r w:rsidR="009136F0">
        <w:rPr>
          <w:color w:val="000000"/>
          <w:shd w:val="clear" w:color="auto" w:fill="FFFFFF"/>
        </w:rPr>
        <w:t>t</w:t>
      </w:r>
      <w:r>
        <w:rPr>
          <w:color w:val="000000"/>
          <w:shd w:val="clear" w:color="auto" w:fill="FFFFFF"/>
        </w:rPr>
        <w:t>hat affordable housing just serves as a</w:t>
      </w:r>
      <w:r w:rsidR="009136F0">
        <w:rPr>
          <w:color w:val="000000"/>
          <w:shd w:val="clear" w:color="auto" w:fill="FFFFFF"/>
        </w:rPr>
        <w:t>n indicator of.</w:t>
      </w:r>
      <w:r>
        <w:rPr>
          <w:color w:val="000000"/>
          <w:shd w:val="clear" w:color="auto" w:fill="FFFFFF"/>
        </w:rPr>
        <w:t xml:space="preserve"> </w:t>
      </w:r>
    </w:p>
    <w:p w14:paraId="0D90C0C3" w14:textId="47991219" w:rsidR="002C3503" w:rsidRDefault="002C3503" w:rsidP="002C3503">
      <w:pPr>
        <w:pStyle w:val="Heading2"/>
        <w:rPr>
          <w:shd w:val="clear" w:color="auto" w:fill="FFFFFF"/>
        </w:rPr>
      </w:pPr>
      <w:r>
        <w:rPr>
          <w:shd w:val="clear" w:color="auto" w:fill="FFFFFF"/>
        </w:rPr>
        <w:t>COVID Transmission Models</w:t>
      </w:r>
    </w:p>
    <w:p w14:paraId="565832CE" w14:textId="44D9DB78" w:rsidR="002C3503" w:rsidRPr="009136F0" w:rsidRDefault="00E30508" w:rsidP="002C3503">
      <w:r>
        <w:tab/>
        <w:t xml:space="preserve">A large amount of work has been done in attempts to model COVID transmission. One such robust model is presented by Yang and Wang, </w:t>
      </w:r>
      <w:sdt>
        <w:sdtPr>
          <w:id w:val="68543357"/>
          <w:citation/>
        </w:sdtPr>
        <w:sdtEndPr/>
        <w:sdtContent>
          <w:r>
            <w:fldChar w:fldCharType="begin"/>
          </w:r>
          <w:r>
            <w:instrText xml:space="preserve"> CITATION Yan20 \l 1033 </w:instrText>
          </w:r>
          <w:r>
            <w:fldChar w:fldCharType="separate"/>
          </w:r>
          <w:r w:rsidR="008176EC">
            <w:rPr>
              <w:noProof/>
            </w:rPr>
            <w:t>(Yang &amp; Wang, 2020)</w:t>
          </w:r>
          <w:r>
            <w:fldChar w:fldCharType="end"/>
          </w:r>
        </w:sdtContent>
      </w:sdt>
      <w:r>
        <w:t>. They model COVID transmission in a series of differential equations, breaking populations into exposed, infected and hospitalized people</w:t>
      </w:r>
      <w:r w:rsidR="006E3EB5">
        <w:t xml:space="preserve"> and tracking transmission rates and transition rates between each group and the environment. However, </w:t>
      </w:r>
      <w:r w:rsidR="006E3EB5" w:rsidRPr="009136F0">
        <w:t>they still model actual transmission between groups as a single rate or interaction, without the differentiation between exposure and actual transmission that this paper’s model includes.</w:t>
      </w:r>
    </w:p>
    <w:p w14:paraId="692AFE53" w14:textId="1E91CA7F" w:rsidR="009136F0" w:rsidRPr="009136F0" w:rsidRDefault="009136F0" w:rsidP="002C3503">
      <w:pPr>
        <w:rPr>
          <w:rFonts w:cstheme="minorHAnsi"/>
        </w:rPr>
      </w:pPr>
      <w:r w:rsidRPr="009136F0">
        <w:tab/>
        <w:t xml:space="preserve">They also conclude </w:t>
      </w:r>
      <w:r w:rsidRPr="009136F0">
        <w:rPr>
          <w:rFonts w:cstheme="minorHAnsi"/>
        </w:rPr>
        <w:t xml:space="preserve">that their “approach based on different transmission rates in different time periods has a better performance than that based on the standard approach of using uniform, constant transmission rates throughout the entire time domain.” </w:t>
      </w:r>
      <w:sdt>
        <w:sdtPr>
          <w:rPr>
            <w:rFonts w:cstheme="minorHAnsi"/>
          </w:rPr>
          <w:id w:val="1529599692"/>
          <w:citation/>
        </w:sdtPr>
        <w:sdtEndPr/>
        <w:sdtContent>
          <w:r w:rsidRPr="009136F0">
            <w:rPr>
              <w:rFonts w:cstheme="minorHAnsi"/>
            </w:rPr>
            <w:fldChar w:fldCharType="begin"/>
          </w:r>
          <w:r w:rsidRPr="009136F0">
            <w:rPr>
              <w:rFonts w:cstheme="minorHAnsi"/>
            </w:rPr>
            <w:instrText xml:space="preserve"> CITATION Yan20 \l 1033 </w:instrText>
          </w:r>
          <w:r w:rsidRPr="009136F0">
            <w:rPr>
              <w:rFonts w:cstheme="minorHAnsi"/>
            </w:rPr>
            <w:fldChar w:fldCharType="separate"/>
          </w:r>
          <w:r w:rsidR="008176EC" w:rsidRPr="008176EC">
            <w:rPr>
              <w:rFonts w:cstheme="minorHAnsi"/>
              <w:noProof/>
            </w:rPr>
            <w:t>(Yang &amp; Wang, 2020)</w:t>
          </w:r>
          <w:r w:rsidRPr="009136F0">
            <w:rPr>
              <w:rFonts w:cstheme="minorHAnsi"/>
            </w:rPr>
            <w:fldChar w:fldCharType="end"/>
          </w:r>
        </w:sdtContent>
      </w:sdt>
      <w:r w:rsidRPr="009136F0">
        <w:rPr>
          <w:rFonts w:cstheme="minorHAnsi"/>
        </w:rPr>
        <w:t xml:space="preserve"> </w:t>
      </w:r>
      <w:r>
        <w:rPr>
          <w:rFonts w:cstheme="minorHAnsi"/>
        </w:rPr>
        <w:t xml:space="preserve">This paper’s model borrows this same method, of refitting the rates on regular intervals to capture changes in behavior that happen throughout the progression of the pandemic. </w:t>
      </w:r>
    </w:p>
    <w:p w14:paraId="3502121F" w14:textId="6DDD0FE7" w:rsidR="006E3EB5" w:rsidRDefault="008176EC" w:rsidP="008176EC">
      <w:pPr>
        <w:pStyle w:val="Heading1"/>
      </w:pPr>
      <w:r>
        <w:t>Methodology</w:t>
      </w:r>
    </w:p>
    <w:p w14:paraId="73F616AF" w14:textId="77777777" w:rsidR="008176EC" w:rsidRPr="008176EC" w:rsidRDefault="008176EC" w:rsidP="008176EC"/>
    <w:p w14:paraId="1A10E013" w14:textId="582632DF" w:rsidR="006E3EB5" w:rsidRDefault="008176EC" w:rsidP="008176EC">
      <w:pPr>
        <w:pStyle w:val="Heading2"/>
      </w:pPr>
      <w:r>
        <w:t>Data Collection and Processing</w:t>
      </w:r>
    </w:p>
    <w:p w14:paraId="57C2B376" w14:textId="5672F813" w:rsidR="00167152" w:rsidRDefault="008176EC" w:rsidP="00094912">
      <w:r>
        <w:tab/>
        <w:t xml:space="preserve">Multiple datasets were combined for this analysis. The full list of data sources can be found in the data section below.  Daily case data was gathered from the </w:t>
      </w:r>
      <w:r w:rsidRPr="008176EC">
        <w:t>Center for Systems Science and Engineering (CSSE) at Johns Hopkins University</w:t>
      </w:r>
      <w:r>
        <w:t xml:space="preserve">, representing daily cumulative case counts by county. </w:t>
      </w:r>
    </w:p>
    <w:p w14:paraId="13A3CDE4" w14:textId="353F8E4F" w:rsidR="008176EC" w:rsidRDefault="008176EC" w:rsidP="00094912">
      <w:r>
        <w:tab/>
        <w:t xml:space="preserve">Mask compliance </w:t>
      </w:r>
      <w:r w:rsidR="00F443A0">
        <w:t>data was used from a New York Times survey in July 2020. The survey asked “</w:t>
      </w:r>
      <w:r w:rsidR="00F443A0" w:rsidRPr="00F443A0">
        <w:t>How often do you wear a mask in public when you expect to be within six feet of another person?</w:t>
      </w:r>
      <w:r w:rsidR="00F443A0">
        <w:t>” and participants responded one of “Never”, “Rarely”, “Sometimes”, “Frequently”, “Always”. This data was assigned values of 0%, 25%, 50%, 75% and 100% compliance respectively to consolidate it into a single estimated rate of mask usage.</w:t>
      </w:r>
    </w:p>
    <w:p w14:paraId="62434EDA" w14:textId="6F867D92" w:rsidR="00F443A0" w:rsidRDefault="00F443A0" w:rsidP="00F443A0">
      <w:pPr>
        <w:pStyle w:val="Default"/>
        <w:rPr>
          <w:rFonts w:asciiTheme="minorHAnsi" w:hAnsiTheme="minorHAnsi" w:cstheme="minorHAnsi"/>
          <w:color w:val="auto"/>
          <w:sz w:val="22"/>
          <w:szCs w:val="22"/>
        </w:rPr>
      </w:pPr>
      <w:r>
        <w:tab/>
      </w:r>
      <w:r w:rsidRPr="00F443A0">
        <w:rPr>
          <w:rFonts w:asciiTheme="minorHAnsi" w:hAnsiTheme="minorHAnsi" w:cstheme="minorHAnsi"/>
          <w:color w:val="auto"/>
          <w:sz w:val="22"/>
          <w:szCs w:val="22"/>
        </w:rPr>
        <w:t>Low Income housing data came from the HUD National Low Income Housing Tax Credit (LIHTC) Database</w:t>
      </w:r>
      <w:r>
        <w:rPr>
          <w:rFonts w:asciiTheme="minorHAnsi" w:hAnsiTheme="minorHAnsi" w:cstheme="minorHAnsi"/>
          <w:color w:val="auto"/>
          <w:sz w:val="22"/>
          <w:szCs w:val="22"/>
        </w:rPr>
        <w:t xml:space="preserve">. This data relates to units designated as Low Income by the department of Housing and Urban Development, </w:t>
      </w:r>
      <w:r w:rsidR="00F629E4">
        <w:rPr>
          <w:rFonts w:asciiTheme="minorHAnsi" w:hAnsiTheme="minorHAnsi" w:cstheme="minorHAnsi"/>
          <w:color w:val="auto"/>
          <w:sz w:val="22"/>
          <w:szCs w:val="22"/>
        </w:rPr>
        <w:t>which landlords receive a tax credit for maintaining. Specifically, the number of such tax-credit low income units in each county was used.</w:t>
      </w:r>
    </w:p>
    <w:p w14:paraId="005A229F" w14:textId="7B626F06" w:rsidR="00F629E4" w:rsidRDefault="00F629E4" w:rsidP="00F443A0">
      <w:pPr>
        <w:pStyle w:val="Default"/>
        <w:rPr>
          <w:rFonts w:asciiTheme="minorHAnsi" w:hAnsiTheme="minorHAnsi" w:cstheme="minorHAnsi"/>
          <w:color w:val="auto"/>
          <w:sz w:val="22"/>
          <w:szCs w:val="22"/>
        </w:rPr>
      </w:pPr>
      <w:r>
        <w:rPr>
          <w:rFonts w:asciiTheme="minorHAnsi" w:hAnsiTheme="minorHAnsi" w:cstheme="minorHAnsi"/>
          <w:color w:val="auto"/>
          <w:sz w:val="22"/>
          <w:szCs w:val="22"/>
        </w:rPr>
        <w:lastRenderedPageBreak/>
        <w:tab/>
        <w:t>Demographic data came from the US Census Bureau. The mean household income, household size and total population was used form this 2019 census data.</w:t>
      </w:r>
    </w:p>
    <w:p w14:paraId="0A4A3783" w14:textId="5C4059A8" w:rsidR="00F629E4" w:rsidRDefault="00F629E4" w:rsidP="00F443A0">
      <w:pPr>
        <w:pStyle w:val="Default"/>
        <w:rPr>
          <w:rFonts w:asciiTheme="minorHAnsi" w:hAnsiTheme="minorHAnsi" w:cstheme="minorHAnsi"/>
          <w:color w:val="auto"/>
          <w:sz w:val="22"/>
          <w:szCs w:val="22"/>
        </w:rPr>
      </w:pPr>
    </w:p>
    <w:p w14:paraId="2BBC5D4C" w14:textId="0AA1EF16" w:rsidR="00F629E4" w:rsidRDefault="00F629E4" w:rsidP="00F443A0">
      <w:pPr>
        <w:pStyle w:val="Default"/>
        <w:rPr>
          <w:rFonts w:asciiTheme="minorHAnsi" w:hAnsiTheme="minorHAnsi" w:cstheme="minorHAnsi"/>
          <w:color w:val="auto"/>
          <w:sz w:val="22"/>
          <w:szCs w:val="22"/>
        </w:rPr>
      </w:pPr>
      <w:r>
        <w:rPr>
          <w:rFonts w:asciiTheme="minorHAnsi" w:hAnsiTheme="minorHAnsi" w:cstheme="minorHAnsi"/>
          <w:color w:val="auto"/>
          <w:sz w:val="22"/>
          <w:szCs w:val="22"/>
        </w:rPr>
        <w:tab/>
        <w:t>Data was joined together at the county level, and a series of additional calculations was performed on the case count data. New Cases were calculated as the different in total case count form day to day. This displayed a large amount of weekly seasonality, likely due to reporting and testing patterns, so a rolling seven day average was used for further calculations. The number of estimated active cases was calculated as the number of new cases in the past 14 days, representing an average 14 day active period of infections in line with CDC guidance.</w:t>
      </w:r>
      <w:r w:rsidR="00C95A8E">
        <w:rPr>
          <w:rFonts w:asciiTheme="minorHAnsi" w:hAnsiTheme="minorHAnsi" w:cstheme="minorHAnsi"/>
          <w:color w:val="auto"/>
          <w:sz w:val="22"/>
          <w:szCs w:val="22"/>
        </w:rPr>
        <w:t xml:space="preserve"> Finally, the estimated vulnerable population, those still able to be infected, was taken as the total population minus the total case count. This analysis assumes that people cannot get COVID twice.</w:t>
      </w:r>
    </w:p>
    <w:p w14:paraId="015DE0DC" w14:textId="0987FE70" w:rsidR="00C95A8E" w:rsidRDefault="00C95A8E" w:rsidP="00F443A0">
      <w:pPr>
        <w:pStyle w:val="Default"/>
        <w:rPr>
          <w:rFonts w:asciiTheme="minorHAnsi" w:hAnsiTheme="minorHAnsi" w:cstheme="minorHAnsi"/>
          <w:color w:val="auto"/>
          <w:sz w:val="22"/>
          <w:szCs w:val="22"/>
        </w:rPr>
      </w:pPr>
    </w:p>
    <w:p w14:paraId="4138D01A" w14:textId="4ACB510A" w:rsidR="00C95A8E" w:rsidRDefault="00C95A8E" w:rsidP="00C95A8E">
      <w:pPr>
        <w:pStyle w:val="Heading2"/>
      </w:pPr>
      <w:r>
        <w:t>Transmission Model</w:t>
      </w:r>
    </w:p>
    <w:p w14:paraId="74F0D801" w14:textId="39B80BD1" w:rsidR="00C95A8E" w:rsidRDefault="00C95A8E" w:rsidP="00C95A8E">
      <w:r>
        <w:tab/>
        <w:t xml:space="preserve">A simplified transmission model was used that allowed for two free parameters: transmission chance and exposure rate. Transmission chance represents the average chance of a transmission happening when an infected person and vulnerable person come into contact. </w:t>
      </w:r>
      <w:r w:rsidR="00E55758">
        <w:t>This would take into account effects such as natural immunity, mask wearing, ventilation, and other factors that would make it more or less likely for an interaction between two people to result in a transmission. The other factor is the exposure rate, representing the number of people per day, infected or not, that a vulnerable person might be exposed to. This would take into account any efforts at social distancing, adherence to gathering bans, workplace attendance, a</w:t>
      </w:r>
      <w:r w:rsidR="00B4297C">
        <w:t>nd any other factors that would change the daily amount of exposures.</w:t>
      </w:r>
    </w:p>
    <w:p w14:paraId="64AA2020" w14:textId="56F64F43" w:rsidR="00B4297C" w:rsidRDefault="00B4297C" w:rsidP="00C95A8E">
      <w:r>
        <w:tab/>
        <w:t xml:space="preserve">Using these two parameters, the number of new cases is modeled. The exposure rate and proportion of the current population that is actively infected is used to model the expected amount of exposures to an infected person that a vulnerable person would experience in a day. The transmission chance is then used to determine the chance that aa transmission occurs, by taking the additive inverse of the chance that no </w:t>
      </w:r>
      <w:r w:rsidR="00244643">
        <w:t>transmission</w:t>
      </w:r>
      <w:r w:rsidR="006348B0">
        <w:t>s</w:t>
      </w:r>
      <w:r>
        <w:t xml:space="preserve"> occur.</w:t>
      </w:r>
      <w:r w:rsidR="006348B0">
        <w:t xml:space="preserve"> This gives us the model equation</w:t>
      </w:r>
    </w:p>
    <w:p w14:paraId="424BB47A" w14:textId="172D0B32" w:rsidR="006348B0" w:rsidRDefault="006348B0" w:rsidP="00C95A8E">
      <m:oMathPara>
        <m:oMath>
          <m:sSub>
            <m:sSubPr>
              <m:ctrlPr>
                <w:rPr>
                  <w:rFonts w:ascii="Cambria Math" w:hAnsi="Cambria Math"/>
                  <w:i/>
                </w:rPr>
              </m:ctrlPr>
            </m:sSubPr>
            <m:e>
              <m:r>
                <w:rPr>
                  <w:rFonts w:ascii="Cambria Math" w:hAnsi="Cambria Math"/>
                </w:rPr>
                <m:t>C</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active</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total</m:t>
                          </m:r>
                        </m:sub>
                      </m:sSub>
                      <m:ctrlPr>
                        <w:rPr>
                          <w:rFonts w:ascii="Cambria Math" w:hAnsi="Cambria Math"/>
                          <w:i/>
                        </w:rPr>
                      </m:ctrlPr>
                    </m:den>
                  </m:f>
                  <m:r>
                    <w:rPr>
                      <w:rFonts w:ascii="Cambria Math" w:hAnsi="Cambria Math"/>
                    </w:rPr>
                    <m:t>x</m:t>
                  </m:r>
                </m:sup>
              </m:sSup>
            </m:e>
          </m:d>
        </m:oMath>
      </m:oMathPara>
    </w:p>
    <w:p w14:paraId="1F437E4E" w14:textId="7B512EAE" w:rsidR="00B4297C" w:rsidRDefault="00B4297C" w:rsidP="00C95A8E"/>
    <w:p w14:paraId="6F5F8BAE" w14:textId="4C6EB37B" w:rsidR="00F629E4" w:rsidRDefault="006348B0" w:rsidP="00F443A0">
      <w:pPr>
        <w:pStyle w:val="Default"/>
        <w:rPr>
          <w:rFonts w:asciiTheme="minorHAnsi" w:hAnsiTheme="minorHAnsi" w:cstheme="minorBidi"/>
          <w:color w:val="auto"/>
          <w:sz w:val="22"/>
          <w:szCs w:val="22"/>
        </w:rPr>
      </w:pPr>
      <w:r w:rsidRPr="006348B0">
        <w:rPr>
          <w:rFonts w:asciiTheme="minorHAnsi" w:hAnsiTheme="minorHAnsi" w:cstheme="minorBidi"/>
          <w:color w:val="auto"/>
          <w:sz w:val="22"/>
          <w:szCs w:val="22"/>
        </w:rPr>
        <w:t xml:space="preserve">Where </w:t>
      </w:r>
      <m:oMath>
        <m:sSub>
          <m:sSubPr>
            <m:ctrlPr>
              <w:rPr>
                <w:rFonts w:ascii="Cambria Math" w:hAnsi="Cambria Math" w:cstheme="minorBidi"/>
                <w:i/>
                <w:color w:val="auto"/>
                <w:sz w:val="22"/>
                <w:szCs w:val="22"/>
              </w:rPr>
            </m:ctrlPr>
          </m:sSubPr>
          <m:e>
            <m:r>
              <w:rPr>
                <w:rFonts w:ascii="Cambria Math" w:hAnsi="Cambria Math" w:cstheme="minorBidi"/>
                <w:color w:val="auto"/>
                <w:sz w:val="22"/>
                <w:szCs w:val="22"/>
              </w:rPr>
              <m:t>C</m:t>
            </m:r>
          </m:e>
          <m:sub>
            <m:r>
              <w:rPr>
                <w:rFonts w:ascii="Cambria Math" w:hAnsi="Cambria Math" w:cstheme="minorBidi"/>
                <w:color w:val="auto"/>
                <w:sz w:val="22"/>
                <w:szCs w:val="22"/>
              </w:rPr>
              <m:t>new</m:t>
            </m:r>
          </m:sub>
        </m:sSub>
      </m:oMath>
      <w:r w:rsidRPr="006348B0">
        <w:rPr>
          <w:rFonts w:asciiTheme="minorHAnsi" w:hAnsiTheme="minorHAnsi" w:cstheme="minorBidi"/>
          <w:color w:val="auto"/>
          <w:sz w:val="22"/>
          <w:szCs w:val="22"/>
        </w:rPr>
        <w:t xml:space="preserve"> and </w:t>
      </w:r>
      <m:oMath>
        <m:sSub>
          <m:sSubPr>
            <m:ctrlPr>
              <w:rPr>
                <w:rFonts w:ascii="Cambria Math" w:hAnsi="Cambria Math" w:cstheme="minorBidi"/>
                <w:i/>
                <w:color w:val="auto"/>
                <w:sz w:val="22"/>
                <w:szCs w:val="22"/>
              </w:rPr>
            </m:ctrlPr>
          </m:sSubPr>
          <m:e>
            <m:r>
              <w:rPr>
                <w:rFonts w:ascii="Cambria Math" w:hAnsi="Cambria Math" w:cstheme="minorBidi"/>
                <w:color w:val="auto"/>
                <w:sz w:val="22"/>
                <w:szCs w:val="22"/>
              </w:rPr>
              <m:t>C</m:t>
            </m:r>
          </m:e>
          <m:sub>
            <m:r>
              <w:rPr>
                <w:rFonts w:ascii="Cambria Math" w:hAnsi="Cambria Math" w:cstheme="minorBidi"/>
                <w:color w:val="auto"/>
                <w:sz w:val="22"/>
                <w:szCs w:val="22"/>
              </w:rPr>
              <m:t>active</m:t>
            </m:r>
          </m:sub>
        </m:sSub>
      </m:oMath>
      <w:r w:rsidRPr="006348B0">
        <w:rPr>
          <w:rFonts w:asciiTheme="minorHAnsi" w:hAnsiTheme="minorHAnsi" w:cstheme="minorBidi"/>
          <w:color w:val="auto"/>
          <w:sz w:val="22"/>
          <w:szCs w:val="22"/>
        </w:rPr>
        <w:t xml:space="preserve"> are new and active cases, </w:t>
      </w:r>
      <m:oMath>
        <m:sSub>
          <m:sSubPr>
            <m:ctrlPr>
              <w:rPr>
                <w:rFonts w:ascii="Cambria Math" w:hAnsi="Cambria Math" w:cstheme="minorBidi"/>
                <w:i/>
                <w:color w:val="auto"/>
                <w:sz w:val="22"/>
                <w:szCs w:val="22"/>
              </w:rPr>
            </m:ctrlPr>
          </m:sSubPr>
          <m:e>
            <m:r>
              <w:rPr>
                <w:rFonts w:ascii="Cambria Math" w:hAnsi="Cambria Math" w:cstheme="minorBidi"/>
                <w:color w:val="auto"/>
                <w:sz w:val="22"/>
                <w:szCs w:val="22"/>
              </w:rPr>
              <m:t>P</m:t>
            </m:r>
          </m:e>
          <m:sub>
            <m:r>
              <w:rPr>
                <w:rFonts w:ascii="Cambria Math" w:hAnsi="Cambria Math" w:cstheme="minorBidi"/>
                <w:color w:val="auto"/>
                <w:sz w:val="22"/>
                <w:szCs w:val="22"/>
              </w:rPr>
              <m:t>v</m:t>
            </m:r>
          </m:sub>
        </m:sSub>
      </m:oMath>
      <w:r w:rsidRPr="006348B0">
        <w:rPr>
          <w:rFonts w:asciiTheme="minorHAnsi" w:hAnsiTheme="minorHAnsi" w:cstheme="minorBidi"/>
          <w:color w:val="auto"/>
          <w:sz w:val="22"/>
          <w:szCs w:val="22"/>
        </w:rPr>
        <w:t xml:space="preserve"> and </w:t>
      </w:r>
      <m:oMath>
        <m:sSub>
          <m:sSubPr>
            <m:ctrlPr>
              <w:rPr>
                <w:rFonts w:ascii="Cambria Math" w:hAnsi="Cambria Math" w:cstheme="minorBidi"/>
                <w:i/>
                <w:color w:val="auto"/>
                <w:sz w:val="22"/>
                <w:szCs w:val="22"/>
              </w:rPr>
            </m:ctrlPr>
          </m:sSubPr>
          <m:e>
            <m:r>
              <w:rPr>
                <w:rFonts w:ascii="Cambria Math" w:hAnsi="Cambria Math" w:cstheme="minorBidi"/>
                <w:color w:val="auto"/>
                <w:sz w:val="22"/>
                <w:szCs w:val="22"/>
              </w:rPr>
              <m:t>P</m:t>
            </m:r>
          </m:e>
          <m:sub>
            <m:r>
              <w:rPr>
                <w:rFonts w:ascii="Cambria Math" w:hAnsi="Cambria Math" w:cstheme="minorBidi"/>
                <w:color w:val="auto"/>
                <w:sz w:val="22"/>
                <w:szCs w:val="22"/>
              </w:rPr>
              <m:t>total</m:t>
            </m:r>
          </m:sub>
        </m:sSub>
      </m:oMath>
      <w:r>
        <w:rPr>
          <w:rFonts w:asciiTheme="minorHAnsi" w:hAnsiTheme="minorHAnsi" w:cstheme="minorBidi"/>
          <w:color w:val="auto"/>
          <w:sz w:val="22"/>
          <w:szCs w:val="22"/>
        </w:rPr>
        <w:t xml:space="preserve"> </w:t>
      </w:r>
      <w:r w:rsidRPr="006348B0">
        <w:rPr>
          <w:rFonts w:asciiTheme="minorHAnsi" w:hAnsiTheme="minorHAnsi" w:cstheme="minorBidi"/>
          <w:color w:val="auto"/>
          <w:sz w:val="22"/>
          <w:szCs w:val="22"/>
        </w:rPr>
        <w:t xml:space="preserve">are vulnerable and total population, </w:t>
      </w:r>
      <m:oMath>
        <m:r>
          <w:rPr>
            <w:rFonts w:ascii="Cambria Math" w:hAnsi="Cambria Math" w:cstheme="minorBidi"/>
            <w:color w:val="auto"/>
            <w:sz w:val="22"/>
            <w:szCs w:val="22"/>
          </w:rPr>
          <m:t>r</m:t>
        </m:r>
      </m:oMath>
      <w:r w:rsidRPr="006348B0">
        <w:rPr>
          <w:rFonts w:asciiTheme="minorHAnsi" w:hAnsiTheme="minorHAnsi" w:cstheme="minorBidi"/>
          <w:color w:val="auto"/>
          <w:sz w:val="22"/>
          <w:szCs w:val="22"/>
        </w:rPr>
        <w:t xml:space="preserve"> is the transmission rate and </w:t>
      </w:r>
      <m:oMath>
        <m:r>
          <w:rPr>
            <w:rFonts w:ascii="Cambria Math" w:hAnsi="Cambria Math" w:cstheme="minorBidi"/>
            <w:color w:val="auto"/>
            <w:sz w:val="22"/>
            <w:szCs w:val="22"/>
          </w:rPr>
          <m:t>x</m:t>
        </m:r>
      </m:oMath>
      <w:r w:rsidRPr="006348B0">
        <w:rPr>
          <w:rFonts w:asciiTheme="minorHAnsi" w:hAnsiTheme="minorHAnsi" w:cstheme="minorBidi"/>
          <w:color w:val="auto"/>
          <w:sz w:val="22"/>
          <w:szCs w:val="22"/>
        </w:rPr>
        <w:t xml:space="preserve"> is the exposure rate.</w:t>
      </w:r>
    </w:p>
    <w:p w14:paraId="4DE864BA" w14:textId="5EC1FA24" w:rsidR="006348B0" w:rsidRDefault="006348B0" w:rsidP="00F443A0">
      <w:pPr>
        <w:pStyle w:val="Default"/>
        <w:rPr>
          <w:rFonts w:asciiTheme="minorHAnsi" w:hAnsiTheme="minorHAnsi" w:cstheme="minorBidi"/>
          <w:color w:val="auto"/>
          <w:sz w:val="22"/>
          <w:szCs w:val="22"/>
        </w:rPr>
      </w:pPr>
      <w:r>
        <w:rPr>
          <w:rFonts w:asciiTheme="minorHAnsi" w:hAnsiTheme="minorHAnsi" w:cstheme="minorBidi"/>
          <w:color w:val="auto"/>
          <w:sz w:val="22"/>
          <w:szCs w:val="22"/>
        </w:rPr>
        <w:tab/>
      </w:r>
    </w:p>
    <w:p w14:paraId="4AAF1271" w14:textId="17CD45DD" w:rsidR="00E42600" w:rsidRDefault="006348B0" w:rsidP="00F443A0">
      <w:pPr>
        <w:pStyle w:val="Default"/>
        <w:rPr>
          <w:rFonts w:asciiTheme="minorHAnsi" w:hAnsiTheme="minorHAnsi" w:cstheme="minorBidi"/>
          <w:color w:val="auto"/>
          <w:sz w:val="22"/>
          <w:szCs w:val="22"/>
        </w:rPr>
      </w:pPr>
      <w:r>
        <w:rPr>
          <w:rFonts w:asciiTheme="minorHAnsi" w:hAnsiTheme="minorHAnsi" w:cstheme="minorBidi"/>
          <w:color w:val="auto"/>
          <w:sz w:val="22"/>
          <w:szCs w:val="22"/>
        </w:rPr>
        <w:tab/>
      </w:r>
      <w:r w:rsidR="0077366A">
        <w:rPr>
          <w:rFonts w:asciiTheme="minorHAnsi" w:hAnsiTheme="minorHAnsi" w:cstheme="minorBidi"/>
          <w:color w:val="auto"/>
          <w:sz w:val="22"/>
          <w:szCs w:val="22"/>
        </w:rPr>
        <w:t>This model is fit to the new case data for each county and each month, using a gradient descent method to find the lease-squares fit. The parameters are bound to the</w:t>
      </w:r>
      <w:r w:rsidR="00E42600">
        <w:rPr>
          <w:rFonts w:asciiTheme="minorHAnsi" w:hAnsiTheme="minorHAnsi" w:cstheme="minorBidi"/>
          <w:color w:val="auto"/>
          <w:sz w:val="22"/>
          <w:szCs w:val="22"/>
        </w:rPr>
        <w:t>ir</w:t>
      </w:r>
      <w:r w:rsidR="0077366A">
        <w:rPr>
          <w:rFonts w:asciiTheme="minorHAnsi" w:hAnsiTheme="minorHAnsi" w:cstheme="minorBidi"/>
          <w:color w:val="auto"/>
          <w:sz w:val="22"/>
          <w:szCs w:val="22"/>
        </w:rPr>
        <w:t xml:space="preserve"> domains, being [0,1] for the transmission chance and greater than 0 for the exposure rate.</w:t>
      </w:r>
      <w:r w:rsidR="00E42600">
        <w:rPr>
          <w:rFonts w:asciiTheme="minorHAnsi" w:hAnsiTheme="minorHAnsi" w:cstheme="minorBidi"/>
          <w:color w:val="auto"/>
          <w:sz w:val="22"/>
          <w:szCs w:val="22"/>
        </w:rPr>
        <w:t xml:space="preserve"> </w:t>
      </w:r>
    </w:p>
    <w:p w14:paraId="51514646" w14:textId="00805122" w:rsidR="00A8259B" w:rsidRDefault="00A8259B" w:rsidP="00F443A0">
      <w:pPr>
        <w:pStyle w:val="Default"/>
        <w:rPr>
          <w:rFonts w:asciiTheme="minorHAnsi" w:hAnsiTheme="minorHAnsi" w:cstheme="minorBidi"/>
          <w:color w:val="auto"/>
          <w:sz w:val="22"/>
          <w:szCs w:val="22"/>
        </w:rPr>
      </w:pPr>
      <w:r>
        <w:rPr>
          <w:rFonts w:asciiTheme="minorHAnsi" w:hAnsiTheme="minorHAnsi" w:cstheme="minorBidi"/>
          <w:color w:val="auto"/>
          <w:sz w:val="22"/>
          <w:szCs w:val="22"/>
        </w:rPr>
        <w:tab/>
      </w:r>
    </w:p>
    <w:p w14:paraId="55B542B8" w14:textId="02452A5C" w:rsidR="00A8259B" w:rsidRDefault="00A8259B" w:rsidP="00F443A0">
      <w:pPr>
        <w:pStyle w:val="Default"/>
        <w:rPr>
          <w:rFonts w:asciiTheme="minorHAnsi" w:hAnsiTheme="minorHAnsi" w:cstheme="minorBidi"/>
          <w:color w:val="auto"/>
          <w:sz w:val="22"/>
          <w:szCs w:val="22"/>
        </w:rPr>
      </w:pPr>
      <w:r>
        <w:rPr>
          <w:rFonts w:asciiTheme="minorHAnsi" w:hAnsiTheme="minorHAnsi" w:cstheme="minorBidi"/>
          <w:color w:val="auto"/>
          <w:sz w:val="22"/>
          <w:szCs w:val="22"/>
        </w:rPr>
        <w:tab/>
        <w:t>Note that this model is used in an interpretive rather than predictive way, with the purpose being to extract the parameters for analysis, not to predict future cases. Because of this, the model is only run at a one-step prediction: the actual active cases are always used as the input.</w:t>
      </w:r>
    </w:p>
    <w:p w14:paraId="5436D59F" w14:textId="2B7F9B1C" w:rsidR="00A8259B" w:rsidRDefault="00A8259B" w:rsidP="00F443A0">
      <w:pPr>
        <w:pStyle w:val="Default"/>
        <w:rPr>
          <w:rFonts w:asciiTheme="minorHAnsi" w:hAnsiTheme="minorHAnsi" w:cstheme="minorBidi"/>
          <w:color w:val="auto"/>
          <w:sz w:val="22"/>
          <w:szCs w:val="22"/>
        </w:rPr>
      </w:pPr>
    </w:p>
    <w:p w14:paraId="6FEE6A8B" w14:textId="28F5B9F0" w:rsidR="00A8259B" w:rsidRDefault="00A8259B" w:rsidP="00A8259B">
      <w:pPr>
        <w:pStyle w:val="Heading2"/>
      </w:pPr>
      <w:r>
        <w:lastRenderedPageBreak/>
        <w:t>Parameter Analysis</w:t>
      </w:r>
    </w:p>
    <w:p w14:paraId="75EAEC40" w14:textId="3A0450D6" w:rsidR="00A8259B" w:rsidRDefault="00A8259B" w:rsidP="00A8259B">
      <w:r>
        <w:tab/>
      </w:r>
      <w:r w:rsidR="00AE634F">
        <w:t>The application of the model above provides two data points per county per month: the transmission chance and exposure rate. The following analysis is then focused on searching for links between these parameters and various demographic and housing data.</w:t>
      </w:r>
    </w:p>
    <w:p w14:paraId="529DF19D" w14:textId="74F8EEC0" w:rsidR="00AE634F" w:rsidRDefault="00AE634F" w:rsidP="00A8259B">
      <w:r>
        <w:tab/>
        <w:t>The data set consists of one data point per county per month, for a total of 220 rows with seven features each. Two features are treated as dependent: transmission chance and exposure rate. The other five features are used as independent variables to asses their relations to the dependent variables in two separate regressions.</w:t>
      </w:r>
    </w:p>
    <w:p w14:paraId="0CEC30DE" w14:textId="6F10ACA3" w:rsidR="00AE634F" w:rsidRDefault="00AE634F" w:rsidP="00A8259B">
      <w:r>
        <w:tab/>
        <w:t xml:space="preserve">Some collinearity is seen within the features. Low Income units per Household is the most impacted feature, with a 0.59 Pearson Correlation Coefficient with Mask Compliance and a </w:t>
      </w:r>
      <w:r w:rsidR="0026793A">
        <w:t>-0.62 correlation with Mean Income.</w:t>
      </w:r>
    </w:p>
    <w:p w14:paraId="6DBBD46F" w14:textId="03DA20ED" w:rsidR="0026793A" w:rsidRDefault="0026793A" w:rsidP="00A8259B">
      <w:r>
        <w:rPr>
          <w:noProof/>
        </w:rPr>
        <w:drawing>
          <wp:inline distT="0" distB="0" distL="0" distR="0" wp14:anchorId="669E54BA" wp14:editId="5B6401EE">
            <wp:extent cx="5915025" cy="450532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4505325"/>
                    </a:xfrm>
                    <a:prstGeom prst="rect">
                      <a:avLst/>
                    </a:prstGeom>
                    <a:noFill/>
                    <a:ln>
                      <a:noFill/>
                    </a:ln>
                  </pic:spPr>
                </pic:pic>
              </a:graphicData>
            </a:graphic>
          </wp:inline>
        </w:drawing>
      </w:r>
    </w:p>
    <w:p w14:paraId="622DD254" w14:textId="6D628EE1" w:rsidR="0026793A" w:rsidRDefault="0026793A" w:rsidP="00A8259B"/>
    <w:p w14:paraId="791030A4" w14:textId="3CA297E1" w:rsidR="0026793A" w:rsidRDefault="0026793A" w:rsidP="0026793A">
      <w:pPr>
        <w:pStyle w:val="Heading3"/>
      </w:pPr>
      <w:r>
        <w:t>Transmission Chance</w:t>
      </w:r>
    </w:p>
    <w:p w14:paraId="44A97558" w14:textId="0F57B39B" w:rsidR="0026793A" w:rsidRDefault="0026793A" w:rsidP="0026793A">
      <w:r>
        <w:tab/>
        <w:t xml:space="preserve">Transmission Chance is evaluated with </w:t>
      </w:r>
      <w:r w:rsidR="00490225">
        <w:t xml:space="preserve">a Generalized Linear Model using a Negative Binomial distribution and a log link function. This method was used to better fit the domain of the transmission chance, which is bound from 0 to 1. While the Negative Binomial model is positive, it is not bound at the </w:t>
      </w:r>
      <w:r w:rsidR="00490225">
        <w:lastRenderedPageBreak/>
        <w:t>top by 1. However, in evaluating results, no model prediction exceeded 0.11, so the model may still be a reasonable fit for this data set.</w:t>
      </w:r>
    </w:p>
    <w:p w14:paraId="32920B90" w14:textId="1F248AB7" w:rsidR="00490225" w:rsidRDefault="00490225" w:rsidP="0026793A">
      <w:r>
        <w:tab/>
      </w:r>
      <w:r w:rsidR="000A30D6">
        <w:t>The residuals displayed strong deviance from normal for the edge cases, so Robust Covariance was used for determining coefficient significance.</w:t>
      </w:r>
    </w:p>
    <w:p w14:paraId="57EA4973" w14:textId="5947BB73" w:rsidR="000A30D6" w:rsidRDefault="00220F8C" w:rsidP="0026793A">
      <w:r>
        <w:rPr>
          <w:noProof/>
        </w:rPr>
        <w:drawing>
          <wp:inline distT="0" distB="0" distL="0" distR="0" wp14:anchorId="716BF0FE" wp14:editId="7EB0A21A">
            <wp:extent cx="5000625" cy="3533775"/>
            <wp:effectExtent l="0" t="0" r="952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2A4A8DCB" w14:textId="561368E8" w:rsidR="00490225" w:rsidRDefault="00490225" w:rsidP="00490225">
      <w:pPr>
        <w:pStyle w:val="Heading3"/>
      </w:pPr>
      <w:r>
        <w:tab/>
        <w:t>Exposure Rate</w:t>
      </w:r>
    </w:p>
    <w:p w14:paraId="32FAEF76" w14:textId="02AF8E10" w:rsidR="006C18ED" w:rsidRDefault="000A30D6" w:rsidP="00490225">
      <w:r>
        <w:tab/>
      </w:r>
      <w:r w:rsidR="006C18ED">
        <w:t>Exposure Rate was</w:t>
      </w:r>
      <w:r w:rsidR="006C18ED">
        <w:t xml:space="preserve"> evaluated with a Generalized Linear Model using a </w:t>
      </w:r>
      <w:r w:rsidR="006C18ED">
        <w:t>Poisson</w:t>
      </w:r>
      <w:r w:rsidR="006C18ED">
        <w:t xml:space="preserve"> distribution and a log link function. This method was used to better fit the domain of the </w:t>
      </w:r>
      <w:r w:rsidR="006C18ED">
        <w:t>exposure rate</w:t>
      </w:r>
      <w:r w:rsidR="006C18ED">
        <w:t xml:space="preserve">, which is </w:t>
      </w:r>
      <w:r w:rsidR="006C18ED">
        <w:t>positive and unbounded.</w:t>
      </w:r>
      <w:r w:rsidR="006C18ED">
        <w:t xml:space="preserve"> </w:t>
      </w:r>
      <w:r w:rsidR="006C18ED">
        <w:t>Residuals were distinctly non-normal, so robust covariance was used for evaluating parameter significance.</w:t>
      </w:r>
    </w:p>
    <w:p w14:paraId="23E9A3E7" w14:textId="082538E9" w:rsidR="006C18ED" w:rsidRDefault="00220F8C" w:rsidP="00490225">
      <w:r>
        <w:rPr>
          <w:noProof/>
        </w:rPr>
        <w:lastRenderedPageBreak/>
        <w:drawing>
          <wp:inline distT="0" distB="0" distL="0" distR="0" wp14:anchorId="09DA2B70" wp14:editId="39D6FFEF">
            <wp:extent cx="5000625" cy="3533775"/>
            <wp:effectExtent l="0" t="0" r="952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14:paraId="1AA987F5" w14:textId="2FEF1C4C" w:rsidR="000A30D6" w:rsidRDefault="000A30D6" w:rsidP="00490225">
      <w:r>
        <w:tab/>
      </w:r>
    </w:p>
    <w:p w14:paraId="031D4A35" w14:textId="3193A25D" w:rsidR="00220F8C" w:rsidRDefault="00220F8C" w:rsidP="00220F8C">
      <w:pPr>
        <w:pStyle w:val="Heading1"/>
      </w:pPr>
      <w:r>
        <w:t>Findings</w:t>
      </w:r>
    </w:p>
    <w:p w14:paraId="07C897A4" w14:textId="1655D8EA" w:rsidR="00220F8C" w:rsidRDefault="00220F8C" w:rsidP="00220F8C">
      <w:pPr>
        <w:pStyle w:val="Heading2"/>
      </w:pPr>
      <w:r>
        <w:tab/>
        <w:t>Transmission Model</w:t>
      </w:r>
    </w:p>
    <w:p w14:paraId="763F7CAF" w14:textId="3B012144" w:rsidR="00220F8C" w:rsidRDefault="00220F8C" w:rsidP="00220F8C">
      <w:r>
        <w:tab/>
        <w:t xml:space="preserve">The transmission model proved to be a reasonable method of modeling the case counts. </w:t>
      </w:r>
      <w:r w:rsidR="00617B87">
        <w:t xml:space="preserve">On Gwinnett county it found an R-Squared value of 0.897, and for all of Atlanta found an even higher value of 0.958. These indicate that the model accounts for </w:t>
      </w:r>
      <w:r w:rsidR="0029390B">
        <w:t>around or over</w:t>
      </w:r>
      <w:r w:rsidR="00617B87">
        <w:t xml:space="preserve"> 90% of the variance in new case counts. The average error was 18% of the mean new cases for Gwinnett and 11% for the entire Atlanta area. </w:t>
      </w:r>
    </w:p>
    <w:p w14:paraId="5840C0AF" w14:textId="6F170E48" w:rsidR="00CF6A9C" w:rsidRDefault="00CF6A9C" w:rsidP="00220F8C">
      <w:r>
        <w:tab/>
        <w:t>The extracted parameters fit a few common sense checks. Both transmission and exposure have their highest values at the start of the pandemic, before any measures were put into place. Exposure rate also shows more change than transmission chance. This fits expectations for Georgia; with no mask mandates in place, but multiple periods of business closure, it seems logical that the exposure rate would be more easily modified than the transmission chance.</w:t>
      </w:r>
    </w:p>
    <w:p w14:paraId="47F4FFC5" w14:textId="61D2B0B6" w:rsidR="0029390B" w:rsidRDefault="0029390B" w:rsidP="00220F8C">
      <w:r>
        <w:tab/>
      </w:r>
      <w:r w:rsidR="00F45B66">
        <w:t xml:space="preserve">The model </w:t>
      </w:r>
      <w:r w:rsidR="00CF6A9C">
        <w:t xml:space="preserve">aids in highlighting some if the differences between the new case curves in Atlanta and Gwinnett. Overall, Gwinnett generally followed the same patterns as the larger metro area. However, it can be seen to have a shallower beginning to the second wave in Fall 2020, and an overall </w:t>
      </w:r>
      <w:r w:rsidR="00CF6A9C">
        <w:lastRenderedPageBreak/>
        <w:t>lower peak in this wave.</w:t>
      </w:r>
      <w:r w:rsidR="007960CE" w:rsidRPr="007960CE">
        <w:rPr>
          <w:noProof/>
        </w:rPr>
        <w:t xml:space="preserve"> </w:t>
      </w:r>
      <w:r w:rsidR="007960CE">
        <w:rPr>
          <w:noProof/>
        </w:rPr>
        <w:drawing>
          <wp:inline distT="0" distB="0" distL="0" distR="0" wp14:anchorId="1A382512" wp14:editId="535A5266">
            <wp:extent cx="5943600" cy="251841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8410"/>
                    </a:xfrm>
                    <a:prstGeom prst="rect">
                      <a:avLst/>
                    </a:prstGeom>
                    <a:noFill/>
                    <a:ln>
                      <a:noFill/>
                    </a:ln>
                  </pic:spPr>
                </pic:pic>
              </a:graphicData>
            </a:graphic>
          </wp:inline>
        </w:drawing>
      </w:r>
    </w:p>
    <w:p w14:paraId="238E18A8" w14:textId="0DCAE803" w:rsidR="00CF6A9C" w:rsidRDefault="00CF6A9C" w:rsidP="00220F8C">
      <w:r>
        <w:tab/>
      </w:r>
      <w:r w:rsidR="007960CE">
        <w:rPr>
          <w:noProof/>
        </w:rPr>
        <w:drawing>
          <wp:inline distT="0" distB="0" distL="0" distR="0" wp14:anchorId="3C3370F7" wp14:editId="7E88D5E2">
            <wp:extent cx="5943600" cy="251841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8410"/>
                    </a:xfrm>
                    <a:prstGeom prst="rect">
                      <a:avLst/>
                    </a:prstGeom>
                    <a:noFill/>
                    <a:ln>
                      <a:noFill/>
                    </a:ln>
                  </pic:spPr>
                </pic:pic>
              </a:graphicData>
            </a:graphic>
          </wp:inline>
        </w:drawing>
      </w:r>
      <w:r>
        <w:t xml:space="preserve">The difference in curve is visible in the parameters, but this highlights how sensitive the model curve is </w:t>
      </w:r>
      <w:r w:rsidR="00AB6A80">
        <w:t xml:space="preserve">to these changes. In October, Atlanta had just 0.08 percentage points higher transmission rate and </w:t>
      </w:r>
      <w:r w:rsidR="00F83323">
        <w:t xml:space="preserve">0.09 more daily exposures, yet saw </w:t>
      </w:r>
      <w:r w:rsidR="007960CE">
        <w:t>15% more new cases per capita than Gwinnett. Because of the exponential nature of the transmission when the parameters get high, small changes in parameters are associated with large changes in case count and curve steepness.</w:t>
      </w:r>
    </w:p>
    <w:p w14:paraId="2A75E33E" w14:textId="09AAD973" w:rsidR="00CF6A9C" w:rsidRDefault="00CF6A9C" w:rsidP="00220F8C"/>
    <w:p w14:paraId="10849D44" w14:textId="2B4F7C8C" w:rsidR="007960CE" w:rsidRDefault="007960CE" w:rsidP="00220F8C"/>
    <w:p w14:paraId="20F7FB34" w14:textId="131DC2C5" w:rsidR="00CF6A9C" w:rsidRDefault="00CF6A9C" w:rsidP="00220F8C">
      <w:r>
        <w:tab/>
      </w:r>
    </w:p>
    <w:p w14:paraId="77C5C7A5" w14:textId="0877019D" w:rsidR="007960CE" w:rsidRDefault="007960CE" w:rsidP="00220F8C">
      <w:r>
        <w:rPr>
          <w:noProof/>
        </w:rPr>
        <w:lastRenderedPageBreak/>
        <w:drawing>
          <wp:inline distT="0" distB="0" distL="0" distR="0" wp14:anchorId="4BB7B5BE" wp14:editId="118F73F2">
            <wp:extent cx="5943600" cy="2505710"/>
            <wp:effectExtent l="0" t="0" r="0" b="889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05710"/>
                    </a:xfrm>
                    <a:prstGeom prst="rect">
                      <a:avLst/>
                    </a:prstGeom>
                    <a:noFill/>
                    <a:ln>
                      <a:noFill/>
                    </a:ln>
                  </pic:spPr>
                </pic:pic>
              </a:graphicData>
            </a:graphic>
          </wp:inline>
        </w:drawing>
      </w:r>
    </w:p>
    <w:p w14:paraId="369BA980" w14:textId="77777777" w:rsidR="007960CE" w:rsidRDefault="007960CE" w:rsidP="00220F8C">
      <w:r>
        <w:rPr>
          <w:noProof/>
        </w:rPr>
        <w:drawing>
          <wp:inline distT="0" distB="0" distL="0" distR="0" wp14:anchorId="09844980" wp14:editId="79AB594A">
            <wp:extent cx="5943600" cy="2547620"/>
            <wp:effectExtent l="0" t="0" r="0" b="508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7620"/>
                    </a:xfrm>
                    <a:prstGeom prst="rect">
                      <a:avLst/>
                    </a:prstGeom>
                    <a:noFill/>
                    <a:ln>
                      <a:noFill/>
                    </a:ln>
                  </pic:spPr>
                </pic:pic>
              </a:graphicData>
            </a:graphic>
          </wp:inline>
        </w:drawing>
      </w:r>
    </w:p>
    <w:p w14:paraId="174032EE" w14:textId="77777777" w:rsidR="007960CE" w:rsidRDefault="007960CE" w:rsidP="00220F8C"/>
    <w:p w14:paraId="7693C70D" w14:textId="77777777" w:rsidR="007960CE" w:rsidRDefault="007960CE" w:rsidP="007960CE">
      <w:pPr>
        <w:pStyle w:val="Heading2"/>
      </w:pPr>
      <w:r>
        <w:t>Parameter Analysis</w:t>
      </w:r>
    </w:p>
    <w:p w14:paraId="45EF5D72" w14:textId="77777777" w:rsidR="007960CE" w:rsidRDefault="007960CE" w:rsidP="007960CE">
      <w:pPr>
        <w:pStyle w:val="Heading3"/>
      </w:pPr>
      <w:r>
        <w:t>Transmission Chance</w:t>
      </w:r>
    </w:p>
    <w:p w14:paraId="3ED69134" w14:textId="78BB450D" w:rsidR="00617B87" w:rsidRDefault="007960CE" w:rsidP="007960CE">
      <w:r>
        <w:tab/>
        <w:t xml:space="preserve">The demographic data was evaluated as significant in the transmission chance regression by testing at the p &lt; 0.05 level, indicating that under the null hypothesis of no relation, these results would occur less than 5% of the time. At this level, three features were determined to be related to transmission chance: Mask Compliance, Household Size and </w:t>
      </w:r>
      <w:r w:rsidR="00BF2F9B">
        <w:t>Income.</w:t>
      </w:r>
    </w:p>
    <w:p w14:paraId="43550DE4" w14:textId="72D81955" w:rsidR="00BF2F9B" w:rsidRDefault="00BF2F9B" w:rsidP="007960CE">
      <w:r>
        <w:lastRenderedPageBreak/>
        <w:tab/>
      </w:r>
      <w:r w:rsidRPr="00BF2F9B">
        <w:drawing>
          <wp:inline distT="0" distB="0" distL="0" distR="0" wp14:anchorId="5141F33B" wp14:editId="6A1CEDB5">
            <wp:extent cx="4982270" cy="1609950"/>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4982270" cy="1609950"/>
                    </a:xfrm>
                    <a:prstGeom prst="rect">
                      <a:avLst/>
                    </a:prstGeom>
                  </pic:spPr>
                </pic:pic>
              </a:graphicData>
            </a:graphic>
          </wp:inline>
        </w:drawing>
      </w:r>
    </w:p>
    <w:p w14:paraId="21763A22" w14:textId="06906118" w:rsidR="00BF2F9B" w:rsidRDefault="00BF2F9B" w:rsidP="00BF2F9B">
      <w:r>
        <w:tab/>
        <w:t xml:space="preserve">Its important to note the meaning of the coefficients. Because this was done using a Negative Binomial model, coefficients can be interpreted as changes in the Odds Ratio of the Transmission Chance. In this setting, the Odds Ratio would represent the amount of transmission occurring divided by the amount not occurring in a set of exposures. The mean transmission rate in all samples was approximately 3%, meaning the average odds ratio is .031. </w:t>
      </w:r>
      <w:r w:rsidR="00A8158A">
        <w:t>At small values like this, the odds ratio changes similarly to the likelihood, so the exponentiation of coefficients can be roughly interpreted as changes in likelihood.</w:t>
      </w:r>
    </w:p>
    <w:p w14:paraId="6BE984B2" w14:textId="0FE84F01" w:rsidR="00C43D51" w:rsidRDefault="00C43D51" w:rsidP="00BF2F9B">
      <w:r>
        <w:tab/>
        <w:t xml:space="preserve">The findings that Mask Compliance and Income are negatively correlated with transmission chance fit the </w:t>
      </w:r>
      <w:r w:rsidR="000812DF">
        <w:t>experiment hypothesis. However, the result that larger household size is also linked to lower transmission chance is unexpected.</w:t>
      </w:r>
    </w:p>
    <w:p w14:paraId="6750D740" w14:textId="758C7EA7" w:rsidR="00BF2F9B" w:rsidRDefault="00BF2F9B" w:rsidP="00BF2F9B">
      <w:pPr>
        <w:pStyle w:val="Heading4"/>
      </w:pPr>
      <w:r>
        <w:t>Mask Compliance</w:t>
      </w:r>
    </w:p>
    <w:p w14:paraId="29E3C275" w14:textId="0FEA964F" w:rsidR="00A8158A" w:rsidRDefault="00A8158A" w:rsidP="00A8158A">
      <w:r>
        <w:tab/>
        <w:t xml:space="preserve">Mask compliance was found significant at the p ~ 0 level. The coefficient of -2.784 translates to a change of .06%. A 1% increase in mask usage would relate to a ~ .094% decrease in transmission chance. </w:t>
      </w:r>
    </w:p>
    <w:p w14:paraId="7E3751AF" w14:textId="7E4336B8" w:rsidR="00A8158A" w:rsidRDefault="00A8158A" w:rsidP="00A8158A">
      <w:pPr>
        <w:pStyle w:val="Heading4"/>
      </w:pPr>
      <w:r>
        <w:t>Household Size</w:t>
      </w:r>
    </w:p>
    <w:p w14:paraId="2B45A7C1" w14:textId="06B70C25" w:rsidR="00A8158A" w:rsidRDefault="00A8158A" w:rsidP="00A8158A">
      <w:r>
        <w:tab/>
      </w:r>
      <w:r>
        <w:t>Household Size</w:t>
      </w:r>
      <w:r>
        <w:t xml:space="preserve"> was found significant at the p ~ 0 level. The coefficient of </w:t>
      </w:r>
      <w:r>
        <w:t>–0.3954</w:t>
      </w:r>
      <w:r>
        <w:t xml:space="preserve"> translates to a change of </w:t>
      </w:r>
      <w:r w:rsidR="00C43D51">
        <w:t>0.67</w:t>
      </w:r>
      <w:r>
        <w:t xml:space="preserve">%. A </w:t>
      </w:r>
      <w:r w:rsidR="00C43D51">
        <w:t>0.1 person</w:t>
      </w:r>
      <w:r>
        <w:t xml:space="preserve"> increase in </w:t>
      </w:r>
      <w:r w:rsidR="00C43D51">
        <w:t>average household size</w:t>
      </w:r>
      <w:r>
        <w:t xml:space="preserve"> would relate to a ~</w:t>
      </w:r>
      <w:r w:rsidR="00C43D51">
        <w:t>0</w:t>
      </w:r>
      <w:r>
        <w:t>.</w:t>
      </w:r>
      <w:r w:rsidR="00C43D51">
        <w:t>033</w:t>
      </w:r>
      <w:r>
        <w:t xml:space="preserve">% decrease in transmission chance. </w:t>
      </w:r>
    </w:p>
    <w:p w14:paraId="776A0CBA" w14:textId="7220644D" w:rsidR="00A8158A" w:rsidRDefault="00C43D51" w:rsidP="00A8158A">
      <w:pPr>
        <w:pStyle w:val="Heading4"/>
      </w:pPr>
      <w:r>
        <w:t>Mean Income</w:t>
      </w:r>
    </w:p>
    <w:p w14:paraId="3A773B06" w14:textId="4AE9CDFE" w:rsidR="00A8158A" w:rsidRDefault="00A8158A" w:rsidP="00A8158A">
      <w:r>
        <w:tab/>
      </w:r>
      <w:r w:rsidR="00C43D51">
        <w:t>Mean Income</w:t>
      </w:r>
      <w:r>
        <w:t xml:space="preserve"> was found significant at the p </w:t>
      </w:r>
      <w:r w:rsidR="00C43D51">
        <w:t>= 0.018</w:t>
      </w:r>
      <w:r>
        <w:t xml:space="preserve"> level. The coefficient of </w:t>
      </w:r>
      <w:r w:rsidR="00C43D51">
        <w:t>-2.15e-6</w:t>
      </w:r>
      <w:r>
        <w:t xml:space="preserve"> translates to a change of </w:t>
      </w:r>
      <w:r w:rsidR="00C43D51">
        <w:t>0.999998</w:t>
      </w:r>
      <w:r>
        <w:t xml:space="preserve">%. A </w:t>
      </w:r>
      <w:r w:rsidR="00C43D51">
        <w:t>$10,000</w:t>
      </w:r>
      <w:r>
        <w:t xml:space="preserve"> increase in mask usage would relate to a ~ </w:t>
      </w:r>
      <w:r w:rsidR="00C43D51">
        <w:t>0.02</w:t>
      </w:r>
      <w:r>
        <w:t xml:space="preserve">% decrease in transmission chance. </w:t>
      </w:r>
    </w:p>
    <w:p w14:paraId="359500C2" w14:textId="5E2B906F" w:rsidR="00A8158A" w:rsidRDefault="00A8158A" w:rsidP="00A8158A"/>
    <w:p w14:paraId="4850DF92" w14:textId="38C2217C" w:rsidR="000812DF" w:rsidRDefault="000812DF" w:rsidP="000812DF">
      <w:pPr>
        <w:pStyle w:val="Heading3"/>
      </w:pPr>
      <w:r>
        <w:t>Exposure Rate</w:t>
      </w:r>
    </w:p>
    <w:p w14:paraId="3CA6A3A1" w14:textId="66645212" w:rsidR="000812DF" w:rsidRDefault="000812DF" w:rsidP="000812DF">
      <w:pPr>
        <w:ind w:firstLine="720"/>
      </w:pPr>
      <w:r>
        <w:t xml:space="preserve">The demographic data was evaluated as significant in the </w:t>
      </w:r>
      <w:r>
        <w:t>exposure rate</w:t>
      </w:r>
      <w:r>
        <w:t xml:space="preserve"> regression by testing at the p &lt; 0.05 level, indicating that under the null hypothesis of no relation, these results would occur less than 5% of the time. At this level, </w:t>
      </w:r>
      <w:r w:rsidR="004D7A51">
        <w:t>one</w:t>
      </w:r>
      <w:r>
        <w:t xml:space="preserve"> feature </w:t>
      </w:r>
      <w:r w:rsidR="004D7A51">
        <w:t>was</w:t>
      </w:r>
      <w:r>
        <w:t xml:space="preserve"> determined to be related to </w:t>
      </w:r>
      <w:r>
        <w:t>exposure rate</w:t>
      </w:r>
      <w:r>
        <w:t xml:space="preserve">: </w:t>
      </w:r>
      <w:r w:rsidR="004D7A51">
        <w:t>Active Cases. Additionally, the Household Size was significant at the p &lt;= 0.1 level.</w:t>
      </w:r>
    </w:p>
    <w:p w14:paraId="31AD6EE1" w14:textId="213FB9BC" w:rsidR="004D7A51" w:rsidRDefault="004D7A51" w:rsidP="000812DF">
      <w:pPr>
        <w:ind w:firstLine="720"/>
      </w:pPr>
      <w:r>
        <w:t>In the Poisson regression, the exponent of the coefficients can be interpreted as the percentage change in the dependent variable for each percent change in the independent variable. At the mean Exposure Rate of 2.8 people per day, a 1% change is approximately equivalent to 0.28 people per day.</w:t>
      </w:r>
    </w:p>
    <w:p w14:paraId="153D4C83" w14:textId="6C956313" w:rsidR="004D7A51" w:rsidRDefault="004D7A51" w:rsidP="004D7A51">
      <w:pPr>
        <w:pStyle w:val="Heading4"/>
      </w:pPr>
      <w:r>
        <w:lastRenderedPageBreak/>
        <w:t>Active Cases</w:t>
      </w:r>
    </w:p>
    <w:p w14:paraId="08EE3321" w14:textId="12CDE361" w:rsidR="004D7A51" w:rsidRDefault="004D7A51" w:rsidP="004D7A51">
      <w:pPr>
        <w:ind w:firstLine="720"/>
      </w:pPr>
      <w:r>
        <w:t xml:space="preserve">Active Cases </w:t>
      </w:r>
      <w:r>
        <w:t xml:space="preserve">was found significant at the p </w:t>
      </w:r>
      <w:r>
        <w:t>= 0.</w:t>
      </w:r>
      <w:r>
        <w:t>0</w:t>
      </w:r>
      <w:r>
        <w:t>05</w:t>
      </w:r>
      <w:r>
        <w:t xml:space="preserve"> level. The coefficient of </w:t>
      </w:r>
      <w:r>
        <w:rPr>
          <w:rFonts w:ascii="Helvetica" w:hAnsi="Helvetica" w:cs="Helvetica"/>
          <w:color w:val="000000"/>
          <w:sz w:val="18"/>
          <w:szCs w:val="18"/>
          <w:shd w:val="clear" w:color="auto" w:fill="FFFFFF"/>
        </w:rPr>
        <w:t>-2.74e-5</w:t>
      </w:r>
      <w:r>
        <w:rPr>
          <w:rFonts w:ascii="Helvetica" w:hAnsi="Helvetica" w:cs="Helvetica"/>
          <w:color w:val="000000"/>
          <w:sz w:val="18"/>
          <w:szCs w:val="18"/>
          <w:shd w:val="clear" w:color="auto" w:fill="FFFFFF"/>
        </w:rPr>
        <w:t xml:space="preserve"> </w:t>
      </w:r>
      <w:r>
        <w:t xml:space="preserve">translates to a change of </w:t>
      </w:r>
      <w:r>
        <w:t>0.000027</w:t>
      </w:r>
      <w:r>
        <w:t>%. A</w:t>
      </w:r>
      <w:r>
        <w:t>n additional 100</w:t>
      </w:r>
      <w:r w:rsidR="005B025F">
        <w:t>0</w:t>
      </w:r>
      <w:r>
        <w:t xml:space="preserve"> active cases would reduce the Exposure Rate by around </w:t>
      </w:r>
      <w:r w:rsidR="005B025F">
        <w:t>0</w:t>
      </w:r>
      <w:r>
        <w:t>.00</w:t>
      </w:r>
      <w:r w:rsidR="005B025F">
        <w:t>0756 people per day. So while the relationship was found to be significant, the effect is minimal and generally not material in this context.</w:t>
      </w:r>
    </w:p>
    <w:p w14:paraId="60BBB775" w14:textId="5D141D45" w:rsidR="005B025F" w:rsidRDefault="005B025F" w:rsidP="005B025F">
      <w:pPr>
        <w:pStyle w:val="Heading4"/>
      </w:pPr>
      <w:r>
        <w:t>Household Size</w:t>
      </w:r>
    </w:p>
    <w:p w14:paraId="519E5127" w14:textId="6FAD2392" w:rsidR="005B025F" w:rsidRDefault="005B025F" w:rsidP="005B025F">
      <w:pPr>
        <w:ind w:firstLine="720"/>
      </w:pPr>
      <w:r>
        <w:t>Household Size</w:t>
      </w:r>
      <w:r>
        <w:t xml:space="preserve"> was found significant at the p = 0.</w:t>
      </w:r>
      <w:r>
        <w:t>098</w:t>
      </w:r>
      <w:r>
        <w:t xml:space="preserve"> level. The coefficient of</w:t>
      </w:r>
      <w:r>
        <w:t xml:space="preserve"> 0.</w:t>
      </w:r>
      <w:r>
        <w:rPr>
          <w:rFonts w:ascii="Helvetica" w:hAnsi="Helvetica" w:cs="Helvetica"/>
          <w:color w:val="000000"/>
          <w:sz w:val="18"/>
          <w:szCs w:val="18"/>
          <w:shd w:val="clear" w:color="auto" w:fill="FFFFFF"/>
        </w:rPr>
        <w:t>2041</w:t>
      </w:r>
      <w:r>
        <w:rPr>
          <w:rFonts w:ascii="Helvetica" w:hAnsi="Helvetica" w:cs="Helvetica"/>
          <w:color w:val="000000"/>
          <w:sz w:val="18"/>
          <w:szCs w:val="18"/>
          <w:shd w:val="clear" w:color="auto" w:fill="FFFFFF"/>
        </w:rPr>
        <w:t xml:space="preserve"> </w:t>
      </w:r>
      <w:r>
        <w:t xml:space="preserve">translates to a change of </w:t>
      </w:r>
      <w:r>
        <w:t>22.6</w:t>
      </w:r>
      <w:r>
        <w:t xml:space="preserve">%. An additional </w:t>
      </w:r>
      <w:r>
        <w:t>1 average person per household</w:t>
      </w:r>
      <w:r>
        <w:t xml:space="preserve"> would </w:t>
      </w:r>
      <w:r>
        <w:t>increase</w:t>
      </w:r>
      <w:r>
        <w:t xml:space="preserve"> the Exposure Rate by around </w:t>
      </w:r>
      <w:r>
        <w:t>6.3</w:t>
      </w:r>
      <w:r>
        <w:t xml:space="preserve"> people per day. </w:t>
      </w:r>
      <w:r>
        <w:t>While the significance of this relationship is less certain, the impact is dramatic.</w:t>
      </w:r>
    </w:p>
    <w:p w14:paraId="13E09699" w14:textId="29FE2F3E" w:rsidR="005B025F" w:rsidRDefault="005B025F" w:rsidP="005B025F">
      <w:pPr>
        <w:ind w:firstLine="720"/>
      </w:pPr>
    </w:p>
    <w:p w14:paraId="17673831" w14:textId="4ADF7E86" w:rsidR="005B025F" w:rsidRDefault="00FD0A97" w:rsidP="00FD0A97">
      <w:pPr>
        <w:pStyle w:val="Heading1"/>
      </w:pPr>
      <w:r>
        <w:t>Discussion</w:t>
      </w:r>
    </w:p>
    <w:p w14:paraId="7B05C885" w14:textId="0C924FE7" w:rsidR="00FD0A97" w:rsidRDefault="00BD780A" w:rsidP="00FD0A97">
      <w:r>
        <w:tab/>
      </w:r>
      <w:r w:rsidR="009B2BFD">
        <w:t xml:space="preserve">The </w:t>
      </w:r>
      <w:r w:rsidR="00DD0D1E">
        <w:t>results are not entirely as expected but do suggest some interesting avenues of further study. The transmission model appears to be effective and could lead to more behaviorally-focused analysis of the pandemic. However, some verification of the parameter interpretations would be required. The analysis of low</w:t>
      </w:r>
      <w:r w:rsidR="000C7C8E">
        <w:t>-</w:t>
      </w:r>
      <w:r w:rsidR="00DD0D1E">
        <w:t>income housing on the model parameters failed to find any relation between low</w:t>
      </w:r>
      <w:r w:rsidR="000C7C8E">
        <w:t>-</w:t>
      </w:r>
      <w:r w:rsidR="00DD0D1E">
        <w:t xml:space="preserve">income units and either transmission or exposure, but </w:t>
      </w:r>
      <w:r w:rsidR="000C7C8E">
        <w:t>did suggest that household size, a related measurement, could impact both.</w:t>
      </w:r>
    </w:p>
    <w:p w14:paraId="6410182C" w14:textId="26463F67" w:rsidR="008D4EE2" w:rsidRDefault="008D4EE2" w:rsidP="008D4EE2">
      <w:pPr>
        <w:pStyle w:val="Heading2"/>
      </w:pPr>
      <w:r>
        <w:t>Transmission Model</w:t>
      </w:r>
    </w:p>
    <w:p w14:paraId="64B92431" w14:textId="77777777" w:rsidR="000C7C8E" w:rsidRDefault="000C7C8E" w:rsidP="00FD0A97">
      <w:r>
        <w:tab/>
        <w:t xml:space="preserve">The transmission model was seen to create strong fits to the data, which is an indication that it may be a useful model. The value in this model is that it reduces case growth to more human factors, where transmission chance and especially exposure rate are more easily attributable to human behavior than other methods of measuring infection spread, such as the generic environment to human rate used in </w:t>
      </w:r>
      <w:sdt>
        <w:sdtPr>
          <w:id w:val="-914782633"/>
          <w:citation/>
        </w:sdtPr>
        <w:sdtContent>
          <w:r>
            <w:fldChar w:fldCharType="begin"/>
          </w:r>
          <w:r>
            <w:instrText xml:space="preserve"> CITATION Yan20 \l 1033 </w:instrText>
          </w:r>
          <w:r>
            <w:fldChar w:fldCharType="separate"/>
          </w:r>
          <w:r>
            <w:rPr>
              <w:noProof/>
            </w:rPr>
            <w:t>(Yang &amp; Wang, 2020)</w:t>
          </w:r>
          <w:r>
            <w:fldChar w:fldCharType="end"/>
          </w:r>
        </w:sdtContent>
      </w:sdt>
      <w:r>
        <w:t xml:space="preserve">. </w:t>
      </w:r>
    </w:p>
    <w:p w14:paraId="2D559704" w14:textId="612DFEC2" w:rsidR="000C7C8E" w:rsidRDefault="000C7C8E" w:rsidP="000C7C8E">
      <w:pPr>
        <w:ind w:firstLine="720"/>
      </w:pPr>
      <w:r>
        <w:t>There are two primary benefits to this. The first is that this lends a</w:t>
      </w:r>
      <w:r w:rsidR="00012D9B">
        <w:t>n additional</w:t>
      </w:r>
      <w:r>
        <w:t xml:space="preserve"> level of </w:t>
      </w:r>
      <w:proofErr w:type="spellStart"/>
      <w:r>
        <w:t>interprability</w:t>
      </w:r>
      <w:proofErr w:type="spellEnd"/>
      <w:r w:rsidR="00012D9B">
        <w:t xml:space="preserve"> and granularity </w:t>
      </w:r>
      <w:r>
        <w:t xml:space="preserve">to results. In this study, Mask Compliance was found to have a strong negative correlation with transmission chance, but </w:t>
      </w:r>
      <w:r w:rsidR="00012D9B">
        <w:t>no relation to exposure rate. This relation is supported by the real-world interpretation: its logical that mask usage could lower transmission chances, and would be harder to explain why it could impact exposure rates. It can also help exposure relationships that may have been hidden before. In this study, household size was found to have a negative correlation with transmission chance and a positive one with exposure rate. It’s possible that when looking at just case growth, the opposite effects would cancel out and no relationship would be detected.</w:t>
      </w:r>
    </w:p>
    <w:p w14:paraId="3C9349B2" w14:textId="33073E5B" w:rsidR="00012D9B" w:rsidRDefault="00012D9B" w:rsidP="000C7C8E">
      <w:pPr>
        <w:ind w:firstLine="720"/>
      </w:pPr>
      <w:r>
        <w:t xml:space="preserve">The second benefit is that this model could help to inform the best methods to reduce spread. Depending on the current rates, number of active cases and ratio of vulnerable population, changes in transmission chance and exposure rate will have different effects on new case count. In some situations, reducing </w:t>
      </w:r>
      <w:r w:rsidR="008D4EE2">
        <w:t>exposure rate may be very impactful, while in others it may be less useful than reducing transmission chance. This could help policy makers determine the best usage of resources, such as when to focus on mask compliance or when to focus on reducing gathering sizes.</w:t>
      </w:r>
    </w:p>
    <w:p w14:paraId="37EFFB8E" w14:textId="1C4DC9E3" w:rsidR="008D4EE2" w:rsidRDefault="008D4EE2" w:rsidP="008D4EE2">
      <w:pPr>
        <w:pStyle w:val="Heading2"/>
      </w:pPr>
      <w:r>
        <w:lastRenderedPageBreak/>
        <w:t>Affordable Housing</w:t>
      </w:r>
    </w:p>
    <w:p w14:paraId="6F46CA46" w14:textId="77777777" w:rsidR="008D4EE2" w:rsidRPr="008D4EE2" w:rsidRDefault="008D4EE2" w:rsidP="008D4EE2"/>
    <w:p w14:paraId="67B3C0B9" w14:textId="6DE35B08" w:rsidR="005B025F" w:rsidRPr="005B025F" w:rsidRDefault="005B025F" w:rsidP="005B025F"/>
    <w:p w14:paraId="0A8B5C74" w14:textId="77777777" w:rsidR="000812DF" w:rsidRPr="000812DF" w:rsidRDefault="000812DF" w:rsidP="000812DF"/>
    <w:p w14:paraId="7A92FD87" w14:textId="77777777" w:rsidR="000812DF" w:rsidRPr="00A8158A" w:rsidRDefault="000812DF" w:rsidP="000812DF">
      <w:pPr>
        <w:pStyle w:val="Heading3"/>
      </w:pPr>
    </w:p>
    <w:sdt>
      <w:sdtPr>
        <w:rPr>
          <w:rFonts w:asciiTheme="minorHAnsi" w:eastAsiaTheme="minorHAnsi" w:hAnsiTheme="minorHAnsi" w:cstheme="minorBidi"/>
          <w:color w:val="auto"/>
          <w:sz w:val="22"/>
          <w:szCs w:val="22"/>
        </w:rPr>
        <w:id w:val="1014416935"/>
        <w:docPartObj>
          <w:docPartGallery w:val="Bibliographies"/>
          <w:docPartUnique/>
        </w:docPartObj>
      </w:sdtPr>
      <w:sdtEndPr>
        <w:rPr>
          <w:b/>
          <w:bCs/>
        </w:rPr>
      </w:sdtEndPr>
      <w:sdtContent>
        <w:p w14:paraId="6586897D" w14:textId="4B5BF36D" w:rsidR="002F75F7" w:rsidRDefault="002F75F7">
          <w:pPr>
            <w:pStyle w:val="Heading1"/>
          </w:pPr>
          <w:r>
            <w:t>Works Cited</w:t>
          </w:r>
        </w:p>
        <w:p w14:paraId="72E5F17C" w14:textId="77777777" w:rsidR="008176EC" w:rsidRDefault="002F75F7" w:rsidP="008176EC">
          <w:pPr>
            <w:pStyle w:val="Bibliography"/>
            <w:ind w:left="720" w:hanging="720"/>
            <w:rPr>
              <w:noProof/>
              <w:sz w:val="24"/>
              <w:szCs w:val="24"/>
            </w:rPr>
          </w:pPr>
          <w:r>
            <w:fldChar w:fldCharType="begin"/>
          </w:r>
          <w:r>
            <w:instrText xml:space="preserve"> BIBLIOGRAPHY </w:instrText>
          </w:r>
          <w:r>
            <w:fldChar w:fldCharType="separate"/>
          </w:r>
          <w:r w:rsidR="008176EC">
            <w:rPr>
              <w:noProof/>
            </w:rPr>
            <w:t xml:space="preserve">Ahmad, K. e. (2020). Association of poor housing conditions with COVID-19 incidence and mortality across US counties. </w:t>
          </w:r>
          <w:r w:rsidR="008176EC">
            <w:rPr>
              <w:i/>
              <w:iCs/>
              <w:noProof/>
            </w:rPr>
            <w:t>Plos One</w:t>
          </w:r>
          <w:r w:rsidR="008176EC">
            <w:rPr>
              <w:noProof/>
            </w:rPr>
            <w:t>. Retrieved from https://journals.plos.org/plosone/article?id=10.1371/journal.pone.0241327</w:t>
          </w:r>
        </w:p>
        <w:p w14:paraId="7A6E06F9" w14:textId="77777777" w:rsidR="008176EC" w:rsidRDefault="008176EC" w:rsidP="008176EC">
          <w:pPr>
            <w:pStyle w:val="Bibliography"/>
            <w:ind w:left="720" w:hanging="720"/>
            <w:rPr>
              <w:noProof/>
            </w:rPr>
          </w:pPr>
          <w:r>
            <w:rPr>
              <w:noProof/>
            </w:rPr>
            <w:t xml:space="preserve">Benfer, E. A. (2021). Eviction, Health Inequity, and the Spread of COVID-19: Housing Policy as a Primary Pandemic Mitigation Strategy. </w:t>
          </w:r>
          <w:r>
            <w:rPr>
              <w:i/>
              <w:iCs/>
              <w:noProof/>
            </w:rPr>
            <w:t>J Urban Health</w:t>
          </w:r>
          <w:r>
            <w:rPr>
              <w:noProof/>
            </w:rPr>
            <w:t>. Retrieved from https://www.ncbi.nlm.nih.gov/pmc/articles/PMC7790520/</w:t>
          </w:r>
        </w:p>
        <w:p w14:paraId="6A0E7212" w14:textId="77777777" w:rsidR="008176EC" w:rsidRDefault="008176EC" w:rsidP="008176EC">
          <w:pPr>
            <w:pStyle w:val="Bibliography"/>
            <w:ind w:left="720" w:hanging="720"/>
            <w:rPr>
              <w:noProof/>
            </w:rPr>
          </w:pPr>
          <w:r>
            <w:rPr>
              <w:noProof/>
            </w:rPr>
            <w:t xml:space="preserve">Yang, C., &amp; Wang, J. (2020). Modeling the transmission of COVID-19 in the US – A case study. </w:t>
          </w:r>
          <w:r>
            <w:rPr>
              <w:i/>
              <w:iCs/>
              <w:noProof/>
            </w:rPr>
            <w:t>Science Direct</w:t>
          </w:r>
          <w:r>
            <w:rPr>
              <w:noProof/>
            </w:rPr>
            <w:t>. Retrieved from https://www.sciencedirect.com/science/article/pii/S246804272030110X</w:t>
          </w:r>
        </w:p>
        <w:p w14:paraId="755570BA" w14:textId="1E5FA692" w:rsidR="002F75F7" w:rsidRDefault="002F75F7" w:rsidP="008176EC">
          <w:r>
            <w:rPr>
              <w:b/>
              <w:bCs/>
            </w:rPr>
            <w:fldChar w:fldCharType="end"/>
          </w:r>
        </w:p>
      </w:sdtContent>
    </w:sdt>
    <w:p w14:paraId="7441E96E" w14:textId="14FA208D" w:rsidR="00094912" w:rsidRPr="00094912" w:rsidRDefault="00094912" w:rsidP="00094912"/>
    <w:sectPr w:rsidR="00094912" w:rsidRPr="0009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AA"/>
    <w:rsid w:val="00012D9B"/>
    <w:rsid w:val="000812DF"/>
    <w:rsid w:val="00094912"/>
    <w:rsid w:val="000A30D6"/>
    <w:rsid w:val="000C7C8E"/>
    <w:rsid w:val="001239F8"/>
    <w:rsid w:val="00167152"/>
    <w:rsid w:val="00176CA8"/>
    <w:rsid w:val="001E0D65"/>
    <w:rsid w:val="00220F8C"/>
    <w:rsid w:val="00244643"/>
    <w:rsid w:val="0026793A"/>
    <w:rsid w:val="0029390B"/>
    <w:rsid w:val="002C3503"/>
    <w:rsid w:val="002F75F7"/>
    <w:rsid w:val="003142AA"/>
    <w:rsid w:val="00394FD4"/>
    <w:rsid w:val="00490225"/>
    <w:rsid w:val="004D7A51"/>
    <w:rsid w:val="0050316E"/>
    <w:rsid w:val="0053131A"/>
    <w:rsid w:val="005B025F"/>
    <w:rsid w:val="00617B87"/>
    <w:rsid w:val="006348B0"/>
    <w:rsid w:val="00642920"/>
    <w:rsid w:val="006B655A"/>
    <w:rsid w:val="006C18ED"/>
    <w:rsid w:val="006E3EB5"/>
    <w:rsid w:val="0077366A"/>
    <w:rsid w:val="007960CE"/>
    <w:rsid w:val="008018B2"/>
    <w:rsid w:val="008176EC"/>
    <w:rsid w:val="008D4EE2"/>
    <w:rsid w:val="009136F0"/>
    <w:rsid w:val="009608C8"/>
    <w:rsid w:val="009B2BFD"/>
    <w:rsid w:val="00A8158A"/>
    <w:rsid w:val="00A8259B"/>
    <w:rsid w:val="00A91904"/>
    <w:rsid w:val="00AB6A80"/>
    <w:rsid w:val="00AE634F"/>
    <w:rsid w:val="00B4297C"/>
    <w:rsid w:val="00BD780A"/>
    <w:rsid w:val="00BF2F9B"/>
    <w:rsid w:val="00C43D51"/>
    <w:rsid w:val="00C549A2"/>
    <w:rsid w:val="00C95A8E"/>
    <w:rsid w:val="00CF6A9C"/>
    <w:rsid w:val="00DD0D1E"/>
    <w:rsid w:val="00E30508"/>
    <w:rsid w:val="00E42600"/>
    <w:rsid w:val="00E55758"/>
    <w:rsid w:val="00F443A0"/>
    <w:rsid w:val="00F45B66"/>
    <w:rsid w:val="00F629E4"/>
    <w:rsid w:val="00F83323"/>
    <w:rsid w:val="00FA1981"/>
    <w:rsid w:val="00FD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0972"/>
  <w15:chartTrackingRefBased/>
  <w15:docId w15:val="{144DAFD3-F06C-4B61-8622-8AAE9400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25F"/>
  </w:style>
  <w:style w:type="paragraph" w:styleId="Heading1">
    <w:name w:val="heading 1"/>
    <w:basedOn w:val="Normal"/>
    <w:next w:val="Normal"/>
    <w:link w:val="Heading1Char"/>
    <w:uiPriority w:val="9"/>
    <w:qFormat/>
    <w:rsid w:val="00C54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7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2F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9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9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49A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49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491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67152"/>
  </w:style>
  <w:style w:type="paragraph" w:customStyle="1" w:styleId="Default">
    <w:name w:val="Default"/>
    <w:rsid w:val="00F443A0"/>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6348B0"/>
    <w:rPr>
      <w:color w:val="808080"/>
    </w:rPr>
  </w:style>
  <w:style w:type="character" w:customStyle="1" w:styleId="Heading3Char">
    <w:name w:val="Heading 3 Char"/>
    <w:basedOn w:val="DefaultParagraphFont"/>
    <w:link w:val="Heading3"/>
    <w:uiPriority w:val="9"/>
    <w:rsid w:val="002679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2F9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1877">
      <w:bodyDiv w:val="1"/>
      <w:marLeft w:val="0"/>
      <w:marRight w:val="0"/>
      <w:marTop w:val="0"/>
      <w:marBottom w:val="0"/>
      <w:divBdr>
        <w:top w:val="none" w:sz="0" w:space="0" w:color="auto"/>
        <w:left w:val="none" w:sz="0" w:space="0" w:color="auto"/>
        <w:bottom w:val="none" w:sz="0" w:space="0" w:color="auto"/>
        <w:right w:val="none" w:sz="0" w:space="0" w:color="auto"/>
      </w:divBdr>
    </w:div>
    <w:div w:id="231818989">
      <w:bodyDiv w:val="1"/>
      <w:marLeft w:val="0"/>
      <w:marRight w:val="0"/>
      <w:marTop w:val="0"/>
      <w:marBottom w:val="0"/>
      <w:divBdr>
        <w:top w:val="none" w:sz="0" w:space="0" w:color="auto"/>
        <w:left w:val="none" w:sz="0" w:space="0" w:color="auto"/>
        <w:bottom w:val="none" w:sz="0" w:space="0" w:color="auto"/>
        <w:right w:val="none" w:sz="0" w:space="0" w:color="auto"/>
      </w:divBdr>
    </w:div>
    <w:div w:id="245380272">
      <w:bodyDiv w:val="1"/>
      <w:marLeft w:val="0"/>
      <w:marRight w:val="0"/>
      <w:marTop w:val="0"/>
      <w:marBottom w:val="0"/>
      <w:divBdr>
        <w:top w:val="none" w:sz="0" w:space="0" w:color="auto"/>
        <w:left w:val="none" w:sz="0" w:space="0" w:color="auto"/>
        <w:bottom w:val="none" w:sz="0" w:space="0" w:color="auto"/>
        <w:right w:val="none" w:sz="0" w:space="0" w:color="auto"/>
      </w:divBdr>
    </w:div>
    <w:div w:id="461659427">
      <w:bodyDiv w:val="1"/>
      <w:marLeft w:val="0"/>
      <w:marRight w:val="0"/>
      <w:marTop w:val="0"/>
      <w:marBottom w:val="0"/>
      <w:divBdr>
        <w:top w:val="none" w:sz="0" w:space="0" w:color="auto"/>
        <w:left w:val="none" w:sz="0" w:space="0" w:color="auto"/>
        <w:bottom w:val="none" w:sz="0" w:space="0" w:color="auto"/>
        <w:right w:val="none" w:sz="0" w:space="0" w:color="auto"/>
      </w:divBdr>
    </w:div>
    <w:div w:id="502546688">
      <w:bodyDiv w:val="1"/>
      <w:marLeft w:val="0"/>
      <w:marRight w:val="0"/>
      <w:marTop w:val="0"/>
      <w:marBottom w:val="0"/>
      <w:divBdr>
        <w:top w:val="none" w:sz="0" w:space="0" w:color="auto"/>
        <w:left w:val="none" w:sz="0" w:space="0" w:color="auto"/>
        <w:bottom w:val="none" w:sz="0" w:space="0" w:color="auto"/>
        <w:right w:val="none" w:sz="0" w:space="0" w:color="auto"/>
      </w:divBdr>
    </w:div>
    <w:div w:id="521675206">
      <w:bodyDiv w:val="1"/>
      <w:marLeft w:val="0"/>
      <w:marRight w:val="0"/>
      <w:marTop w:val="0"/>
      <w:marBottom w:val="0"/>
      <w:divBdr>
        <w:top w:val="none" w:sz="0" w:space="0" w:color="auto"/>
        <w:left w:val="none" w:sz="0" w:space="0" w:color="auto"/>
        <w:bottom w:val="none" w:sz="0" w:space="0" w:color="auto"/>
        <w:right w:val="none" w:sz="0" w:space="0" w:color="auto"/>
      </w:divBdr>
    </w:div>
    <w:div w:id="530845773">
      <w:bodyDiv w:val="1"/>
      <w:marLeft w:val="0"/>
      <w:marRight w:val="0"/>
      <w:marTop w:val="0"/>
      <w:marBottom w:val="0"/>
      <w:divBdr>
        <w:top w:val="none" w:sz="0" w:space="0" w:color="auto"/>
        <w:left w:val="none" w:sz="0" w:space="0" w:color="auto"/>
        <w:bottom w:val="none" w:sz="0" w:space="0" w:color="auto"/>
        <w:right w:val="none" w:sz="0" w:space="0" w:color="auto"/>
      </w:divBdr>
    </w:div>
    <w:div w:id="629439988">
      <w:bodyDiv w:val="1"/>
      <w:marLeft w:val="0"/>
      <w:marRight w:val="0"/>
      <w:marTop w:val="0"/>
      <w:marBottom w:val="0"/>
      <w:divBdr>
        <w:top w:val="none" w:sz="0" w:space="0" w:color="auto"/>
        <w:left w:val="none" w:sz="0" w:space="0" w:color="auto"/>
        <w:bottom w:val="none" w:sz="0" w:space="0" w:color="auto"/>
        <w:right w:val="none" w:sz="0" w:space="0" w:color="auto"/>
      </w:divBdr>
    </w:div>
    <w:div w:id="716974607">
      <w:bodyDiv w:val="1"/>
      <w:marLeft w:val="0"/>
      <w:marRight w:val="0"/>
      <w:marTop w:val="0"/>
      <w:marBottom w:val="0"/>
      <w:divBdr>
        <w:top w:val="none" w:sz="0" w:space="0" w:color="auto"/>
        <w:left w:val="none" w:sz="0" w:space="0" w:color="auto"/>
        <w:bottom w:val="none" w:sz="0" w:space="0" w:color="auto"/>
        <w:right w:val="none" w:sz="0" w:space="0" w:color="auto"/>
      </w:divBdr>
    </w:div>
    <w:div w:id="833648419">
      <w:bodyDiv w:val="1"/>
      <w:marLeft w:val="0"/>
      <w:marRight w:val="0"/>
      <w:marTop w:val="0"/>
      <w:marBottom w:val="0"/>
      <w:divBdr>
        <w:top w:val="none" w:sz="0" w:space="0" w:color="auto"/>
        <w:left w:val="none" w:sz="0" w:space="0" w:color="auto"/>
        <w:bottom w:val="none" w:sz="0" w:space="0" w:color="auto"/>
        <w:right w:val="none" w:sz="0" w:space="0" w:color="auto"/>
      </w:divBdr>
    </w:div>
    <w:div w:id="979966166">
      <w:bodyDiv w:val="1"/>
      <w:marLeft w:val="0"/>
      <w:marRight w:val="0"/>
      <w:marTop w:val="0"/>
      <w:marBottom w:val="0"/>
      <w:divBdr>
        <w:top w:val="none" w:sz="0" w:space="0" w:color="auto"/>
        <w:left w:val="none" w:sz="0" w:space="0" w:color="auto"/>
        <w:bottom w:val="none" w:sz="0" w:space="0" w:color="auto"/>
        <w:right w:val="none" w:sz="0" w:space="0" w:color="auto"/>
      </w:divBdr>
    </w:div>
    <w:div w:id="1022131042">
      <w:bodyDiv w:val="1"/>
      <w:marLeft w:val="0"/>
      <w:marRight w:val="0"/>
      <w:marTop w:val="0"/>
      <w:marBottom w:val="0"/>
      <w:divBdr>
        <w:top w:val="none" w:sz="0" w:space="0" w:color="auto"/>
        <w:left w:val="none" w:sz="0" w:space="0" w:color="auto"/>
        <w:bottom w:val="none" w:sz="0" w:space="0" w:color="auto"/>
        <w:right w:val="none" w:sz="0" w:space="0" w:color="auto"/>
      </w:divBdr>
    </w:div>
    <w:div w:id="1029913263">
      <w:bodyDiv w:val="1"/>
      <w:marLeft w:val="0"/>
      <w:marRight w:val="0"/>
      <w:marTop w:val="0"/>
      <w:marBottom w:val="0"/>
      <w:divBdr>
        <w:top w:val="none" w:sz="0" w:space="0" w:color="auto"/>
        <w:left w:val="none" w:sz="0" w:space="0" w:color="auto"/>
        <w:bottom w:val="none" w:sz="0" w:space="0" w:color="auto"/>
        <w:right w:val="none" w:sz="0" w:space="0" w:color="auto"/>
      </w:divBdr>
    </w:div>
    <w:div w:id="1106735029">
      <w:bodyDiv w:val="1"/>
      <w:marLeft w:val="0"/>
      <w:marRight w:val="0"/>
      <w:marTop w:val="0"/>
      <w:marBottom w:val="0"/>
      <w:divBdr>
        <w:top w:val="none" w:sz="0" w:space="0" w:color="auto"/>
        <w:left w:val="none" w:sz="0" w:space="0" w:color="auto"/>
        <w:bottom w:val="none" w:sz="0" w:space="0" w:color="auto"/>
        <w:right w:val="none" w:sz="0" w:space="0" w:color="auto"/>
      </w:divBdr>
    </w:div>
    <w:div w:id="1155995887">
      <w:bodyDiv w:val="1"/>
      <w:marLeft w:val="0"/>
      <w:marRight w:val="0"/>
      <w:marTop w:val="0"/>
      <w:marBottom w:val="0"/>
      <w:divBdr>
        <w:top w:val="none" w:sz="0" w:space="0" w:color="auto"/>
        <w:left w:val="none" w:sz="0" w:space="0" w:color="auto"/>
        <w:bottom w:val="none" w:sz="0" w:space="0" w:color="auto"/>
        <w:right w:val="none" w:sz="0" w:space="0" w:color="auto"/>
      </w:divBdr>
    </w:div>
    <w:div w:id="1214463732">
      <w:bodyDiv w:val="1"/>
      <w:marLeft w:val="0"/>
      <w:marRight w:val="0"/>
      <w:marTop w:val="0"/>
      <w:marBottom w:val="0"/>
      <w:divBdr>
        <w:top w:val="none" w:sz="0" w:space="0" w:color="auto"/>
        <w:left w:val="none" w:sz="0" w:space="0" w:color="auto"/>
        <w:bottom w:val="none" w:sz="0" w:space="0" w:color="auto"/>
        <w:right w:val="none" w:sz="0" w:space="0" w:color="auto"/>
      </w:divBdr>
    </w:div>
    <w:div w:id="1215510384">
      <w:bodyDiv w:val="1"/>
      <w:marLeft w:val="0"/>
      <w:marRight w:val="0"/>
      <w:marTop w:val="0"/>
      <w:marBottom w:val="0"/>
      <w:divBdr>
        <w:top w:val="none" w:sz="0" w:space="0" w:color="auto"/>
        <w:left w:val="none" w:sz="0" w:space="0" w:color="auto"/>
        <w:bottom w:val="none" w:sz="0" w:space="0" w:color="auto"/>
        <w:right w:val="none" w:sz="0" w:space="0" w:color="auto"/>
      </w:divBdr>
    </w:div>
    <w:div w:id="1315136457">
      <w:bodyDiv w:val="1"/>
      <w:marLeft w:val="0"/>
      <w:marRight w:val="0"/>
      <w:marTop w:val="0"/>
      <w:marBottom w:val="0"/>
      <w:divBdr>
        <w:top w:val="none" w:sz="0" w:space="0" w:color="auto"/>
        <w:left w:val="none" w:sz="0" w:space="0" w:color="auto"/>
        <w:bottom w:val="none" w:sz="0" w:space="0" w:color="auto"/>
        <w:right w:val="none" w:sz="0" w:space="0" w:color="auto"/>
      </w:divBdr>
    </w:div>
    <w:div w:id="1403871264">
      <w:bodyDiv w:val="1"/>
      <w:marLeft w:val="0"/>
      <w:marRight w:val="0"/>
      <w:marTop w:val="0"/>
      <w:marBottom w:val="0"/>
      <w:divBdr>
        <w:top w:val="none" w:sz="0" w:space="0" w:color="auto"/>
        <w:left w:val="none" w:sz="0" w:space="0" w:color="auto"/>
        <w:bottom w:val="none" w:sz="0" w:space="0" w:color="auto"/>
        <w:right w:val="none" w:sz="0" w:space="0" w:color="auto"/>
      </w:divBdr>
    </w:div>
    <w:div w:id="1522401655">
      <w:bodyDiv w:val="1"/>
      <w:marLeft w:val="0"/>
      <w:marRight w:val="0"/>
      <w:marTop w:val="0"/>
      <w:marBottom w:val="0"/>
      <w:divBdr>
        <w:top w:val="none" w:sz="0" w:space="0" w:color="auto"/>
        <w:left w:val="none" w:sz="0" w:space="0" w:color="auto"/>
        <w:bottom w:val="none" w:sz="0" w:space="0" w:color="auto"/>
        <w:right w:val="none" w:sz="0" w:space="0" w:color="auto"/>
      </w:divBdr>
    </w:div>
    <w:div w:id="1567255320">
      <w:bodyDiv w:val="1"/>
      <w:marLeft w:val="0"/>
      <w:marRight w:val="0"/>
      <w:marTop w:val="0"/>
      <w:marBottom w:val="0"/>
      <w:divBdr>
        <w:top w:val="none" w:sz="0" w:space="0" w:color="auto"/>
        <w:left w:val="none" w:sz="0" w:space="0" w:color="auto"/>
        <w:bottom w:val="none" w:sz="0" w:space="0" w:color="auto"/>
        <w:right w:val="none" w:sz="0" w:space="0" w:color="auto"/>
      </w:divBdr>
    </w:div>
    <w:div w:id="1957716286">
      <w:bodyDiv w:val="1"/>
      <w:marLeft w:val="0"/>
      <w:marRight w:val="0"/>
      <w:marTop w:val="0"/>
      <w:marBottom w:val="0"/>
      <w:divBdr>
        <w:top w:val="none" w:sz="0" w:space="0" w:color="auto"/>
        <w:left w:val="none" w:sz="0" w:space="0" w:color="auto"/>
        <w:bottom w:val="none" w:sz="0" w:space="0" w:color="auto"/>
        <w:right w:val="none" w:sz="0" w:space="0" w:color="auto"/>
      </w:divBdr>
    </w:div>
    <w:div w:id="1960183920">
      <w:bodyDiv w:val="1"/>
      <w:marLeft w:val="0"/>
      <w:marRight w:val="0"/>
      <w:marTop w:val="0"/>
      <w:marBottom w:val="0"/>
      <w:divBdr>
        <w:top w:val="none" w:sz="0" w:space="0" w:color="auto"/>
        <w:left w:val="none" w:sz="0" w:space="0" w:color="auto"/>
        <w:bottom w:val="none" w:sz="0" w:space="0" w:color="auto"/>
        <w:right w:val="none" w:sz="0" w:space="0" w:color="auto"/>
      </w:divBdr>
    </w:div>
    <w:div w:id="209690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Ahm20</b:Tag>
    <b:SourceType>JournalArticle</b:SourceType>
    <b:Guid>{CB43E194-C12E-4B7E-94EC-0040ED80E6EE}</b:Guid>
    <b:Author>
      <b:Author>
        <b:NameList>
          <b:Person>
            <b:Last>Ahmad</b:Last>
            <b:First>Khansa</b:First>
            <b:Middle>et al.</b:Middle>
          </b:Person>
        </b:NameList>
      </b:Author>
    </b:Author>
    <b:Title>Association of poor housing conditions with COVID-19 incidence and mortality across US counties</b:Title>
    <b:JournalName>Plos One</b:JournalName>
    <b:Year>2020</b:Year>
    <b:URL>https://journals.plos.org/plosone/article?id=10.1371/journal.pone.0241327</b:URL>
    <b:RefOrder>1</b:RefOrder>
  </b:Source>
  <b:Source>
    <b:Tag>Ben21</b:Tag>
    <b:SourceType>JournalArticle</b:SourceType>
    <b:Guid>{FF359303-2BE6-46DE-A575-28FD4D24D2D4}</b:Guid>
    <b:Title>Eviction, Health Inequity, and the Spread of COVID-19: Housing Policy as a Primary Pandemic Mitigation Strategy</b:Title>
    <b:Year>2021</b:Year>
    <b:Author>
      <b:Author>
        <b:NameList>
          <b:Person>
            <b:Last>Benfer</b:Last>
            <b:First>Emily</b:First>
            <b:Middle>A. et al.</b:Middle>
          </b:Person>
        </b:NameList>
      </b:Author>
    </b:Author>
    <b:JournalName>J Urban Health</b:JournalName>
    <b:URL>https://www.ncbi.nlm.nih.gov/pmc/articles/PMC7790520/</b:URL>
    <b:RefOrder>2</b:RefOrder>
  </b:Source>
  <b:Source>
    <b:Tag>Yan20</b:Tag>
    <b:SourceType>JournalArticle</b:SourceType>
    <b:Guid>{760A63D3-1A84-4D21-97F3-B5452485CCA7}</b:Guid>
    <b:Author>
      <b:Author>
        <b:NameList>
          <b:Person>
            <b:Last>Yang</b:Last>
            <b:First>Chayu</b:First>
          </b:Person>
          <b:Person>
            <b:Last>Wang</b:Last>
            <b:First>Jin</b:First>
          </b:Person>
        </b:NameList>
      </b:Author>
    </b:Author>
    <b:Title>Modeling the transmission of COVID-19 in the US – A case study</b:Title>
    <b:JournalName>Science Direct</b:JournalName>
    <b:Year>2020</b:Year>
    <b:URL>https://www.sciencedirect.com/science/article/pii/S246804272030110X</b:URL>
    <b:RefOrder>3</b:RefOrder>
  </b:Source>
</b:Sources>
</file>

<file path=customXml/itemProps1.xml><?xml version="1.0" encoding="utf-8"?>
<ds:datastoreItem xmlns:ds="http://schemas.openxmlformats.org/officeDocument/2006/customXml" ds:itemID="{16C3675A-A2AA-4833-BE03-7123C398B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11</Pages>
  <Words>2794</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Case</dc:creator>
  <cp:keywords/>
  <dc:description/>
  <cp:lastModifiedBy>Caleb Case</cp:lastModifiedBy>
  <cp:revision>12</cp:revision>
  <dcterms:created xsi:type="dcterms:W3CDTF">2021-12-11T19:57:00Z</dcterms:created>
  <dcterms:modified xsi:type="dcterms:W3CDTF">2021-12-13T18:45:00Z</dcterms:modified>
</cp:coreProperties>
</file>