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5D4C1" w14:textId="70689FF7" w:rsidR="008F6465" w:rsidRDefault="00000000">
      <w:pPr>
        <w:jc w:val="center"/>
      </w:pPr>
      <w:r>
        <w:rPr>
          <w:b/>
          <w:color w:val="1E56A0"/>
          <w:sz w:val="44"/>
        </w:rPr>
        <w:t>Internal IT Ticket LLM Program</w:t>
      </w:r>
    </w:p>
    <w:p w14:paraId="341FB9C5" w14:textId="77777777" w:rsidR="008F6465" w:rsidRDefault="00000000">
      <w:pPr>
        <w:jc w:val="center"/>
      </w:pPr>
      <w:r>
        <w:rPr>
          <w:color w:val="5C6773"/>
          <w:sz w:val="22"/>
        </w:rPr>
        <w:t>Secure, air-gapped enterprise AI assistant for IT service operations</w:t>
      </w:r>
    </w:p>
    <w:p w14:paraId="4026833F" w14:textId="77777777" w:rsidR="008F6465" w:rsidRDefault="00000000">
      <w:pPr>
        <w:jc w:val="center"/>
      </w:pPr>
      <w:r>
        <w:rPr>
          <w:color w:val="5C6773"/>
          <w:sz w:val="17"/>
        </w:rPr>
        <w:t>Prepared May 1, 2026 | Planning basis: $70.5B revenue, 470,000+ employees, 180,000+ active engagements/customers</w:t>
      </w:r>
    </w:p>
    <w:tbl>
      <w:tblPr>
        <w:tblStyle w:val="TableGrid"/>
        <w:tblW w:w="0" w:type="auto"/>
        <w:jc w:val="center"/>
        <w:tblLook w:val="04A0" w:firstRow="1" w:lastRow="0" w:firstColumn="1" w:lastColumn="0" w:noHBand="0" w:noVBand="1"/>
      </w:tblPr>
      <w:tblGrid>
        <w:gridCol w:w="10570"/>
      </w:tblGrid>
      <w:tr w:rsidR="008F6465" w14:paraId="4C4B2191" w14:textId="77777777">
        <w:trPr>
          <w:jc w:val="center"/>
        </w:trPr>
        <w:tc>
          <w:tcPr>
            <w:tcW w:w="10570" w:type="dxa"/>
            <w:shd w:val="clear" w:color="auto" w:fill="DCE9F8"/>
          </w:tcPr>
          <w:p w14:paraId="2085E912" w14:textId="77777777" w:rsidR="008F6465" w:rsidRDefault="00000000">
            <w:r>
              <w:rPr>
                <w:b/>
                <w:color w:val="1E56A0"/>
              </w:rPr>
              <w:t xml:space="preserve">Executive recommendation: </w:t>
            </w:r>
            <w:r>
              <w:rPr>
                <w:color w:val="1F2937"/>
              </w:rPr>
              <w:t>Build an internal RAG system first, with model weights and inference hosted entirely inside the company network. Fine-tune after the pilot proves where retrieval, ticket taxonomy, and prompt controls are insufficient.</w:t>
            </w:r>
          </w:p>
        </w:tc>
      </w:tr>
    </w:tbl>
    <w:p w14:paraId="7953A332" w14:textId="77777777" w:rsidR="008F6465" w:rsidRDefault="00000000">
      <w:pPr>
        <w:spacing w:before="160" w:after="60"/>
      </w:pPr>
      <w:r>
        <w:rPr>
          <w:b/>
          <w:color w:val="1E56A0"/>
          <w:sz w:val="30"/>
        </w:rPr>
        <w:t>Decision Summary</w:t>
      </w:r>
    </w:p>
    <w:p w14:paraId="18A8A81B" w14:textId="77777777" w:rsidR="008F6465" w:rsidRDefault="00000000">
      <w:pPr>
        <w:spacing w:after="80" w:line="252" w:lineRule="auto"/>
      </w:pPr>
      <w:r>
        <w:rPr>
          <w:color w:val="1F2937"/>
        </w:rPr>
        <w:t>The goal is a private IT support assistant trained and grounded on historical IT tickets, knowledge articles, and operational runbooks. Because privacy and security are paramount, the design assumes no external inference calls, no outbound internet from training or serving networks, signed/offline software supply chain, encrypted storage, strict role-based access, and full audit logging.</w:t>
      </w:r>
    </w:p>
    <w:p w14:paraId="1945DFDD" w14:textId="77777777" w:rsidR="008F6465" w:rsidRDefault="00000000">
      <w:pPr>
        <w:spacing w:after="80" w:line="252" w:lineRule="auto"/>
      </w:pPr>
      <w:r>
        <w:rPr>
          <w:color w:val="1F2937"/>
        </w:rPr>
        <w:t>For a global company at this scale, the first release should be treated as a controlled internal product rather than a lab model. The highest-risk assets are ticket contents, credentials accidentally pasted into tickets, internal hostnames/IPs, customer references, and operational procedures. The safest path is to prove value through retrieval-augmented generation before permanently changing model weights.</w:t>
      </w:r>
    </w:p>
    <w:tbl>
      <w:tblPr>
        <w:tblStyle w:val="TableGrid"/>
        <w:tblW w:w="0" w:type="auto"/>
        <w:jc w:val="center"/>
        <w:tblLook w:val="04A0" w:firstRow="1" w:lastRow="0" w:firstColumn="1" w:lastColumn="0" w:noHBand="0" w:noVBand="1"/>
      </w:tblPr>
      <w:tblGrid>
        <w:gridCol w:w="1944"/>
        <w:gridCol w:w="2232"/>
        <w:gridCol w:w="2592"/>
        <w:gridCol w:w="2376"/>
      </w:tblGrid>
      <w:tr w:rsidR="008F6465" w14:paraId="40F2C8E6" w14:textId="77777777">
        <w:trPr>
          <w:jc w:val="center"/>
        </w:trPr>
        <w:tc>
          <w:tcPr>
            <w:tcW w:w="1944" w:type="dxa"/>
            <w:shd w:val="clear" w:color="auto" w:fill="1E56A0"/>
            <w:vAlign w:val="center"/>
          </w:tcPr>
          <w:p w14:paraId="28A9E2C6" w14:textId="77777777" w:rsidR="008F6465" w:rsidRDefault="00000000">
            <w:r>
              <w:rPr>
                <w:b/>
                <w:color w:val="FFFFFF"/>
                <w:sz w:val="16"/>
              </w:rPr>
              <w:t>Planning view</w:t>
            </w:r>
          </w:p>
        </w:tc>
        <w:tc>
          <w:tcPr>
            <w:tcW w:w="2232" w:type="dxa"/>
            <w:shd w:val="clear" w:color="auto" w:fill="1E56A0"/>
            <w:vAlign w:val="center"/>
          </w:tcPr>
          <w:p w14:paraId="186D9655" w14:textId="77777777" w:rsidR="008F6465" w:rsidRDefault="00000000">
            <w:r>
              <w:rPr>
                <w:b/>
                <w:color w:val="FFFFFF"/>
                <w:sz w:val="16"/>
              </w:rPr>
              <w:t>Pilot</w:t>
            </w:r>
          </w:p>
        </w:tc>
        <w:tc>
          <w:tcPr>
            <w:tcW w:w="2592" w:type="dxa"/>
            <w:shd w:val="clear" w:color="auto" w:fill="1E56A0"/>
            <w:vAlign w:val="center"/>
          </w:tcPr>
          <w:p w14:paraId="3F2CEA89" w14:textId="77777777" w:rsidR="008F6465" w:rsidRDefault="00000000">
            <w:r>
              <w:rPr>
                <w:b/>
                <w:color w:val="FFFFFF"/>
                <w:sz w:val="16"/>
              </w:rPr>
              <w:t>Baseline enterprise build</w:t>
            </w:r>
          </w:p>
        </w:tc>
        <w:tc>
          <w:tcPr>
            <w:tcW w:w="2376" w:type="dxa"/>
            <w:shd w:val="clear" w:color="auto" w:fill="1E56A0"/>
            <w:vAlign w:val="center"/>
          </w:tcPr>
          <w:p w14:paraId="392E5154" w14:textId="77777777" w:rsidR="008F6465" w:rsidRDefault="00000000">
            <w:r>
              <w:rPr>
                <w:b/>
                <w:color w:val="FFFFFF"/>
                <w:sz w:val="16"/>
              </w:rPr>
              <w:t>Scaled HA program</w:t>
            </w:r>
          </w:p>
        </w:tc>
      </w:tr>
      <w:tr w:rsidR="008F6465" w14:paraId="32913CAA" w14:textId="77777777">
        <w:trPr>
          <w:jc w:val="center"/>
        </w:trPr>
        <w:tc>
          <w:tcPr>
            <w:tcW w:w="1944" w:type="dxa"/>
            <w:vAlign w:val="center"/>
          </w:tcPr>
          <w:p w14:paraId="3D120109" w14:textId="77777777" w:rsidR="008F6465" w:rsidRDefault="00000000">
            <w:r>
              <w:rPr>
                <w:b/>
                <w:color w:val="1F2937"/>
                <w:sz w:val="15"/>
              </w:rPr>
              <w:t>Purpose</w:t>
            </w:r>
          </w:p>
        </w:tc>
        <w:tc>
          <w:tcPr>
            <w:tcW w:w="2232" w:type="dxa"/>
            <w:vAlign w:val="center"/>
          </w:tcPr>
          <w:p w14:paraId="76BE9C2B" w14:textId="77777777" w:rsidR="008F6465" w:rsidRDefault="00000000">
            <w:r>
              <w:rPr>
                <w:color w:val="1F2937"/>
                <w:sz w:val="15"/>
              </w:rPr>
              <w:t>One domain, limited users</w:t>
            </w:r>
          </w:p>
        </w:tc>
        <w:tc>
          <w:tcPr>
            <w:tcW w:w="2592" w:type="dxa"/>
            <w:vAlign w:val="center"/>
          </w:tcPr>
          <w:p w14:paraId="097A1F07" w14:textId="77777777" w:rsidR="008F6465" w:rsidRDefault="00000000">
            <w:r>
              <w:rPr>
                <w:color w:val="1F2937"/>
                <w:sz w:val="15"/>
              </w:rPr>
              <w:t>Multi-domain IT support</w:t>
            </w:r>
          </w:p>
        </w:tc>
        <w:tc>
          <w:tcPr>
            <w:tcW w:w="2376" w:type="dxa"/>
            <w:vAlign w:val="center"/>
          </w:tcPr>
          <w:p w14:paraId="2D04F755" w14:textId="77777777" w:rsidR="008F6465" w:rsidRDefault="00000000">
            <w:r>
              <w:rPr>
                <w:color w:val="1F2937"/>
                <w:sz w:val="15"/>
              </w:rPr>
              <w:t>Global production service</w:t>
            </w:r>
          </w:p>
        </w:tc>
      </w:tr>
      <w:tr w:rsidR="008F6465" w14:paraId="30B84BA4" w14:textId="77777777">
        <w:trPr>
          <w:jc w:val="center"/>
        </w:trPr>
        <w:tc>
          <w:tcPr>
            <w:tcW w:w="1944" w:type="dxa"/>
            <w:vAlign w:val="center"/>
          </w:tcPr>
          <w:p w14:paraId="08D115DC" w14:textId="77777777" w:rsidR="008F6465" w:rsidRDefault="00000000">
            <w:r>
              <w:rPr>
                <w:b/>
                <w:color w:val="1F2937"/>
                <w:sz w:val="15"/>
              </w:rPr>
              <w:t>First-year cost</w:t>
            </w:r>
          </w:p>
        </w:tc>
        <w:tc>
          <w:tcPr>
            <w:tcW w:w="2232" w:type="dxa"/>
            <w:vAlign w:val="center"/>
          </w:tcPr>
          <w:p w14:paraId="58405311" w14:textId="77777777" w:rsidR="008F6465" w:rsidRDefault="00000000">
            <w:r>
              <w:rPr>
                <w:color w:val="1F2937"/>
                <w:sz w:val="15"/>
              </w:rPr>
              <w:t>$2.4M-$3.3M</w:t>
            </w:r>
          </w:p>
        </w:tc>
        <w:tc>
          <w:tcPr>
            <w:tcW w:w="2592" w:type="dxa"/>
            <w:vAlign w:val="center"/>
          </w:tcPr>
          <w:p w14:paraId="36BF8B38" w14:textId="77777777" w:rsidR="008F6465" w:rsidRDefault="00000000">
            <w:r>
              <w:rPr>
                <w:color w:val="1F2937"/>
                <w:sz w:val="15"/>
              </w:rPr>
              <w:t>$7.5M-$10.5M</w:t>
            </w:r>
          </w:p>
        </w:tc>
        <w:tc>
          <w:tcPr>
            <w:tcW w:w="2376" w:type="dxa"/>
            <w:vAlign w:val="center"/>
          </w:tcPr>
          <w:p w14:paraId="6D4CA73A" w14:textId="77777777" w:rsidR="008F6465" w:rsidRDefault="00000000">
            <w:r>
              <w:rPr>
                <w:color w:val="1F2937"/>
                <w:sz w:val="15"/>
              </w:rPr>
              <w:t>$15M-$22M</w:t>
            </w:r>
          </w:p>
        </w:tc>
      </w:tr>
      <w:tr w:rsidR="008F6465" w14:paraId="17539BF4" w14:textId="77777777">
        <w:trPr>
          <w:jc w:val="center"/>
        </w:trPr>
        <w:tc>
          <w:tcPr>
            <w:tcW w:w="1944" w:type="dxa"/>
            <w:vAlign w:val="center"/>
          </w:tcPr>
          <w:p w14:paraId="293A97E3" w14:textId="77777777" w:rsidR="008F6465" w:rsidRDefault="00000000">
            <w:r>
              <w:rPr>
                <w:b/>
                <w:color w:val="1F2937"/>
                <w:sz w:val="15"/>
              </w:rPr>
              <w:t>GPU assumption</w:t>
            </w:r>
          </w:p>
        </w:tc>
        <w:tc>
          <w:tcPr>
            <w:tcW w:w="2232" w:type="dxa"/>
            <w:vAlign w:val="center"/>
          </w:tcPr>
          <w:p w14:paraId="47E1B9FA" w14:textId="77777777" w:rsidR="008F6465" w:rsidRDefault="00000000">
            <w:r>
              <w:rPr>
                <w:color w:val="1F2937"/>
                <w:sz w:val="15"/>
              </w:rPr>
              <w:t>1x 8-GPU H100 class node</w:t>
            </w:r>
          </w:p>
        </w:tc>
        <w:tc>
          <w:tcPr>
            <w:tcW w:w="2592" w:type="dxa"/>
            <w:vAlign w:val="center"/>
          </w:tcPr>
          <w:p w14:paraId="39A895D8" w14:textId="77777777" w:rsidR="008F6465" w:rsidRDefault="00000000">
            <w:r>
              <w:rPr>
                <w:color w:val="1F2937"/>
                <w:sz w:val="15"/>
              </w:rPr>
              <w:t>4x 8-GPU H100 class nodes</w:t>
            </w:r>
          </w:p>
        </w:tc>
        <w:tc>
          <w:tcPr>
            <w:tcW w:w="2376" w:type="dxa"/>
            <w:vAlign w:val="center"/>
          </w:tcPr>
          <w:p w14:paraId="13895A23" w14:textId="77777777" w:rsidR="008F6465" w:rsidRDefault="00000000">
            <w:r>
              <w:rPr>
                <w:color w:val="1F2937"/>
                <w:sz w:val="15"/>
              </w:rPr>
              <w:t>8-12x nodes plus DR/HA</w:t>
            </w:r>
          </w:p>
        </w:tc>
      </w:tr>
      <w:tr w:rsidR="008F6465" w14:paraId="3F057C6C" w14:textId="77777777">
        <w:trPr>
          <w:jc w:val="center"/>
        </w:trPr>
        <w:tc>
          <w:tcPr>
            <w:tcW w:w="1944" w:type="dxa"/>
            <w:vAlign w:val="center"/>
          </w:tcPr>
          <w:p w14:paraId="7D928BB2" w14:textId="77777777" w:rsidR="008F6465" w:rsidRDefault="00000000">
            <w:r>
              <w:rPr>
                <w:b/>
                <w:color w:val="1F2937"/>
                <w:sz w:val="15"/>
              </w:rPr>
              <w:t>Timeline</w:t>
            </w:r>
          </w:p>
        </w:tc>
        <w:tc>
          <w:tcPr>
            <w:tcW w:w="2232" w:type="dxa"/>
            <w:vAlign w:val="center"/>
          </w:tcPr>
          <w:p w14:paraId="7A06245F" w14:textId="77777777" w:rsidR="008F6465" w:rsidRDefault="00000000">
            <w:r>
              <w:rPr>
                <w:color w:val="1F2937"/>
                <w:sz w:val="15"/>
              </w:rPr>
              <w:t>4-6 months</w:t>
            </w:r>
          </w:p>
        </w:tc>
        <w:tc>
          <w:tcPr>
            <w:tcW w:w="2592" w:type="dxa"/>
            <w:vAlign w:val="center"/>
          </w:tcPr>
          <w:p w14:paraId="58AE4254" w14:textId="77777777" w:rsidR="008F6465" w:rsidRDefault="00000000">
            <w:r>
              <w:rPr>
                <w:color w:val="1F2937"/>
                <w:sz w:val="15"/>
              </w:rPr>
              <w:t>12-15 months</w:t>
            </w:r>
          </w:p>
        </w:tc>
        <w:tc>
          <w:tcPr>
            <w:tcW w:w="2376" w:type="dxa"/>
            <w:vAlign w:val="center"/>
          </w:tcPr>
          <w:p w14:paraId="3033670F" w14:textId="77777777" w:rsidR="008F6465" w:rsidRDefault="00000000">
            <w:r>
              <w:rPr>
                <w:color w:val="1F2937"/>
                <w:sz w:val="15"/>
              </w:rPr>
              <w:t>18-24 months</w:t>
            </w:r>
          </w:p>
        </w:tc>
      </w:tr>
      <w:tr w:rsidR="008F6465" w14:paraId="44F85456" w14:textId="77777777">
        <w:trPr>
          <w:jc w:val="center"/>
        </w:trPr>
        <w:tc>
          <w:tcPr>
            <w:tcW w:w="1944" w:type="dxa"/>
            <w:vAlign w:val="center"/>
          </w:tcPr>
          <w:p w14:paraId="50830A22" w14:textId="77777777" w:rsidR="008F6465" w:rsidRDefault="00000000">
            <w:r>
              <w:rPr>
                <w:b/>
                <w:color w:val="1F2937"/>
                <w:sz w:val="15"/>
              </w:rPr>
              <w:t>Best use</w:t>
            </w:r>
          </w:p>
        </w:tc>
        <w:tc>
          <w:tcPr>
            <w:tcW w:w="2232" w:type="dxa"/>
            <w:vAlign w:val="center"/>
          </w:tcPr>
          <w:p w14:paraId="4E289E75" w14:textId="77777777" w:rsidR="008F6465" w:rsidRDefault="00000000">
            <w:r>
              <w:rPr>
                <w:color w:val="1F2937"/>
                <w:sz w:val="15"/>
              </w:rPr>
              <w:t>Prove value safely</w:t>
            </w:r>
          </w:p>
        </w:tc>
        <w:tc>
          <w:tcPr>
            <w:tcW w:w="2592" w:type="dxa"/>
            <w:vAlign w:val="center"/>
          </w:tcPr>
          <w:p w14:paraId="0753BBC2" w14:textId="77777777" w:rsidR="008F6465" w:rsidRDefault="00000000">
            <w:r>
              <w:rPr>
                <w:color w:val="1F2937"/>
                <w:sz w:val="15"/>
              </w:rPr>
              <w:t>Enterprise launch</w:t>
            </w:r>
          </w:p>
        </w:tc>
        <w:tc>
          <w:tcPr>
            <w:tcW w:w="2376" w:type="dxa"/>
            <w:vAlign w:val="center"/>
          </w:tcPr>
          <w:p w14:paraId="3256BF5E" w14:textId="77777777" w:rsidR="008F6465" w:rsidRDefault="00000000">
            <w:r>
              <w:rPr>
                <w:color w:val="1F2937"/>
                <w:sz w:val="15"/>
              </w:rPr>
              <w:t>Global scale + resilience</w:t>
            </w:r>
          </w:p>
        </w:tc>
      </w:tr>
    </w:tbl>
    <w:p w14:paraId="05C84342" w14:textId="77777777" w:rsidR="008F6465" w:rsidRDefault="00000000">
      <w:pPr>
        <w:jc w:val="center"/>
      </w:pPr>
      <w:r>
        <w:rPr>
          <w:noProof/>
        </w:rPr>
        <w:drawing>
          <wp:inline distT="0" distB="0" distL="0" distR="0" wp14:anchorId="1C2F2614" wp14:editId="57D47B58">
            <wp:extent cx="6035040" cy="2735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s.png"/>
                    <pic:cNvPicPr/>
                  </pic:nvPicPr>
                  <pic:blipFill>
                    <a:blip r:embed="rId8"/>
                    <a:stretch>
                      <a:fillRect/>
                    </a:stretch>
                  </pic:blipFill>
                  <pic:spPr>
                    <a:xfrm>
                      <a:off x="0" y="0"/>
                      <a:ext cx="6035040" cy="2735885"/>
                    </a:xfrm>
                    <a:prstGeom prst="rect">
                      <a:avLst/>
                    </a:prstGeom>
                  </pic:spPr>
                </pic:pic>
              </a:graphicData>
            </a:graphic>
          </wp:inline>
        </w:drawing>
      </w:r>
    </w:p>
    <w:p w14:paraId="6EC8F08C" w14:textId="77777777" w:rsidR="008F6465" w:rsidRDefault="00000000">
      <w:r>
        <w:br w:type="page"/>
      </w:r>
    </w:p>
    <w:p w14:paraId="2DC12631" w14:textId="77777777" w:rsidR="008F6465" w:rsidRDefault="00000000">
      <w:pPr>
        <w:spacing w:before="160" w:after="60"/>
      </w:pPr>
      <w:r>
        <w:rPr>
          <w:b/>
          <w:color w:val="1E56A0"/>
          <w:sz w:val="30"/>
        </w:rPr>
        <w:lastRenderedPageBreak/>
        <w:t>First Five Steps</w:t>
      </w:r>
    </w:p>
    <w:tbl>
      <w:tblPr>
        <w:tblStyle w:val="TableGrid"/>
        <w:tblW w:w="0" w:type="auto"/>
        <w:jc w:val="center"/>
        <w:tblLook w:val="04A0" w:firstRow="1" w:lastRow="0" w:firstColumn="1" w:lastColumn="0" w:noHBand="0" w:noVBand="1"/>
      </w:tblPr>
      <w:tblGrid>
        <w:gridCol w:w="2520"/>
        <w:gridCol w:w="6552"/>
      </w:tblGrid>
      <w:tr w:rsidR="008F6465" w14:paraId="68F40983" w14:textId="77777777">
        <w:trPr>
          <w:jc w:val="center"/>
        </w:trPr>
        <w:tc>
          <w:tcPr>
            <w:tcW w:w="2520" w:type="dxa"/>
            <w:shd w:val="clear" w:color="auto" w:fill="1E56A0"/>
            <w:vAlign w:val="center"/>
          </w:tcPr>
          <w:p w14:paraId="65E2FF0A" w14:textId="77777777" w:rsidR="008F6465" w:rsidRDefault="00000000">
            <w:r>
              <w:rPr>
                <w:b/>
                <w:color w:val="FFFFFF"/>
                <w:sz w:val="16"/>
              </w:rPr>
              <w:t>Step</w:t>
            </w:r>
          </w:p>
        </w:tc>
        <w:tc>
          <w:tcPr>
            <w:tcW w:w="6552" w:type="dxa"/>
            <w:shd w:val="clear" w:color="auto" w:fill="1E56A0"/>
            <w:vAlign w:val="center"/>
          </w:tcPr>
          <w:p w14:paraId="505F0949" w14:textId="77777777" w:rsidR="008F6465" w:rsidRDefault="00000000">
            <w:r>
              <w:rPr>
                <w:b/>
                <w:color w:val="FFFFFF"/>
                <w:sz w:val="16"/>
              </w:rPr>
              <w:t>Five operating details</w:t>
            </w:r>
          </w:p>
        </w:tc>
      </w:tr>
      <w:tr w:rsidR="008F6465" w14:paraId="0684F8A9" w14:textId="77777777">
        <w:trPr>
          <w:jc w:val="center"/>
        </w:trPr>
        <w:tc>
          <w:tcPr>
            <w:tcW w:w="2520" w:type="dxa"/>
            <w:vAlign w:val="center"/>
          </w:tcPr>
          <w:p w14:paraId="751DD82E" w14:textId="77777777" w:rsidR="008F6465" w:rsidRDefault="00000000">
            <w:r>
              <w:rPr>
                <w:b/>
                <w:color w:val="1F2937"/>
                <w:sz w:val="15"/>
              </w:rPr>
              <w:t>1. Infrastructure and environment setup</w:t>
            </w:r>
          </w:p>
        </w:tc>
        <w:tc>
          <w:tcPr>
            <w:tcW w:w="6552" w:type="dxa"/>
            <w:vAlign w:val="center"/>
          </w:tcPr>
          <w:p w14:paraId="14FB44A4" w14:textId="77777777" w:rsidR="008F6465" w:rsidRDefault="00000000">
            <w:r>
              <w:rPr>
                <w:color w:val="1F2937"/>
                <w:sz w:val="15"/>
              </w:rPr>
              <w:t>Build the secure foundation before moving data: procure dedicated H100/A100-class systems; implement air-gapped or zero-egress networks; run a private registry/Kubernetes stack; provision encrypted NVMe storage; integrate IAM with AD/SSO, IP controls, and audit trails.</w:t>
            </w:r>
          </w:p>
        </w:tc>
      </w:tr>
      <w:tr w:rsidR="008F6465" w14:paraId="05E90C64" w14:textId="77777777">
        <w:trPr>
          <w:jc w:val="center"/>
        </w:trPr>
        <w:tc>
          <w:tcPr>
            <w:tcW w:w="2520" w:type="dxa"/>
            <w:vAlign w:val="center"/>
          </w:tcPr>
          <w:p w14:paraId="36441DE6" w14:textId="77777777" w:rsidR="008F6465" w:rsidRDefault="00000000">
            <w:r>
              <w:rPr>
                <w:b/>
                <w:color w:val="1F2937"/>
                <w:sz w:val="15"/>
              </w:rPr>
              <w:t>2. Data governance and sanitization</w:t>
            </w:r>
          </w:p>
        </w:tc>
        <w:tc>
          <w:tcPr>
            <w:tcW w:w="6552" w:type="dxa"/>
            <w:vAlign w:val="center"/>
          </w:tcPr>
          <w:p w14:paraId="6E3BC45D" w14:textId="77777777" w:rsidR="008F6465" w:rsidRDefault="00000000">
            <w:r>
              <w:rPr>
                <w:color w:val="1F2937"/>
                <w:sz w:val="15"/>
              </w:rPr>
              <w:t>Centralize ITSM exports in the isolated data lake; scrub PII, secrets, hostnames, and customer identifiers; classify tickets by service/domain; deduplicate noisy or duplicate incidents; keep only tickets with credible diagnosis and resolution quality.</w:t>
            </w:r>
          </w:p>
        </w:tc>
      </w:tr>
      <w:tr w:rsidR="008F6465" w14:paraId="0E78E7AC" w14:textId="77777777">
        <w:trPr>
          <w:jc w:val="center"/>
        </w:trPr>
        <w:tc>
          <w:tcPr>
            <w:tcW w:w="2520" w:type="dxa"/>
            <w:vAlign w:val="center"/>
          </w:tcPr>
          <w:p w14:paraId="588CFB52" w14:textId="77777777" w:rsidR="008F6465" w:rsidRDefault="00000000">
            <w:r>
              <w:rPr>
                <w:b/>
                <w:color w:val="1F2937"/>
                <w:sz w:val="15"/>
              </w:rPr>
              <w:t>3. Model selection and local weight hosting</w:t>
            </w:r>
          </w:p>
        </w:tc>
        <w:tc>
          <w:tcPr>
            <w:tcW w:w="6552" w:type="dxa"/>
            <w:vAlign w:val="center"/>
          </w:tcPr>
          <w:p w14:paraId="33924BF6" w14:textId="77777777" w:rsidR="008F6465" w:rsidRDefault="00000000">
            <w:r>
              <w:rPr>
                <w:color w:val="1F2937"/>
                <w:sz w:val="15"/>
              </w:rPr>
              <w:t>Select a commercially usable open-weight model; verify SHA-256 hashes before air-gap transfer; choose quantization for latency/cost; mirror dependencies internally; establish baseline tests against unseen ticket scenarios.</w:t>
            </w:r>
          </w:p>
        </w:tc>
      </w:tr>
      <w:tr w:rsidR="008F6465" w14:paraId="08BDAB4D" w14:textId="77777777">
        <w:trPr>
          <w:jc w:val="center"/>
        </w:trPr>
        <w:tc>
          <w:tcPr>
            <w:tcW w:w="2520" w:type="dxa"/>
            <w:vAlign w:val="center"/>
          </w:tcPr>
          <w:p w14:paraId="4F5C7A04" w14:textId="77777777" w:rsidR="008F6465" w:rsidRDefault="00000000">
            <w:r>
              <w:rPr>
                <w:b/>
                <w:color w:val="1F2937"/>
                <w:sz w:val="15"/>
              </w:rPr>
              <w:t>4. Fine-tuning strategy</w:t>
            </w:r>
          </w:p>
        </w:tc>
        <w:tc>
          <w:tcPr>
            <w:tcW w:w="6552" w:type="dxa"/>
            <w:vAlign w:val="center"/>
          </w:tcPr>
          <w:p w14:paraId="29C1BEB3" w14:textId="77777777" w:rsidR="008F6465" w:rsidRDefault="00000000">
            <w:r>
              <w:rPr>
                <w:color w:val="1F2937"/>
                <w:sz w:val="15"/>
              </w:rPr>
              <w:t>Use LoRA/QLoRA only after RAG validation; standardize Issue -&gt; Diagnosis -&gt; Resolution examples; tune conservatively to avoid forgetting; add instruction behavior for IT assistant use; validate on holdout tickets and human expert reviews.</w:t>
            </w:r>
          </w:p>
        </w:tc>
      </w:tr>
      <w:tr w:rsidR="008F6465" w14:paraId="3D7D8575" w14:textId="77777777">
        <w:trPr>
          <w:jc w:val="center"/>
        </w:trPr>
        <w:tc>
          <w:tcPr>
            <w:tcW w:w="2520" w:type="dxa"/>
            <w:vAlign w:val="center"/>
          </w:tcPr>
          <w:p w14:paraId="6F616D61" w14:textId="77777777" w:rsidR="008F6465" w:rsidRDefault="00000000">
            <w:r>
              <w:rPr>
                <w:b/>
                <w:color w:val="1F2937"/>
                <w:sz w:val="15"/>
              </w:rPr>
              <w:t>5. Local inference, RAG, and secure UI</w:t>
            </w:r>
          </w:p>
        </w:tc>
        <w:tc>
          <w:tcPr>
            <w:tcW w:w="6552" w:type="dxa"/>
            <w:vAlign w:val="center"/>
          </w:tcPr>
          <w:p w14:paraId="07AE1C3A" w14:textId="77777777" w:rsidR="008F6465" w:rsidRDefault="00000000">
            <w:r>
              <w:rPr>
                <w:color w:val="1F2937"/>
                <w:sz w:val="15"/>
              </w:rPr>
              <w:t>Expose only an internal API; retrieve relevant tickets/docs through a local vector database; give IT staff a secure web UI; log every query, retrieval, and response; capture feedback for governed continuous improvement.</w:t>
            </w:r>
          </w:p>
        </w:tc>
      </w:tr>
    </w:tbl>
    <w:p w14:paraId="1375AFAD" w14:textId="77777777" w:rsidR="008F6465" w:rsidRDefault="00000000">
      <w:pPr>
        <w:spacing w:before="160" w:after="60"/>
      </w:pPr>
      <w:r>
        <w:rPr>
          <w:b/>
          <w:color w:val="1E56A0"/>
          <w:sz w:val="30"/>
        </w:rPr>
        <w:t>Architecture and Security Controls</w:t>
      </w:r>
    </w:p>
    <w:p w14:paraId="24E12EFB" w14:textId="77777777" w:rsidR="008F6465" w:rsidRDefault="00000000">
      <w:pPr>
        <w:jc w:val="center"/>
      </w:pPr>
      <w:r>
        <w:rPr>
          <w:noProof/>
        </w:rPr>
        <w:drawing>
          <wp:inline distT="0" distB="0" distL="0" distR="0" wp14:anchorId="0D8CD403" wp14:editId="6EAE1FEC">
            <wp:extent cx="6126480" cy="2532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2532278"/>
                    </a:xfrm>
                    <a:prstGeom prst="rect">
                      <a:avLst/>
                    </a:prstGeom>
                  </pic:spPr>
                </pic:pic>
              </a:graphicData>
            </a:graphic>
          </wp:inline>
        </w:drawing>
      </w:r>
    </w:p>
    <w:p w14:paraId="6DD41053" w14:textId="77777777" w:rsidR="008F6465" w:rsidRDefault="00000000">
      <w:pPr>
        <w:spacing w:after="80" w:line="252" w:lineRule="auto"/>
      </w:pPr>
      <w:r>
        <w:rPr>
          <w:color w:val="1F2937"/>
        </w:rPr>
        <w:t>Security design should follow two complementary baselines: NIST AI RMF for governance, risk mapping, measurement, and management, and OWASP LLM guidance for prompt injection, sensitive information disclosure, supply-chain risk, data/model poisoning, and overreliance. This is especially important because ticket systems often contain privileged operational context.</w:t>
      </w:r>
    </w:p>
    <w:tbl>
      <w:tblPr>
        <w:tblStyle w:val="TableGrid"/>
        <w:tblW w:w="0" w:type="auto"/>
        <w:jc w:val="center"/>
        <w:tblLook w:val="04A0" w:firstRow="1" w:lastRow="0" w:firstColumn="1" w:lastColumn="0" w:noHBand="0" w:noVBand="1"/>
      </w:tblPr>
      <w:tblGrid>
        <w:gridCol w:w="1728"/>
        <w:gridCol w:w="3816"/>
        <w:gridCol w:w="3672"/>
      </w:tblGrid>
      <w:tr w:rsidR="008F6465" w14:paraId="60118E1B" w14:textId="77777777">
        <w:trPr>
          <w:jc w:val="center"/>
        </w:trPr>
        <w:tc>
          <w:tcPr>
            <w:tcW w:w="1728" w:type="dxa"/>
            <w:shd w:val="clear" w:color="auto" w:fill="1E56A0"/>
            <w:vAlign w:val="center"/>
          </w:tcPr>
          <w:p w14:paraId="7B832261" w14:textId="77777777" w:rsidR="008F6465" w:rsidRDefault="00000000">
            <w:r>
              <w:rPr>
                <w:b/>
                <w:color w:val="FFFFFF"/>
                <w:sz w:val="16"/>
              </w:rPr>
              <w:t>Control layer</w:t>
            </w:r>
          </w:p>
        </w:tc>
        <w:tc>
          <w:tcPr>
            <w:tcW w:w="3816" w:type="dxa"/>
            <w:shd w:val="clear" w:color="auto" w:fill="1E56A0"/>
            <w:vAlign w:val="center"/>
          </w:tcPr>
          <w:p w14:paraId="70CAE888" w14:textId="77777777" w:rsidR="008F6465" w:rsidRDefault="00000000">
            <w:r>
              <w:rPr>
                <w:b/>
                <w:color w:val="FFFFFF"/>
                <w:sz w:val="16"/>
              </w:rPr>
              <w:t>Minimum requirement</w:t>
            </w:r>
          </w:p>
        </w:tc>
        <w:tc>
          <w:tcPr>
            <w:tcW w:w="3672" w:type="dxa"/>
            <w:shd w:val="clear" w:color="auto" w:fill="1E56A0"/>
            <w:vAlign w:val="center"/>
          </w:tcPr>
          <w:p w14:paraId="3347AF01" w14:textId="77777777" w:rsidR="008F6465" w:rsidRDefault="00000000">
            <w:r>
              <w:rPr>
                <w:b/>
                <w:color w:val="FFFFFF"/>
                <w:sz w:val="16"/>
              </w:rPr>
              <w:t>Why it matters</w:t>
            </w:r>
          </w:p>
        </w:tc>
      </w:tr>
      <w:tr w:rsidR="008F6465" w14:paraId="3EAE330F" w14:textId="77777777">
        <w:trPr>
          <w:jc w:val="center"/>
        </w:trPr>
        <w:tc>
          <w:tcPr>
            <w:tcW w:w="1728" w:type="dxa"/>
            <w:vAlign w:val="center"/>
          </w:tcPr>
          <w:p w14:paraId="1C858C5C" w14:textId="77777777" w:rsidR="008F6465" w:rsidRDefault="00000000">
            <w:r>
              <w:rPr>
                <w:b/>
                <w:color w:val="1F2937"/>
                <w:sz w:val="15"/>
              </w:rPr>
              <w:t>Network</w:t>
            </w:r>
          </w:p>
        </w:tc>
        <w:tc>
          <w:tcPr>
            <w:tcW w:w="3816" w:type="dxa"/>
            <w:vAlign w:val="center"/>
          </w:tcPr>
          <w:p w14:paraId="4A666423" w14:textId="77777777" w:rsidR="008F6465" w:rsidRDefault="00000000">
            <w:r>
              <w:rPr>
                <w:color w:val="1F2937"/>
                <w:sz w:val="15"/>
              </w:rPr>
              <w:t>Zero-egress model-serving/training VLAN, controlled inbound only through VPN or internal app gateway.</w:t>
            </w:r>
          </w:p>
        </w:tc>
        <w:tc>
          <w:tcPr>
            <w:tcW w:w="3672" w:type="dxa"/>
            <w:vAlign w:val="center"/>
          </w:tcPr>
          <w:p w14:paraId="551C6DD4" w14:textId="77777777" w:rsidR="008F6465" w:rsidRDefault="00000000">
            <w:r>
              <w:rPr>
                <w:color w:val="1F2937"/>
                <w:sz w:val="15"/>
              </w:rPr>
              <w:t>Prevents data exfiltration and unapproved model/package calls.</w:t>
            </w:r>
          </w:p>
        </w:tc>
      </w:tr>
      <w:tr w:rsidR="008F6465" w14:paraId="2DB32DE0" w14:textId="77777777">
        <w:trPr>
          <w:jc w:val="center"/>
        </w:trPr>
        <w:tc>
          <w:tcPr>
            <w:tcW w:w="1728" w:type="dxa"/>
            <w:vAlign w:val="center"/>
          </w:tcPr>
          <w:p w14:paraId="3BE9A682" w14:textId="77777777" w:rsidR="008F6465" w:rsidRDefault="00000000">
            <w:r>
              <w:rPr>
                <w:b/>
                <w:color w:val="1F2937"/>
                <w:sz w:val="15"/>
              </w:rPr>
              <w:t>Data</w:t>
            </w:r>
          </w:p>
        </w:tc>
        <w:tc>
          <w:tcPr>
            <w:tcW w:w="3816" w:type="dxa"/>
            <w:vAlign w:val="center"/>
          </w:tcPr>
          <w:p w14:paraId="0DA59DD3" w14:textId="77777777" w:rsidR="008F6465" w:rsidRDefault="00000000">
            <w:r>
              <w:rPr>
                <w:color w:val="1F2937"/>
                <w:sz w:val="15"/>
              </w:rPr>
              <w:t>Encrypted lake, row/field classification, PII/secrets redaction, quarantine path for suspicious records.</w:t>
            </w:r>
          </w:p>
        </w:tc>
        <w:tc>
          <w:tcPr>
            <w:tcW w:w="3672" w:type="dxa"/>
            <w:vAlign w:val="center"/>
          </w:tcPr>
          <w:p w14:paraId="25A45DE7" w14:textId="77777777" w:rsidR="008F6465" w:rsidRDefault="00000000">
            <w:r>
              <w:rPr>
                <w:color w:val="1F2937"/>
                <w:sz w:val="15"/>
              </w:rPr>
              <w:t>Tickets can contain credentials, customer data, and internal topology.</w:t>
            </w:r>
          </w:p>
        </w:tc>
      </w:tr>
      <w:tr w:rsidR="008F6465" w14:paraId="31A63A18" w14:textId="77777777">
        <w:trPr>
          <w:jc w:val="center"/>
        </w:trPr>
        <w:tc>
          <w:tcPr>
            <w:tcW w:w="1728" w:type="dxa"/>
            <w:vAlign w:val="center"/>
          </w:tcPr>
          <w:p w14:paraId="4DF3C4BD" w14:textId="77777777" w:rsidR="008F6465" w:rsidRDefault="00000000">
            <w:r>
              <w:rPr>
                <w:b/>
                <w:color w:val="1F2937"/>
                <w:sz w:val="15"/>
              </w:rPr>
              <w:t>Supply chain</w:t>
            </w:r>
          </w:p>
        </w:tc>
        <w:tc>
          <w:tcPr>
            <w:tcW w:w="3816" w:type="dxa"/>
            <w:vAlign w:val="center"/>
          </w:tcPr>
          <w:p w14:paraId="1BCF62C0" w14:textId="77777777" w:rsidR="008F6465" w:rsidRDefault="00000000">
            <w:r>
              <w:rPr>
                <w:color w:val="1F2937"/>
                <w:sz w:val="15"/>
              </w:rPr>
              <w:t>Signed containers, private registry, SBOM, hash-verified model weights and Python wheels.</w:t>
            </w:r>
          </w:p>
        </w:tc>
        <w:tc>
          <w:tcPr>
            <w:tcW w:w="3672" w:type="dxa"/>
            <w:vAlign w:val="center"/>
          </w:tcPr>
          <w:p w14:paraId="7E0C1C4A" w14:textId="77777777" w:rsidR="008F6465" w:rsidRDefault="00000000">
            <w:r>
              <w:rPr>
                <w:color w:val="1F2937"/>
                <w:sz w:val="15"/>
              </w:rPr>
              <w:t>Reduces poisoned dependency and model tampering risk.</w:t>
            </w:r>
          </w:p>
        </w:tc>
      </w:tr>
      <w:tr w:rsidR="008F6465" w14:paraId="73B64994" w14:textId="77777777">
        <w:trPr>
          <w:jc w:val="center"/>
        </w:trPr>
        <w:tc>
          <w:tcPr>
            <w:tcW w:w="1728" w:type="dxa"/>
            <w:vAlign w:val="center"/>
          </w:tcPr>
          <w:p w14:paraId="510F8442" w14:textId="77777777" w:rsidR="008F6465" w:rsidRDefault="00000000">
            <w:r>
              <w:rPr>
                <w:b/>
                <w:color w:val="1F2937"/>
                <w:sz w:val="15"/>
              </w:rPr>
              <w:t>Access</w:t>
            </w:r>
          </w:p>
        </w:tc>
        <w:tc>
          <w:tcPr>
            <w:tcW w:w="3816" w:type="dxa"/>
            <w:vAlign w:val="center"/>
          </w:tcPr>
          <w:p w14:paraId="5B51B423" w14:textId="77777777" w:rsidR="008F6465" w:rsidRDefault="00000000">
            <w:r>
              <w:rPr>
                <w:color w:val="1F2937"/>
                <w:sz w:val="15"/>
              </w:rPr>
              <w:t>AD/SSO groups, least privilege, break-glass process, privileged session recording.</w:t>
            </w:r>
          </w:p>
        </w:tc>
        <w:tc>
          <w:tcPr>
            <w:tcW w:w="3672" w:type="dxa"/>
            <w:vAlign w:val="center"/>
          </w:tcPr>
          <w:p w14:paraId="68788C96" w14:textId="77777777" w:rsidR="008F6465" w:rsidRDefault="00000000">
            <w:r>
              <w:rPr>
                <w:color w:val="1F2937"/>
                <w:sz w:val="15"/>
              </w:rPr>
              <w:t>Restricts who can see raw tickets, embeddings, prompts, and outputs.</w:t>
            </w:r>
          </w:p>
        </w:tc>
      </w:tr>
      <w:tr w:rsidR="008F6465" w14:paraId="3AA5E456" w14:textId="77777777">
        <w:trPr>
          <w:jc w:val="center"/>
        </w:trPr>
        <w:tc>
          <w:tcPr>
            <w:tcW w:w="1728" w:type="dxa"/>
            <w:vAlign w:val="center"/>
          </w:tcPr>
          <w:p w14:paraId="3331B2F8" w14:textId="77777777" w:rsidR="008F6465" w:rsidRDefault="00000000">
            <w:r>
              <w:rPr>
                <w:b/>
                <w:color w:val="1F2937"/>
                <w:sz w:val="15"/>
              </w:rPr>
              <w:t>Model safety</w:t>
            </w:r>
          </w:p>
        </w:tc>
        <w:tc>
          <w:tcPr>
            <w:tcW w:w="3816" w:type="dxa"/>
            <w:vAlign w:val="center"/>
          </w:tcPr>
          <w:p w14:paraId="14ABA5D8" w14:textId="77777777" w:rsidR="008F6465" w:rsidRDefault="00000000">
            <w:r>
              <w:rPr>
                <w:color w:val="1F2937"/>
                <w:sz w:val="15"/>
              </w:rPr>
              <w:t>Prompt-injection tests, retrieval allowlists, output policy filters, human approval for actions.</w:t>
            </w:r>
          </w:p>
        </w:tc>
        <w:tc>
          <w:tcPr>
            <w:tcW w:w="3672" w:type="dxa"/>
            <w:vAlign w:val="center"/>
          </w:tcPr>
          <w:p w14:paraId="18060977" w14:textId="77777777" w:rsidR="008F6465" w:rsidRDefault="00000000">
            <w:r>
              <w:rPr>
                <w:color w:val="1F2937"/>
                <w:sz w:val="15"/>
              </w:rPr>
              <w:t>The model should advise; it should not autonomously change systems in the first release.</w:t>
            </w:r>
          </w:p>
        </w:tc>
      </w:tr>
      <w:tr w:rsidR="008F6465" w14:paraId="125323E8" w14:textId="77777777">
        <w:trPr>
          <w:jc w:val="center"/>
        </w:trPr>
        <w:tc>
          <w:tcPr>
            <w:tcW w:w="1728" w:type="dxa"/>
            <w:vAlign w:val="center"/>
          </w:tcPr>
          <w:p w14:paraId="0935835F" w14:textId="77777777" w:rsidR="008F6465" w:rsidRDefault="00000000">
            <w:r>
              <w:rPr>
                <w:b/>
                <w:color w:val="1F2937"/>
                <w:sz w:val="15"/>
              </w:rPr>
              <w:t>Audit</w:t>
            </w:r>
          </w:p>
        </w:tc>
        <w:tc>
          <w:tcPr>
            <w:tcW w:w="3816" w:type="dxa"/>
            <w:vAlign w:val="center"/>
          </w:tcPr>
          <w:p w14:paraId="64FD9BF7" w14:textId="77777777" w:rsidR="008F6465" w:rsidRDefault="00000000">
            <w:r>
              <w:rPr>
                <w:color w:val="1F2937"/>
                <w:sz w:val="15"/>
              </w:rPr>
              <w:t>Immutable logs for user, prompt, retrieved docs, response, feedback, and admin changes.</w:t>
            </w:r>
          </w:p>
        </w:tc>
        <w:tc>
          <w:tcPr>
            <w:tcW w:w="3672" w:type="dxa"/>
            <w:vAlign w:val="center"/>
          </w:tcPr>
          <w:p w14:paraId="7055455E" w14:textId="77777777" w:rsidR="008F6465" w:rsidRDefault="00000000">
            <w:r>
              <w:rPr>
                <w:color w:val="1F2937"/>
                <w:sz w:val="15"/>
              </w:rPr>
              <w:t>Supports compliance, incident response, and quality improvement.</w:t>
            </w:r>
          </w:p>
        </w:tc>
      </w:tr>
    </w:tbl>
    <w:p w14:paraId="1A953F65" w14:textId="77777777" w:rsidR="008F6465" w:rsidRDefault="00000000">
      <w:r>
        <w:br w:type="page"/>
      </w:r>
    </w:p>
    <w:p w14:paraId="6AADBD70" w14:textId="77777777" w:rsidR="008F6465" w:rsidRDefault="00000000">
      <w:pPr>
        <w:spacing w:before="160" w:after="60"/>
      </w:pPr>
      <w:r>
        <w:rPr>
          <w:b/>
          <w:color w:val="1E56A0"/>
          <w:sz w:val="30"/>
        </w:rPr>
        <w:lastRenderedPageBreak/>
        <w:t>Cost Model</w:t>
      </w:r>
    </w:p>
    <w:p w14:paraId="264950EC" w14:textId="77777777" w:rsidR="008F6465" w:rsidRDefault="00000000">
      <w:pPr>
        <w:spacing w:after="80" w:line="252" w:lineRule="auto"/>
      </w:pPr>
      <w:r>
        <w:rPr>
          <w:color w:val="1F2937"/>
        </w:rPr>
        <w:t>The baseline cost model assumes the company buys and hosts dedicated GPU systems internally. Public cloud GPU rates are used only as a market reference because the project requirement is private internal hosting. NVIDIA publishes DGX H100/H200 technical specifications; public reseller and GPU-cloud pricing indicate why vendor quote ranges should be treated as planning bands until procurement is complete.</w:t>
      </w:r>
    </w:p>
    <w:tbl>
      <w:tblPr>
        <w:tblStyle w:val="TableGrid"/>
        <w:tblW w:w="0" w:type="auto"/>
        <w:jc w:val="center"/>
        <w:tblLook w:val="04A0" w:firstRow="1" w:lastRow="0" w:firstColumn="1" w:lastColumn="0" w:noHBand="0" w:noVBand="1"/>
      </w:tblPr>
      <w:tblGrid>
        <w:gridCol w:w="1889"/>
        <w:gridCol w:w="3261"/>
        <w:gridCol w:w="1434"/>
        <w:gridCol w:w="4202"/>
      </w:tblGrid>
      <w:tr w:rsidR="008F6465" w14:paraId="1C32ED41" w14:textId="77777777">
        <w:trPr>
          <w:jc w:val="center"/>
        </w:trPr>
        <w:tc>
          <w:tcPr>
            <w:tcW w:w="1613" w:type="dxa"/>
            <w:shd w:val="clear" w:color="auto" w:fill="1E56A0"/>
            <w:vAlign w:val="center"/>
          </w:tcPr>
          <w:p w14:paraId="65B24267" w14:textId="77777777" w:rsidR="008F6465" w:rsidRDefault="00000000">
            <w:r>
              <w:rPr>
                <w:b/>
                <w:color w:val="FFFFFF"/>
                <w:sz w:val="16"/>
              </w:rPr>
              <w:t>Cost area</w:t>
            </w:r>
          </w:p>
        </w:tc>
        <w:tc>
          <w:tcPr>
            <w:tcW w:w="3283" w:type="dxa"/>
            <w:shd w:val="clear" w:color="auto" w:fill="1E56A0"/>
            <w:vAlign w:val="center"/>
          </w:tcPr>
          <w:p w14:paraId="02AA4D00" w14:textId="77777777" w:rsidR="008F6465" w:rsidRDefault="00000000">
            <w:r>
              <w:rPr>
                <w:b/>
                <w:color w:val="FFFFFF"/>
                <w:sz w:val="16"/>
              </w:rPr>
              <w:t>Planning assumption</w:t>
            </w:r>
          </w:p>
        </w:tc>
        <w:tc>
          <w:tcPr>
            <w:tcW w:w="1440" w:type="dxa"/>
            <w:shd w:val="clear" w:color="auto" w:fill="1E56A0"/>
            <w:vAlign w:val="center"/>
          </w:tcPr>
          <w:p w14:paraId="5A58BBD6" w14:textId="77777777" w:rsidR="008F6465" w:rsidRDefault="00000000">
            <w:r>
              <w:rPr>
                <w:b/>
                <w:color w:val="FFFFFF"/>
                <w:sz w:val="16"/>
              </w:rPr>
              <w:t>Year-1 midpoint</w:t>
            </w:r>
          </w:p>
        </w:tc>
        <w:tc>
          <w:tcPr>
            <w:tcW w:w="2736" w:type="dxa"/>
            <w:shd w:val="clear" w:color="auto" w:fill="1E56A0"/>
            <w:vAlign w:val="center"/>
          </w:tcPr>
          <w:p w14:paraId="192ADB7C" w14:textId="77777777" w:rsidR="008F6465" w:rsidRDefault="00000000">
            <w:r>
              <w:rPr>
                <w:b/>
                <w:color w:val="FFFFFF"/>
                <w:sz w:val="16"/>
              </w:rPr>
              <w:t>Notes</w:t>
            </w:r>
          </w:p>
        </w:tc>
      </w:tr>
      <w:tr w:rsidR="008F6465" w14:paraId="559FAEED" w14:textId="77777777">
        <w:trPr>
          <w:jc w:val="center"/>
        </w:trPr>
        <w:tc>
          <w:tcPr>
            <w:tcW w:w="1613" w:type="dxa"/>
            <w:vAlign w:val="center"/>
          </w:tcPr>
          <w:p w14:paraId="68C49BD8" w14:textId="77777777" w:rsidR="008F6465" w:rsidRDefault="00000000">
            <w:r>
              <w:rPr>
                <w:b/>
                <w:color w:val="1F2937"/>
                <w:sz w:val="14"/>
              </w:rPr>
              <w:t>Compute</w:t>
            </w:r>
          </w:p>
        </w:tc>
        <w:tc>
          <w:tcPr>
            <w:tcW w:w="3283" w:type="dxa"/>
            <w:vAlign w:val="center"/>
          </w:tcPr>
          <w:p w14:paraId="599BA760" w14:textId="77777777" w:rsidR="008F6465" w:rsidRDefault="00000000">
            <w:r>
              <w:rPr>
                <w:color w:val="1F2937"/>
                <w:sz w:val="14"/>
              </w:rPr>
              <w:t>Four 8-GPU H100-class nodes</w:t>
            </w:r>
          </w:p>
        </w:tc>
        <w:tc>
          <w:tcPr>
            <w:tcW w:w="1440" w:type="dxa"/>
            <w:vAlign w:val="center"/>
          </w:tcPr>
          <w:p w14:paraId="4370FC05" w14:textId="77777777" w:rsidR="008F6465" w:rsidRDefault="00000000">
            <w:r>
              <w:rPr>
                <w:color w:val="1F2937"/>
                <w:sz w:val="14"/>
              </w:rPr>
              <w:t>$1.6M</w:t>
            </w:r>
          </w:p>
        </w:tc>
        <w:tc>
          <w:tcPr>
            <w:tcW w:w="2736" w:type="dxa"/>
            <w:vAlign w:val="center"/>
          </w:tcPr>
          <w:p w14:paraId="6081261A" w14:textId="77777777" w:rsidR="008F6465" w:rsidRDefault="00000000">
            <w:r>
              <w:rPr>
                <w:color w:val="1F2937"/>
                <w:sz w:val="14"/>
              </w:rPr>
              <w:t>Training, evaluation, staging, and production inference headroom.</w:t>
            </w:r>
          </w:p>
        </w:tc>
      </w:tr>
      <w:tr w:rsidR="008F6465" w14:paraId="59CCB694" w14:textId="77777777">
        <w:trPr>
          <w:jc w:val="center"/>
        </w:trPr>
        <w:tc>
          <w:tcPr>
            <w:tcW w:w="1613" w:type="dxa"/>
            <w:vAlign w:val="center"/>
          </w:tcPr>
          <w:p w14:paraId="6A06A11F" w14:textId="77777777" w:rsidR="008F6465" w:rsidRDefault="00000000">
            <w:r>
              <w:rPr>
                <w:b/>
                <w:color w:val="1F2937"/>
                <w:sz w:val="14"/>
              </w:rPr>
              <w:t>Storage/network/security</w:t>
            </w:r>
          </w:p>
        </w:tc>
        <w:tc>
          <w:tcPr>
            <w:tcW w:w="3283" w:type="dxa"/>
            <w:vAlign w:val="center"/>
          </w:tcPr>
          <w:p w14:paraId="1B60191A" w14:textId="77777777" w:rsidR="008F6465" w:rsidRDefault="00000000">
            <w:r>
              <w:rPr>
                <w:color w:val="1F2937"/>
                <w:sz w:val="14"/>
              </w:rPr>
              <w:t>Encrypted NVMe, backup, 400G/InfiniBand where needed, HSM/KMS, monitoring</w:t>
            </w:r>
          </w:p>
        </w:tc>
        <w:tc>
          <w:tcPr>
            <w:tcW w:w="1440" w:type="dxa"/>
            <w:vAlign w:val="center"/>
          </w:tcPr>
          <w:p w14:paraId="50AFB111" w14:textId="77777777" w:rsidR="008F6465" w:rsidRDefault="00000000">
            <w:r>
              <w:rPr>
                <w:color w:val="1F2937"/>
                <w:sz w:val="14"/>
              </w:rPr>
              <w:t>$1.1M</w:t>
            </w:r>
          </w:p>
        </w:tc>
        <w:tc>
          <w:tcPr>
            <w:tcW w:w="2736" w:type="dxa"/>
            <w:vAlign w:val="center"/>
          </w:tcPr>
          <w:p w14:paraId="7F28C2F9" w14:textId="77777777" w:rsidR="008F6465" w:rsidRDefault="00000000">
            <w:r>
              <w:rPr>
                <w:color w:val="1F2937"/>
                <w:sz w:val="14"/>
              </w:rPr>
              <w:t>Includes resilience and secure transfer path.</w:t>
            </w:r>
          </w:p>
        </w:tc>
      </w:tr>
      <w:tr w:rsidR="008F6465" w14:paraId="48387BE8" w14:textId="77777777">
        <w:trPr>
          <w:jc w:val="center"/>
        </w:trPr>
        <w:tc>
          <w:tcPr>
            <w:tcW w:w="1613" w:type="dxa"/>
            <w:vAlign w:val="center"/>
          </w:tcPr>
          <w:p w14:paraId="1D8529CE" w14:textId="77777777" w:rsidR="008F6465" w:rsidRDefault="00000000">
            <w:r>
              <w:rPr>
                <w:b/>
                <w:color w:val="1F2937"/>
                <w:sz w:val="14"/>
              </w:rPr>
              <w:t>Platform tooling</w:t>
            </w:r>
          </w:p>
        </w:tc>
        <w:tc>
          <w:tcPr>
            <w:tcW w:w="3283" w:type="dxa"/>
            <w:vAlign w:val="center"/>
          </w:tcPr>
          <w:p w14:paraId="18A175BE" w14:textId="77777777" w:rsidR="008F6465" w:rsidRDefault="00000000">
            <w:r>
              <w:rPr>
                <w:color w:val="1F2937"/>
                <w:sz w:val="14"/>
              </w:rPr>
              <w:t>Kubernetes, private registry, vector DB, observability, MLOps, vulnerability scanning</w:t>
            </w:r>
          </w:p>
        </w:tc>
        <w:tc>
          <w:tcPr>
            <w:tcW w:w="1440" w:type="dxa"/>
            <w:vAlign w:val="center"/>
          </w:tcPr>
          <w:p w14:paraId="052EAC74" w14:textId="77777777" w:rsidR="008F6465" w:rsidRDefault="00000000">
            <w:r>
              <w:rPr>
                <w:color w:val="1F2937"/>
                <w:sz w:val="14"/>
              </w:rPr>
              <w:t>$0.7M</w:t>
            </w:r>
          </w:p>
        </w:tc>
        <w:tc>
          <w:tcPr>
            <w:tcW w:w="2736" w:type="dxa"/>
            <w:vAlign w:val="center"/>
          </w:tcPr>
          <w:p w14:paraId="6A9A9AFB" w14:textId="77777777" w:rsidR="008F6465" w:rsidRDefault="00000000">
            <w:r>
              <w:rPr>
                <w:color w:val="1F2937"/>
                <w:sz w:val="14"/>
              </w:rPr>
              <w:t>Open-source-heavy stack plus enterprise support where needed.</w:t>
            </w:r>
          </w:p>
        </w:tc>
      </w:tr>
      <w:tr w:rsidR="008F6465" w14:paraId="537373FB" w14:textId="77777777">
        <w:trPr>
          <w:jc w:val="center"/>
        </w:trPr>
        <w:tc>
          <w:tcPr>
            <w:tcW w:w="1613" w:type="dxa"/>
            <w:vAlign w:val="center"/>
          </w:tcPr>
          <w:p w14:paraId="39F63C43" w14:textId="77777777" w:rsidR="008F6465" w:rsidRDefault="00000000">
            <w:r>
              <w:rPr>
                <w:b/>
                <w:color w:val="1F2937"/>
                <w:sz w:val="14"/>
              </w:rPr>
              <w:t>Implementation labor</w:t>
            </w:r>
          </w:p>
        </w:tc>
        <w:tc>
          <w:tcPr>
            <w:tcW w:w="3283" w:type="dxa"/>
            <w:vAlign w:val="center"/>
          </w:tcPr>
          <w:p w14:paraId="3672AD08" w14:textId="77777777" w:rsidR="008F6465" w:rsidRDefault="00000000">
            <w:r>
              <w:rPr>
                <w:color w:val="1F2937"/>
                <w:sz w:val="14"/>
              </w:rPr>
              <w:t>12-month core team: AI/ML, platform, security, data engineering, ITSM SMEs</w:t>
            </w:r>
          </w:p>
        </w:tc>
        <w:tc>
          <w:tcPr>
            <w:tcW w:w="1440" w:type="dxa"/>
            <w:vAlign w:val="center"/>
          </w:tcPr>
          <w:p w14:paraId="6864EBD0" w14:textId="77777777" w:rsidR="008F6465" w:rsidRDefault="00000000">
            <w:r>
              <w:rPr>
                <w:color w:val="1F2937"/>
                <w:sz w:val="14"/>
              </w:rPr>
              <w:t>$3.1M</w:t>
            </w:r>
          </w:p>
        </w:tc>
        <w:tc>
          <w:tcPr>
            <w:tcW w:w="2736" w:type="dxa"/>
            <w:vAlign w:val="center"/>
          </w:tcPr>
          <w:p w14:paraId="02B77796" w14:textId="77777777" w:rsidR="008F6465" w:rsidRDefault="00000000">
            <w:r>
              <w:rPr>
                <w:color w:val="1F2937"/>
                <w:sz w:val="14"/>
              </w:rPr>
              <w:t>Largest real cost; assume loaded enterprise labor/contractor rates.</w:t>
            </w:r>
          </w:p>
        </w:tc>
      </w:tr>
      <w:tr w:rsidR="008F6465" w14:paraId="3816DC18" w14:textId="77777777">
        <w:trPr>
          <w:jc w:val="center"/>
        </w:trPr>
        <w:tc>
          <w:tcPr>
            <w:tcW w:w="1613" w:type="dxa"/>
            <w:vAlign w:val="center"/>
          </w:tcPr>
          <w:p w14:paraId="0F3550C3" w14:textId="77777777" w:rsidR="008F6465" w:rsidRDefault="00000000">
            <w:r>
              <w:rPr>
                <w:b/>
                <w:color w:val="1F2937"/>
                <w:sz w:val="14"/>
              </w:rPr>
              <w:t>Governance/testing</w:t>
            </w:r>
          </w:p>
        </w:tc>
        <w:tc>
          <w:tcPr>
            <w:tcW w:w="3283" w:type="dxa"/>
            <w:vAlign w:val="center"/>
          </w:tcPr>
          <w:p w14:paraId="0B67F487" w14:textId="77777777" w:rsidR="008F6465" w:rsidRDefault="00000000">
            <w:r>
              <w:rPr>
                <w:color w:val="1F2937"/>
                <w:sz w:val="14"/>
              </w:rPr>
              <w:t>AI risk, privacy, red-team, validation, change management</w:t>
            </w:r>
          </w:p>
        </w:tc>
        <w:tc>
          <w:tcPr>
            <w:tcW w:w="1440" w:type="dxa"/>
            <w:vAlign w:val="center"/>
          </w:tcPr>
          <w:p w14:paraId="2E1C8E8D" w14:textId="77777777" w:rsidR="008F6465" w:rsidRDefault="00000000">
            <w:r>
              <w:rPr>
                <w:color w:val="1F2937"/>
                <w:sz w:val="14"/>
              </w:rPr>
              <w:t>$0.6M</w:t>
            </w:r>
          </w:p>
        </w:tc>
        <w:tc>
          <w:tcPr>
            <w:tcW w:w="2736" w:type="dxa"/>
            <w:vAlign w:val="center"/>
          </w:tcPr>
          <w:p w14:paraId="189570D8" w14:textId="77777777" w:rsidR="008F6465" w:rsidRDefault="00000000">
            <w:r>
              <w:rPr>
                <w:color w:val="1F2937"/>
                <w:sz w:val="14"/>
              </w:rPr>
              <w:t>Do not defer; this is part of the product.</w:t>
            </w:r>
          </w:p>
        </w:tc>
      </w:tr>
      <w:tr w:rsidR="008F6465" w14:paraId="78C35042" w14:textId="77777777">
        <w:trPr>
          <w:jc w:val="center"/>
        </w:trPr>
        <w:tc>
          <w:tcPr>
            <w:tcW w:w="1613" w:type="dxa"/>
            <w:vAlign w:val="center"/>
          </w:tcPr>
          <w:p w14:paraId="60066573" w14:textId="77777777" w:rsidR="008F6465" w:rsidRDefault="00000000">
            <w:r>
              <w:rPr>
                <w:b/>
                <w:color w:val="1F2937"/>
                <w:sz w:val="14"/>
              </w:rPr>
              <w:t>Contingency</w:t>
            </w:r>
          </w:p>
        </w:tc>
        <w:tc>
          <w:tcPr>
            <w:tcW w:w="3283" w:type="dxa"/>
            <w:vAlign w:val="center"/>
          </w:tcPr>
          <w:p w14:paraId="706ED9B8" w14:textId="77777777" w:rsidR="008F6465" w:rsidRDefault="00000000">
            <w:r>
              <w:rPr>
                <w:color w:val="1F2937"/>
                <w:sz w:val="14"/>
              </w:rPr>
              <w:t>25% on non-labor plus integration unknowns</w:t>
            </w:r>
          </w:p>
        </w:tc>
        <w:tc>
          <w:tcPr>
            <w:tcW w:w="1440" w:type="dxa"/>
            <w:vAlign w:val="center"/>
          </w:tcPr>
          <w:p w14:paraId="67A36C17" w14:textId="77777777" w:rsidR="008F6465" w:rsidRDefault="00000000">
            <w:r>
              <w:rPr>
                <w:color w:val="1F2937"/>
                <w:sz w:val="14"/>
              </w:rPr>
              <w:t>$1.75M</w:t>
            </w:r>
          </w:p>
        </w:tc>
        <w:tc>
          <w:tcPr>
            <w:tcW w:w="2736" w:type="dxa"/>
            <w:vAlign w:val="center"/>
          </w:tcPr>
          <w:p w14:paraId="03769F20" w14:textId="77777777" w:rsidR="008F6465" w:rsidRDefault="00000000">
            <w:r>
              <w:rPr>
                <w:color w:val="1F2937"/>
                <w:sz w:val="14"/>
              </w:rPr>
              <w:t>Covers vendor variance and facility readiness.</w:t>
            </w:r>
          </w:p>
        </w:tc>
      </w:tr>
      <w:tr w:rsidR="008F6465" w14:paraId="0C52D2B4" w14:textId="77777777">
        <w:trPr>
          <w:jc w:val="center"/>
        </w:trPr>
        <w:tc>
          <w:tcPr>
            <w:tcW w:w="10570" w:type="dxa"/>
            <w:gridSpan w:val="4"/>
            <w:shd w:val="clear" w:color="auto" w:fill="DFF1E8"/>
          </w:tcPr>
          <w:p w14:paraId="77EAF8AC" w14:textId="77777777" w:rsidR="008F6465" w:rsidRDefault="00000000">
            <w:r>
              <w:rPr>
                <w:b/>
                <w:color w:val="1E56A0"/>
              </w:rPr>
              <w:t xml:space="preserve">Budget takeaway: </w:t>
            </w:r>
            <w:r>
              <w:rPr>
                <w:color w:val="1F2937"/>
              </w:rPr>
              <w:t>Plan a first-year enterprise baseline of $7.5M-$10.5M, then $2.5M-$5M annually for operations, refresh reserve, security testing, model evaluation, and a small continuous-improvement team.</w:t>
            </w:r>
          </w:p>
        </w:tc>
      </w:tr>
    </w:tbl>
    <w:p w14:paraId="6069EC60" w14:textId="77777777" w:rsidR="008F6465" w:rsidRDefault="00000000">
      <w:r>
        <w:br w:type="page"/>
      </w:r>
    </w:p>
    <w:p w14:paraId="5A9E066D" w14:textId="77777777" w:rsidR="008F6465" w:rsidRDefault="00000000">
      <w:pPr>
        <w:spacing w:before="160" w:after="60"/>
      </w:pPr>
      <w:r>
        <w:rPr>
          <w:b/>
          <w:color w:val="1E56A0"/>
          <w:sz w:val="30"/>
        </w:rPr>
        <w:lastRenderedPageBreak/>
        <w:t>Timeline and Delivery Gates</w:t>
      </w:r>
    </w:p>
    <w:p w14:paraId="7B695E7B" w14:textId="77777777" w:rsidR="008F6465" w:rsidRDefault="00000000">
      <w:pPr>
        <w:jc w:val="center"/>
      </w:pPr>
      <w:r>
        <w:rPr>
          <w:noProof/>
        </w:rPr>
        <w:drawing>
          <wp:inline distT="0" distB="0" distL="0" distR="0" wp14:anchorId="290BA0B7" wp14:editId="3E21493F">
            <wp:extent cx="6080760" cy="2634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0"/>
                    <a:stretch>
                      <a:fillRect/>
                    </a:stretch>
                  </pic:blipFill>
                  <pic:spPr>
                    <a:xfrm>
                      <a:off x="0" y="0"/>
                      <a:ext cx="6080760" cy="263499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440"/>
        <w:gridCol w:w="3384"/>
        <w:gridCol w:w="2376"/>
        <w:gridCol w:w="1872"/>
      </w:tblGrid>
      <w:tr w:rsidR="008F6465" w14:paraId="66431E20" w14:textId="77777777">
        <w:trPr>
          <w:jc w:val="center"/>
        </w:trPr>
        <w:tc>
          <w:tcPr>
            <w:tcW w:w="1440" w:type="dxa"/>
            <w:shd w:val="clear" w:color="auto" w:fill="1E56A0"/>
            <w:vAlign w:val="center"/>
          </w:tcPr>
          <w:p w14:paraId="145AA18D" w14:textId="77777777" w:rsidR="008F6465" w:rsidRDefault="00000000">
            <w:r>
              <w:rPr>
                <w:b/>
                <w:color w:val="FFFFFF"/>
                <w:sz w:val="16"/>
              </w:rPr>
              <w:t>Phase</w:t>
            </w:r>
          </w:p>
        </w:tc>
        <w:tc>
          <w:tcPr>
            <w:tcW w:w="3384" w:type="dxa"/>
            <w:shd w:val="clear" w:color="auto" w:fill="1E56A0"/>
            <w:vAlign w:val="center"/>
          </w:tcPr>
          <w:p w14:paraId="73F46447" w14:textId="77777777" w:rsidR="008F6465" w:rsidRDefault="00000000">
            <w:r>
              <w:rPr>
                <w:b/>
                <w:color w:val="FFFFFF"/>
                <w:sz w:val="16"/>
              </w:rPr>
              <w:t>Exit gate</w:t>
            </w:r>
          </w:p>
        </w:tc>
        <w:tc>
          <w:tcPr>
            <w:tcW w:w="2376" w:type="dxa"/>
            <w:shd w:val="clear" w:color="auto" w:fill="1E56A0"/>
            <w:vAlign w:val="center"/>
          </w:tcPr>
          <w:p w14:paraId="01B7F1A1" w14:textId="77777777" w:rsidR="008F6465" w:rsidRDefault="00000000">
            <w:r>
              <w:rPr>
                <w:b/>
                <w:color w:val="FFFFFF"/>
                <w:sz w:val="16"/>
              </w:rPr>
              <w:t>Primary owner</w:t>
            </w:r>
          </w:p>
        </w:tc>
        <w:tc>
          <w:tcPr>
            <w:tcW w:w="1872" w:type="dxa"/>
            <w:shd w:val="clear" w:color="auto" w:fill="1E56A0"/>
            <w:vAlign w:val="center"/>
          </w:tcPr>
          <w:p w14:paraId="08BD6E74" w14:textId="77777777" w:rsidR="008F6465" w:rsidRDefault="00000000">
            <w:r>
              <w:rPr>
                <w:b/>
                <w:color w:val="FFFFFF"/>
                <w:sz w:val="16"/>
              </w:rPr>
              <w:t>Decision</w:t>
            </w:r>
          </w:p>
        </w:tc>
      </w:tr>
      <w:tr w:rsidR="008F6465" w14:paraId="44D5D974" w14:textId="77777777">
        <w:trPr>
          <w:jc w:val="center"/>
        </w:trPr>
        <w:tc>
          <w:tcPr>
            <w:tcW w:w="1440" w:type="dxa"/>
            <w:vAlign w:val="center"/>
          </w:tcPr>
          <w:p w14:paraId="37E7951F" w14:textId="77777777" w:rsidR="008F6465" w:rsidRDefault="00000000">
            <w:r>
              <w:rPr>
                <w:b/>
                <w:color w:val="1F2937"/>
                <w:sz w:val="15"/>
              </w:rPr>
              <w:t>0-2 months</w:t>
            </w:r>
          </w:p>
        </w:tc>
        <w:tc>
          <w:tcPr>
            <w:tcW w:w="3384" w:type="dxa"/>
            <w:vAlign w:val="center"/>
          </w:tcPr>
          <w:p w14:paraId="4A509935" w14:textId="77777777" w:rsidR="008F6465" w:rsidRDefault="00000000">
            <w:r>
              <w:rPr>
                <w:color w:val="1F2937"/>
                <w:sz w:val="15"/>
              </w:rPr>
              <w:t>Approved risk model, architecture, data handling rules</w:t>
            </w:r>
          </w:p>
        </w:tc>
        <w:tc>
          <w:tcPr>
            <w:tcW w:w="2376" w:type="dxa"/>
            <w:vAlign w:val="center"/>
          </w:tcPr>
          <w:p w14:paraId="11126305" w14:textId="77777777" w:rsidR="008F6465" w:rsidRDefault="00000000">
            <w:r>
              <w:rPr>
                <w:color w:val="1F2937"/>
                <w:sz w:val="15"/>
              </w:rPr>
              <w:t>CISO/CIO/AI governance</w:t>
            </w:r>
          </w:p>
        </w:tc>
        <w:tc>
          <w:tcPr>
            <w:tcW w:w="1872" w:type="dxa"/>
            <w:vAlign w:val="center"/>
          </w:tcPr>
          <w:p w14:paraId="096D655A" w14:textId="77777777" w:rsidR="008F6465" w:rsidRDefault="00000000">
            <w:r>
              <w:rPr>
                <w:color w:val="1F2937"/>
                <w:sz w:val="15"/>
              </w:rPr>
              <w:t>Proceed to isolated build</w:t>
            </w:r>
          </w:p>
        </w:tc>
      </w:tr>
      <w:tr w:rsidR="008F6465" w14:paraId="3F7CCF60" w14:textId="77777777">
        <w:trPr>
          <w:jc w:val="center"/>
        </w:trPr>
        <w:tc>
          <w:tcPr>
            <w:tcW w:w="1440" w:type="dxa"/>
            <w:vAlign w:val="center"/>
          </w:tcPr>
          <w:p w14:paraId="5B0413FA" w14:textId="77777777" w:rsidR="008F6465" w:rsidRDefault="00000000">
            <w:r>
              <w:rPr>
                <w:b/>
                <w:color w:val="1F2937"/>
                <w:sz w:val="15"/>
              </w:rPr>
              <w:t>2-5 months</w:t>
            </w:r>
          </w:p>
        </w:tc>
        <w:tc>
          <w:tcPr>
            <w:tcW w:w="3384" w:type="dxa"/>
            <w:vAlign w:val="center"/>
          </w:tcPr>
          <w:p w14:paraId="467F39AF" w14:textId="77777777" w:rsidR="008F6465" w:rsidRDefault="00000000">
            <w:r>
              <w:rPr>
                <w:color w:val="1F2937"/>
                <w:sz w:val="15"/>
              </w:rPr>
              <w:t>Clean ticket corpus and searchable sanitized lake</w:t>
            </w:r>
          </w:p>
        </w:tc>
        <w:tc>
          <w:tcPr>
            <w:tcW w:w="2376" w:type="dxa"/>
            <w:vAlign w:val="center"/>
          </w:tcPr>
          <w:p w14:paraId="19D4BC94" w14:textId="77777777" w:rsidR="008F6465" w:rsidRDefault="00000000">
            <w:r>
              <w:rPr>
                <w:color w:val="1F2937"/>
                <w:sz w:val="15"/>
              </w:rPr>
              <w:t>Data engineering + ITSM</w:t>
            </w:r>
          </w:p>
        </w:tc>
        <w:tc>
          <w:tcPr>
            <w:tcW w:w="1872" w:type="dxa"/>
            <w:vAlign w:val="center"/>
          </w:tcPr>
          <w:p w14:paraId="1153309E" w14:textId="77777777" w:rsidR="008F6465" w:rsidRDefault="00000000">
            <w:r>
              <w:rPr>
                <w:color w:val="1F2937"/>
                <w:sz w:val="15"/>
              </w:rPr>
              <w:t>Permit RAG MVP</w:t>
            </w:r>
          </w:p>
        </w:tc>
      </w:tr>
      <w:tr w:rsidR="008F6465" w14:paraId="7D909A53" w14:textId="77777777">
        <w:trPr>
          <w:jc w:val="center"/>
        </w:trPr>
        <w:tc>
          <w:tcPr>
            <w:tcW w:w="1440" w:type="dxa"/>
            <w:vAlign w:val="center"/>
          </w:tcPr>
          <w:p w14:paraId="322C75A2" w14:textId="77777777" w:rsidR="008F6465" w:rsidRDefault="00000000">
            <w:r>
              <w:rPr>
                <w:b/>
                <w:color w:val="1F2937"/>
                <w:sz w:val="15"/>
              </w:rPr>
              <w:t>4-7 months</w:t>
            </w:r>
          </w:p>
        </w:tc>
        <w:tc>
          <w:tcPr>
            <w:tcW w:w="3384" w:type="dxa"/>
            <w:vAlign w:val="center"/>
          </w:tcPr>
          <w:p w14:paraId="6EA9A6EF" w14:textId="77777777" w:rsidR="008F6465" w:rsidRDefault="00000000">
            <w:r>
              <w:rPr>
                <w:color w:val="1F2937"/>
                <w:sz w:val="15"/>
              </w:rPr>
              <w:t>RAG answers grounded in citations with low leakage</w:t>
            </w:r>
          </w:p>
        </w:tc>
        <w:tc>
          <w:tcPr>
            <w:tcW w:w="2376" w:type="dxa"/>
            <w:vAlign w:val="center"/>
          </w:tcPr>
          <w:p w14:paraId="7D760BEB" w14:textId="77777777" w:rsidR="008F6465" w:rsidRDefault="00000000">
            <w:r>
              <w:rPr>
                <w:color w:val="1F2937"/>
                <w:sz w:val="15"/>
              </w:rPr>
              <w:t>ML/platform</w:t>
            </w:r>
          </w:p>
        </w:tc>
        <w:tc>
          <w:tcPr>
            <w:tcW w:w="1872" w:type="dxa"/>
            <w:vAlign w:val="center"/>
          </w:tcPr>
          <w:p w14:paraId="34B42232" w14:textId="77777777" w:rsidR="008F6465" w:rsidRDefault="00000000">
            <w:r>
              <w:rPr>
                <w:color w:val="1F2937"/>
                <w:sz w:val="15"/>
              </w:rPr>
              <w:t>Start pilot</w:t>
            </w:r>
          </w:p>
        </w:tc>
      </w:tr>
      <w:tr w:rsidR="008F6465" w14:paraId="451B45A4" w14:textId="77777777">
        <w:trPr>
          <w:jc w:val="center"/>
        </w:trPr>
        <w:tc>
          <w:tcPr>
            <w:tcW w:w="1440" w:type="dxa"/>
            <w:vAlign w:val="center"/>
          </w:tcPr>
          <w:p w14:paraId="2F7D4AE7" w14:textId="77777777" w:rsidR="008F6465" w:rsidRDefault="00000000">
            <w:r>
              <w:rPr>
                <w:b/>
                <w:color w:val="1F2937"/>
                <w:sz w:val="15"/>
              </w:rPr>
              <w:t>7-9 months</w:t>
            </w:r>
          </w:p>
        </w:tc>
        <w:tc>
          <w:tcPr>
            <w:tcW w:w="3384" w:type="dxa"/>
            <w:vAlign w:val="center"/>
          </w:tcPr>
          <w:p w14:paraId="74AF575B" w14:textId="77777777" w:rsidR="008F6465" w:rsidRDefault="00000000">
            <w:r>
              <w:rPr>
                <w:color w:val="1F2937"/>
                <w:sz w:val="15"/>
              </w:rPr>
              <w:t>Human SME scorecard, red-team results, usage feedback</w:t>
            </w:r>
          </w:p>
        </w:tc>
        <w:tc>
          <w:tcPr>
            <w:tcW w:w="2376" w:type="dxa"/>
            <w:vAlign w:val="center"/>
          </w:tcPr>
          <w:p w14:paraId="05B73D4A" w14:textId="77777777" w:rsidR="008F6465" w:rsidRDefault="00000000">
            <w:r>
              <w:rPr>
                <w:color w:val="1F2937"/>
                <w:sz w:val="15"/>
              </w:rPr>
              <w:t>IT operations + security</w:t>
            </w:r>
          </w:p>
        </w:tc>
        <w:tc>
          <w:tcPr>
            <w:tcW w:w="1872" w:type="dxa"/>
            <w:vAlign w:val="center"/>
          </w:tcPr>
          <w:p w14:paraId="61B703D7" w14:textId="77777777" w:rsidR="008F6465" w:rsidRDefault="00000000">
            <w:r>
              <w:rPr>
                <w:color w:val="1F2937"/>
                <w:sz w:val="15"/>
              </w:rPr>
              <w:t>Fine-tune or improve retrieval</w:t>
            </w:r>
          </w:p>
        </w:tc>
      </w:tr>
      <w:tr w:rsidR="008F6465" w14:paraId="610CAE5C" w14:textId="77777777">
        <w:trPr>
          <w:jc w:val="center"/>
        </w:trPr>
        <w:tc>
          <w:tcPr>
            <w:tcW w:w="1440" w:type="dxa"/>
            <w:vAlign w:val="center"/>
          </w:tcPr>
          <w:p w14:paraId="424B8C0E" w14:textId="77777777" w:rsidR="008F6465" w:rsidRDefault="00000000">
            <w:r>
              <w:rPr>
                <w:b/>
                <w:color w:val="1F2937"/>
                <w:sz w:val="15"/>
              </w:rPr>
              <w:t>9-15 months</w:t>
            </w:r>
          </w:p>
        </w:tc>
        <w:tc>
          <w:tcPr>
            <w:tcW w:w="3384" w:type="dxa"/>
            <w:vAlign w:val="center"/>
          </w:tcPr>
          <w:p w14:paraId="6748C901" w14:textId="77777777" w:rsidR="008F6465" w:rsidRDefault="00000000">
            <w:r>
              <w:rPr>
                <w:color w:val="1F2937"/>
                <w:sz w:val="15"/>
              </w:rPr>
              <w:t>Production SLOs, audit, monitoring, runbooks</w:t>
            </w:r>
          </w:p>
        </w:tc>
        <w:tc>
          <w:tcPr>
            <w:tcW w:w="2376" w:type="dxa"/>
            <w:vAlign w:val="center"/>
          </w:tcPr>
          <w:p w14:paraId="6E5415FC" w14:textId="77777777" w:rsidR="008F6465" w:rsidRDefault="00000000">
            <w:r>
              <w:rPr>
                <w:color w:val="1F2937"/>
                <w:sz w:val="15"/>
              </w:rPr>
              <w:t>Platform + service owner</w:t>
            </w:r>
          </w:p>
        </w:tc>
        <w:tc>
          <w:tcPr>
            <w:tcW w:w="1872" w:type="dxa"/>
            <w:vAlign w:val="center"/>
          </w:tcPr>
          <w:p w14:paraId="2ADC5098" w14:textId="77777777" w:rsidR="008F6465" w:rsidRDefault="00000000">
            <w:r>
              <w:rPr>
                <w:color w:val="1F2937"/>
                <w:sz w:val="15"/>
              </w:rPr>
              <w:t>Launch</w:t>
            </w:r>
          </w:p>
        </w:tc>
      </w:tr>
      <w:tr w:rsidR="008F6465" w14:paraId="00F37B43" w14:textId="77777777">
        <w:trPr>
          <w:jc w:val="center"/>
        </w:trPr>
        <w:tc>
          <w:tcPr>
            <w:tcW w:w="1440" w:type="dxa"/>
            <w:vAlign w:val="center"/>
          </w:tcPr>
          <w:p w14:paraId="3E89E2C7" w14:textId="77777777" w:rsidR="008F6465" w:rsidRDefault="00000000">
            <w:r>
              <w:rPr>
                <w:b/>
                <w:color w:val="1F2937"/>
                <w:sz w:val="15"/>
              </w:rPr>
              <w:t>15-18 months</w:t>
            </w:r>
          </w:p>
        </w:tc>
        <w:tc>
          <w:tcPr>
            <w:tcW w:w="3384" w:type="dxa"/>
            <w:vAlign w:val="center"/>
          </w:tcPr>
          <w:p w14:paraId="4ACDC096" w14:textId="77777777" w:rsidR="008F6465" w:rsidRDefault="00000000">
            <w:r>
              <w:rPr>
                <w:color w:val="1F2937"/>
                <w:sz w:val="15"/>
              </w:rPr>
              <w:t>Measured deflection/MTTR gains and compliance signoff</w:t>
            </w:r>
          </w:p>
        </w:tc>
        <w:tc>
          <w:tcPr>
            <w:tcW w:w="2376" w:type="dxa"/>
            <w:vAlign w:val="center"/>
          </w:tcPr>
          <w:p w14:paraId="52622198" w14:textId="77777777" w:rsidR="008F6465" w:rsidRDefault="00000000">
            <w:r>
              <w:rPr>
                <w:color w:val="1F2937"/>
                <w:sz w:val="15"/>
              </w:rPr>
              <w:t>Program office</w:t>
            </w:r>
          </w:p>
        </w:tc>
        <w:tc>
          <w:tcPr>
            <w:tcW w:w="1872" w:type="dxa"/>
            <w:vAlign w:val="center"/>
          </w:tcPr>
          <w:p w14:paraId="19AF9BAA" w14:textId="77777777" w:rsidR="008F6465" w:rsidRDefault="00000000">
            <w:r>
              <w:rPr>
                <w:color w:val="1F2937"/>
                <w:sz w:val="15"/>
              </w:rPr>
              <w:t>Scale globally</w:t>
            </w:r>
          </w:p>
        </w:tc>
      </w:tr>
    </w:tbl>
    <w:p w14:paraId="17CC7D27" w14:textId="77777777" w:rsidR="008F6465" w:rsidRDefault="00000000">
      <w:r>
        <w:br w:type="page"/>
      </w:r>
    </w:p>
    <w:p w14:paraId="1AEA0369" w14:textId="77777777" w:rsidR="008F6465" w:rsidRDefault="00000000">
      <w:pPr>
        <w:spacing w:before="160" w:after="60"/>
      </w:pPr>
      <w:r>
        <w:rPr>
          <w:b/>
          <w:color w:val="1E56A0"/>
          <w:sz w:val="30"/>
        </w:rPr>
        <w:lastRenderedPageBreak/>
        <w:t>Operating Model and Expected Value</w:t>
      </w:r>
    </w:p>
    <w:p w14:paraId="1E9181A4" w14:textId="77777777" w:rsidR="008F6465" w:rsidRDefault="00000000">
      <w:pPr>
        <w:spacing w:after="80" w:line="252" w:lineRule="auto"/>
      </w:pPr>
      <w:r>
        <w:rPr>
          <w:color w:val="1F2937"/>
        </w:rPr>
        <w:t>Value should be measured with operational metrics, not model benchmarks alone: mean time to resolution, first-contact resolution, ticket deflection, escalation accuracy, answer citation quality, false-confidence rate, and security/privacy events. A reasonable first production target is 10%-20% faster resolution in selected domains and measurable reduction in repeated knowledge-search time, before expanding to high-risk workflows.</w:t>
      </w:r>
    </w:p>
    <w:tbl>
      <w:tblPr>
        <w:tblStyle w:val="TableGrid"/>
        <w:tblW w:w="0" w:type="auto"/>
        <w:jc w:val="center"/>
        <w:tblLook w:val="04A0" w:firstRow="1" w:lastRow="0" w:firstColumn="1" w:lastColumn="0" w:noHBand="0" w:noVBand="1"/>
      </w:tblPr>
      <w:tblGrid>
        <w:gridCol w:w="1944"/>
        <w:gridCol w:w="4752"/>
        <w:gridCol w:w="2376"/>
      </w:tblGrid>
      <w:tr w:rsidR="008F6465" w14:paraId="74E6AD67" w14:textId="77777777">
        <w:trPr>
          <w:jc w:val="center"/>
        </w:trPr>
        <w:tc>
          <w:tcPr>
            <w:tcW w:w="1944" w:type="dxa"/>
            <w:shd w:val="clear" w:color="auto" w:fill="1E56A0"/>
            <w:vAlign w:val="center"/>
          </w:tcPr>
          <w:p w14:paraId="4F272C08" w14:textId="77777777" w:rsidR="008F6465" w:rsidRDefault="00000000">
            <w:r>
              <w:rPr>
                <w:b/>
                <w:color w:val="FFFFFF"/>
                <w:sz w:val="16"/>
              </w:rPr>
              <w:t>Role group</w:t>
            </w:r>
          </w:p>
        </w:tc>
        <w:tc>
          <w:tcPr>
            <w:tcW w:w="4752" w:type="dxa"/>
            <w:shd w:val="clear" w:color="auto" w:fill="1E56A0"/>
            <w:vAlign w:val="center"/>
          </w:tcPr>
          <w:p w14:paraId="2CD120FC" w14:textId="77777777" w:rsidR="008F6465" w:rsidRDefault="00000000">
            <w:r>
              <w:rPr>
                <w:b/>
                <w:color w:val="FFFFFF"/>
                <w:sz w:val="16"/>
              </w:rPr>
              <w:t>Core responsibilities</w:t>
            </w:r>
          </w:p>
        </w:tc>
        <w:tc>
          <w:tcPr>
            <w:tcW w:w="2376" w:type="dxa"/>
            <w:shd w:val="clear" w:color="auto" w:fill="1E56A0"/>
            <w:vAlign w:val="center"/>
          </w:tcPr>
          <w:p w14:paraId="6DEB3F42" w14:textId="77777777" w:rsidR="008F6465" w:rsidRDefault="00000000">
            <w:r>
              <w:rPr>
                <w:b/>
                <w:color w:val="FFFFFF"/>
                <w:sz w:val="16"/>
              </w:rPr>
              <w:t>Minimum staffing</w:t>
            </w:r>
          </w:p>
        </w:tc>
      </w:tr>
      <w:tr w:rsidR="008F6465" w14:paraId="4111C069" w14:textId="77777777">
        <w:trPr>
          <w:jc w:val="center"/>
        </w:trPr>
        <w:tc>
          <w:tcPr>
            <w:tcW w:w="1944" w:type="dxa"/>
            <w:vAlign w:val="center"/>
          </w:tcPr>
          <w:p w14:paraId="50972DF2" w14:textId="77777777" w:rsidR="008F6465" w:rsidRDefault="00000000">
            <w:r>
              <w:rPr>
                <w:b/>
                <w:color w:val="1F2937"/>
                <w:sz w:val="15"/>
              </w:rPr>
              <w:t>AI/product leadership</w:t>
            </w:r>
          </w:p>
        </w:tc>
        <w:tc>
          <w:tcPr>
            <w:tcW w:w="4752" w:type="dxa"/>
            <w:vAlign w:val="center"/>
          </w:tcPr>
          <w:p w14:paraId="52CA7B8C" w14:textId="77777777" w:rsidR="008F6465" w:rsidRDefault="00000000">
            <w:r>
              <w:rPr>
                <w:color w:val="1F2937"/>
                <w:sz w:val="15"/>
              </w:rPr>
              <w:t>Scope, roadmap, ROI, executive reporting, release gates</w:t>
            </w:r>
          </w:p>
        </w:tc>
        <w:tc>
          <w:tcPr>
            <w:tcW w:w="2376" w:type="dxa"/>
            <w:vAlign w:val="center"/>
          </w:tcPr>
          <w:p w14:paraId="3CF29382" w14:textId="77777777" w:rsidR="008F6465" w:rsidRDefault="00000000">
            <w:r>
              <w:rPr>
                <w:color w:val="1F2937"/>
                <w:sz w:val="15"/>
              </w:rPr>
              <w:t>1 product owner, 1 program manager</w:t>
            </w:r>
          </w:p>
        </w:tc>
      </w:tr>
      <w:tr w:rsidR="008F6465" w14:paraId="058A7AFB" w14:textId="77777777">
        <w:trPr>
          <w:jc w:val="center"/>
        </w:trPr>
        <w:tc>
          <w:tcPr>
            <w:tcW w:w="1944" w:type="dxa"/>
            <w:vAlign w:val="center"/>
          </w:tcPr>
          <w:p w14:paraId="610F6258" w14:textId="77777777" w:rsidR="008F6465" w:rsidRDefault="00000000">
            <w:r>
              <w:rPr>
                <w:b/>
                <w:color w:val="1F2937"/>
                <w:sz w:val="15"/>
              </w:rPr>
              <w:t>Data/ML</w:t>
            </w:r>
          </w:p>
        </w:tc>
        <w:tc>
          <w:tcPr>
            <w:tcW w:w="4752" w:type="dxa"/>
            <w:vAlign w:val="center"/>
          </w:tcPr>
          <w:p w14:paraId="263CC0E2" w14:textId="77777777" w:rsidR="008F6465" w:rsidRDefault="00000000">
            <w:r>
              <w:rPr>
                <w:color w:val="1F2937"/>
                <w:sz w:val="15"/>
              </w:rPr>
              <w:t>Corpus quality, embeddings, evaluations, fine-tuning, drift monitoring</w:t>
            </w:r>
          </w:p>
        </w:tc>
        <w:tc>
          <w:tcPr>
            <w:tcW w:w="2376" w:type="dxa"/>
            <w:vAlign w:val="center"/>
          </w:tcPr>
          <w:p w14:paraId="03C05BB2" w14:textId="77777777" w:rsidR="008F6465" w:rsidRDefault="00000000">
            <w:r>
              <w:rPr>
                <w:color w:val="1F2937"/>
                <w:sz w:val="15"/>
              </w:rPr>
              <w:t>3-5 engineers/scientists</w:t>
            </w:r>
          </w:p>
        </w:tc>
      </w:tr>
      <w:tr w:rsidR="008F6465" w14:paraId="46D57364" w14:textId="77777777">
        <w:trPr>
          <w:jc w:val="center"/>
        </w:trPr>
        <w:tc>
          <w:tcPr>
            <w:tcW w:w="1944" w:type="dxa"/>
            <w:vAlign w:val="center"/>
          </w:tcPr>
          <w:p w14:paraId="2C9CB551" w14:textId="77777777" w:rsidR="008F6465" w:rsidRDefault="00000000">
            <w:r>
              <w:rPr>
                <w:b/>
                <w:color w:val="1F2937"/>
                <w:sz w:val="15"/>
              </w:rPr>
              <w:t>Platform/SRE</w:t>
            </w:r>
          </w:p>
        </w:tc>
        <w:tc>
          <w:tcPr>
            <w:tcW w:w="4752" w:type="dxa"/>
            <w:vAlign w:val="center"/>
          </w:tcPr>
          <w:p w14:paraId="12E4BEDE" w14:textId="77777777" w:rsidR="008F6465" w:rsidRDefault="00000000">
            <w:r>
              <w:rPr>
                <w:color w:val="1F2937"/>
                <w:sz w:val="15"/>
              </w:rPr>
              <w:t>GPU cluster, API, Kubernetes, reliability, backups, observability</w:t>
            </w:r>
          </w:p>
        </w:tc>
        <w:tc>
          <w:tcPr>
            <w:tcW w:w="2376" w:type="dxa"/>
            <w:vAlign w:val="center"/>
          </w:tcPr>
          <w:p w14:paraId="6C7B0757" w14:textId="77777777" w:rsidR="008F6465" w:rsidRDefault="00000000">
            <w:r>
              <w:rPr>
                <w:color w:val="1F2937"/>
                <w:sz w:val="15"/>
              </w:rPr>
              <w:t>3-4 engineers</w:t>
            </w:r>
          </w:p>
        </w:tc>
      </w:tr>
      <w:tr w:rsidR="008F6465" w14:paraId="44072E53" w14:textId="77777777">
        <w:trPr>
          <w:jc w:val="center"/>
        </w:trPr>
        <w:tc>
          <w:tcPr>
            <w:tcW w:w="1944" w:type="dxa"/>
            <w:vAlign w:val="center"/>
          </w:tcPr>
          <w:p w14:paraId="05B894A1" w14:textId="77777777" w:rsidR="008F6465" w:rsidRDefault="00000000">
            <w:r>
              <w:rPr>
                <w:b/>
                <w:color w:val="1F2937"/>
                <w:sz w:val="15"/>
              </w:rPr>
              <w:t>Security/privacy</w:t>
            </w:r>
          </w:p>
        </w:tc>
        <w:tc>
          <w:tcPr>
            <w:tcW w:w="4752" w:type="dxa"/>
            <w:vAlign w:val="center"/>
          </w:tcPr>
          <w:p w14:paraId="152A9B0A" w14:textId="77777777" w:rsidR="008F6465" w:rsidRDefault="00000000">
            <w:r>
              <w:rPr>
                <w:color w:val="1F2937"/>
                <w:sz w:val="15"/>
              </w:rPr>
              <w:t>Controls, red-team, IAM, audit, incident response, compliance</w:t>
            </w:r>
          </w:p>
        </w:tc>
        <w:tc>
          <w:tcPr>
            <w:tcW w:w="2376" w:type="dxa"/>
            <w:vAlign w:val="center"/>
          </w:tcPr>
          <w:p w14:paraId="1E8A8B1A" w14:textId="77777777" w:rsidR="008F6465" w:rsidRDefault="00000000">
            <w:r>
              <w:rPr>
                <w:color w:val="1F2937"/>
                <w:sz w:val="15"/>
              </w:rPr>
              <w:t>2-3 specialists</w:t>
            </w:r>
          </w:p>
        </w:tc>
      </w:tr>
      <w:tr w:rsidR="008F6465" w14:paraId="561A55B3" w14:textId="77777777">
        <w:trPr>
          <w:jc w:val="center"/>
        </w:trPr>
        <w:tc>
          <w:tcPr>
            <w:tcW w:w="1944" w:type="dxa"/>
            <w:vAlign w:val="center"/>
          </w:tcPr>
          <w:p w14:paraId="628903BC" w14:textId="77777777" w:rsidR="008F6465" w:rsidRDefault="00000000">
            <w:r>
              <w:rPr>
                <w:b/>
                <w:color w:val="1F2937"/>
                <w:sz w:val="15"/>
              </w:rPr>
              <w:t>ITSM SMEs</w:t>
            </w:r>
          </w:p>
        </w:tc>
        <w:tc>
          <w:tcPr>
            <w:tcW w:w="4752" w:type="dxa"/>
            <w:vAlign w:val="center"/>
          </w:tcPr>
          <w:p w14:paraId="3D613E7B" w14:textId="77777777" w:rsidR="008F6465" w:rsidRDefault="00000000">
            <w:r>
              <w:rPr>
                <w:color w:val="1F2937"/>
                <w:sz w:val="15"/>
              </w:rPr>
              <w:t>Ticket taxonomy, answer review, workflow fit, adoption</w:t>
            </w:r>
          </w:p>
        </w:tc>
        <w:tc>
          <w:tcPr>
            <w:tcW w:w="2376" w:type="dxa"/>
            <w:vAlign w:val="center"/>
          </w:tcPr>
          <w:p w14:paraId="56A6BFD6" w14:textId="77777777" w:rsidR="008F6465" w:rsidRDefault="00000000">
            <w:r>
              <w:rPr>
                <w:color w:val="1F2937"/>
                <w:sz w:val="15"/>
              </w:rPr>
              <w:t>4-6 rotating SMEs</w:t>
            </w:r>
          </w:p>
        </w:tc>
      </w:tr>
    </w:tbl>
    <w:p w14:paraId="4B568F84" w14:textId="77777777" w:rsidR="008F6465" w:rsidRDefault="00000000">
      <w:pPr>
        <w:spacing w:before="160" w:after="60"/>
      </w:pPr>
      <w:r>
        <w:rPr>
          <w:b/>
          <w:color w:val="1E56A0"/>
          <w:sz w:val="30"/>
        </w:rPr>
        <w:t>Research Notes</w:t>
      </w:r>
    </w:p>
    <w:p w14:paraId="52CC8C79" w14:textId="77777777" w:rsidR="008F6465" w:rsidRDefault="00000000">
      <w:pPr>
        <w:spacing w:after="30"/>
        <w:ind w:left="173" w:hanging="173"/>
      </w:pPr>
      <w:r>
        <w:rPr>
          <w:color w:val="5C6773"/>
          <w:sz w:val="15"/>
        </w:rPr>
        <w:t>• NVIDIA DGX H100/H200 documentation: 8x H100 or H200 GPUs; DGX H100 includes 640 GB total GPU memory, high-speed NVLink/NVSwitch, and 30 TB NVMe class storage.</w:t>
      </w:r>
    </w:p>
    <w:p w14:paraId="0C35EFC7" w14:textId="77777777" w:rsidR="008F6465" w:rsidRDefault="00000000">
      <w:pPr>
        <w:spacing w:after="30"/>
        <w:ind w:left="173" w:hanging="173"/>
      </w:pPr>
      <w:r>
        <w:rPr>
          <w:color w:val="5C6773"/>
          <w:sz w:val="15"/>
        </w:rPr>
        <w:t>• Lambda public AI cloud pricing, reviewed May 1, 2026: H100 SXM on-demand pricing is published per GPU-hour; useful as a benchmark, not as a target architecture because the requirement is internal hosting.</w:t>
      </w:r>
    </w:p>
    <w:p w14:paraId="0C3C5567" w14:textId="77777777" w:rsidR="008F6465" w:rsidRDefault="00000000">
      <w:pPr>
        <w:spacing w:after="30"/>
        <w:ind w:left="173" w:hanging="173"/>
      </w:pPr>
      <w:r>
        <w:rPr>
          <w:color w:val="5C6773"/>
          <w:sz w:val="15"/>
        </w:rPr>
        <w:t>• ServiceNow ITSM pricing pages state enterprise pricing is quote-based and package-dependent; assume custom integration/export effort rather than a public per-seat formula.</w:t>
      </w:r>
    </w:p>
    <w:p w14:paraId="01A4F510" w14:textId="77777777" w:rsidR="008F6465" w:rsidRDefault="00000000">
      <w:pPr>
        <w:spacing w:after="30"/>
        <w:ind w:left="173" w:hanging="173"/>
      </w:pPr>
      <w:r>
        <w:rPr>
          <w:color w:val="5C6773"/>
          <w:sz w:val="15"/>
        </w:rPr>
        <w:t>• NIST AI RMF 1.0 recommends governing, mapping, measuring, and managing AI risks across the lifecycle; apply it as the program governance backbone.</w:t>
      </w:r>
    </w:p>
    <w:p w14:paraId="305A1379" w14:textId="77777777" w:rsidR="008F6465" w:rsidRDefault="00000000">
      <w:pPr>
        <w:spacing w:after="30"/>
        <w:ind w:left="173" w:hanging="173"/>
      </w:pPr>
      <w:r>
        <w:rPr>
          <w:color w:val="5C6773"/>
          <w:sz w:val="15"/>
        </w:rPr>
        <w:t>• OWASP Top 10 for LLM Applications identifies prompt injection, sensitive information disclosure, supply-chain risk, data/model poisoning, overreliance, and model theft as key LLM application risks.</w:t>
      </w:r>
    </w:p>
    <w:p w14:paraId="0AA9C654" w14:textId="77777777" w:rsidR="008F6465" w:rsidRDefault="00000000">
      <w:pPr>
        <w:spacing w:after="30"/>
        <w:ind w:left="173" w:hanging="173"/>
      </w:pPr>
      <w:r>
        <w:rPr>
          <w:color w:val="5C6773"/>
          <w:sz w:val="15"/>
        </w:rPr>
        <w:t>• vLLM supports OpenAI-compatible local serving and offline documentation flags, making it a practical candidate for internal-only inference APIs.</w:t>
      </w:r>
    </w:p>
    <w:p w14:paraId="2E2A3A6E" w14:textId="77777777" w:rsidR="008F6465" w:rsidRDefault="00000000">
      <w:pPr>
        <w:spacing w:after="30"/>
        <w:ind w:left="173" w:hanging="173"/>
      </w:pPr>
      <w:r>
        <w:rPr>
          <w:color w:val="5C6773"/>
          <w:sz w:val="15"/>
        </w:rPr>
        <w:t>• Mistral documents Apache 2.0 open-weight options and self-hosted deployment paths; license review remains mandatory before selecting any base model.</w:t>
      </w:r>
    </w:p>
    <w:p w14:paraId="251048BF" w14:textId="77777777" w:rsidR="008F6465" w:rsidRDefault="00000000">
      <w:pPr>
        <w:spacing w:before="160" w:after="60"/>
      </w:pPr>
      <w:r>
        <w:rPr>
          <w:b/>
          <w:color w:val="1E56A0"/>
          <w:sz w:val="30"/>
        </w:rPr>
        <w:t>Recommended Next Action</w:t>
      </w:r>
    </w:p>
    <w:p w14:paraId="7CC37ABF" w14:textId="77777777" w:rsidR="008F6465" w:rsidRDefault="00000000">
      <w:pPr>
        <w:spacing w:after="80" w:line="252" w:lineRule="auto"/>
      </w:pPr>
      <w:r>
        <w:rPr>
          <w:color w:val="1F2937"/>
        </w:rPr>
        <w:t>Approve a 6-week discovery and architecture sprint: inventory ticket sources, sample and classify 25,000-50,000 historical tickets, design the air-gapped build, request vendor quotes for H100/H200-class systems and storage, and define the pilot domain. The sprint should end with a procurement-ready architecture, risk register, data-quality scorecard, and MVP backlog.</w:t>
      </w:r>
    </w:p>
    <w:sectPr w:rsidR="008F6465" w:rsidSect="00034616">
      <w:footerReference w:type="default" r:id="rId11"/>
      <w:pgSz w:w="12240" w:h="15840"/>
      <w:pgMar w:top="792"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92B7D" w14:textId="77777777" w:rsidR="00067291" w:rsidRDefault="00067291">
      <w:pPr>
        <w:spacing w:after="0" w:line="240" w:lineRule="auto"/>
      </w:pPr>
      <w:r>
        <w:separator/>
      </w:r>
    </w:p>
  </w:endnote>
  <w:endnote w:type="continuationSeparator" w:id="0">
    <w:p w14:paraId="5F0D3A4C" w14:textId="77777777" w:rsidR="00067291" w:rsidRDefault="00067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FAE4E" w14:textId="77777777" w:rsidR="008F6465" w:rsidRDefault="00000000">
    <w:pPr>
      <w:pStyle w:val="Footer"/>
      <w:jc w:val="center"/>
    </w:pPr>
    <w:r>
      <w:rPr>
        <w:color w:val="5C6773"/>
        <w:sz w:val="15"/>
      </w:rPr>
      <w:t>Confidential planning draft | Internal IT Ticket LLM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45BBD" w14:textId="77777777" w:rsidR="00067291" w:rsidRDefault="00067291">
      <w:pPr>
        <w:spacing w:after="0" w:line="240" w:lineRule="auto"/>
      </w:pPr>
      <w:r>
        <w:separator/>
      </w:r>
    </w:p>
  </w:footnote>
  <w:footnote w:type="continuationSeparator" w:id="0">
    <w:p w14:paraId="6DBC5FD7" w14:textId="77777777" w:rsidR="00067291" w:rsidRDefault="00067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836375">
    <w:abstractNumId w:val="8"/>
  </w:num>
  <w:num w:numId="2" w16cid:durableId="1830097235">
    <w:abstractNumId w:val="6"/>
  </w:num>
  <w:num w:numId="3" w16cid:durableId="882056014">
    <w:abstractNumId w:val="5"/>
  </w:num>
  <w:num w:numId="4" w16cid:durableId="1370494156">
    <w:abstractNumId w:val="4"/>
  </w:num>
  <w:num w:numId="5" w16cid:durableId="1416321563">
    <w:abstractNumId w:val="7"/>
  </w:num>
  <w:num w:numId="6" w16cid:durableId="2032409165">
    <w:abstractNumId w:val="3"/>
  </w:num>
  <w:num w:numId="7" w16cid:durableId="482358604">
    <w:abstractNumId w:val="2"/>
  </w:num>
  <w:num w:numId="8" w16cid:durableId="1282998751">
    <w:abstractNumId w:val="1"/>
  </w:num>
  <w:num w:numId="9" w16cid:durableId="141435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291"/>
    <w:rsid w:val="0015074B"/>
    <w:rsid w:val="0029639D"/>
    <w:rsid w:val="00326F90"/>
    <w:rsid w:val="008E0851"/>
    <w:rsid w:val="008F6465"/>
    <w:rsid w:val="00AA1D8D"/>
    <w:rsid w:val="00B47730"/>
    <w:rsid w:val="00CB0664"/>
    <w:rsid w:val="00DB1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C2F40D-EAB3-4B4D-8036-EB22BAC4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IT Ticket LLM Project Report</dc:title>
  <dc:subject/>
  <dc:creator>Codex</dc:creator>
  <cp:keywords/>
  <dc:description>generated by python-docx</dc:description>
  <cp:lastModifiedBy>casey grewen</cp:lastModifiedBy>
  <cp:revision>3</cp:revision>
  <dcterms:created xsi:type="dcterms:W3CDTF">2013-12-23T23:15:00Z</dcterms:created>
  <dcterms:modified xsi:type="dcterms:W3CDTF">2026-05-01T17:02:00Z</dcterms:modified>
  <cp:category/>
</cp:coreProperties>
</file>