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pBdr>
          <w:bottom w:val="single" w:sz="24" w:color="999999"/>
        </w:pBdr>
      </w:pPr>
      <w:r>
        <w:rPr>
          <w:b/>
          <w:sz w:val="36"/>
        </w:rPr>
        <w:t>Product Note</w:t>
      </w:r>
    </w:p>
    <w:p>
      <w:r>
        <w:rPr>
          <w:b w:val="0"/>
        </w:rPr>
      </w:r>
    </w:p>
    <w:p>
      <w:r>
        <w:rPr>
          <w:b/>
          <w:sz w:val="36"/>
        </w:rPr>
        <w:t>Cash Mobile — Notification Management CMS</w:t>
      </w:r>
    </w:p>
    <w:p>
      <w:r>
        <w:rPr>
          <w:b w:val="0"/>
          <w:sz w:val="22"/>
        </w:rPr>
        <w:t>Change Request | CR-CM-2026-001 | Draft v1.3</w:t>
      </w:r>
    </w:p>
    <w:p>
      <w:r>
        <w:rPr>
          <w:b/>
        </w:rPr>
        <w:t>Prepared by:</w:t>
      </w:r>
    </w:p>
    <w:p>
      <w:r>
        <w:rPr>
          <w:b w:val="0"/>
        </w:rPr>
        <w:t>________________________________</w:t>
      </w:r>
    </w:p>
    <w:p>
      <w:r>
        <w:rPr>
          <w:b w:val="0"/>
        </w:rPr>
        <w:t>Signature: __________________  Date: __________________</w:t>
      </w:r>
    </w:p>
    <w:p>
      <w:r>
        <w:rPr>
          <w:b w:val="0"/>
        </w:rPr>
      </w:r>
    </w:p>
    <w:p>
      <w:r>
        <w:rPr>
          <w:b/>
        </w:rPr>
        <w:t>Verified by:</w:t>
      </w:r>
    </w:p>
    <w:p>
      <w:r>
        <w:rPr>
          <w:b w:val="0"/>
        </w:rPr>
        <w:t>________________________________</w:t>
      </w:r>
    </w:p>
    <w:p>
      <w:r>
        <w:rPr>
          <w:b w:val="0"/>
        </w:rPr>
        <w:t>Signature: __________________  Date: __________________</w:t>
      </w:r>
    </w:p>
    <w:p>
      <w:r>
        <w:rPr>
          <w:b w:val="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2304"/>
        <w:gridCol w:w="2304"/>
      </w:tblGrid>
      <w:tr>
        <w:trPr>
          <w:cantSplit/>
          <w:tblHeader/>
        </w:trPr>
        <w:tc>
          <w:tcPr>
            <w:tcW w:type="dxa" w:w="2880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Name</w:t>
            </w:r>
          </w:p>
        </w:tc>
        <w:tc>
          <w:tcPr>
            <w:tcW w:type="dxa" w:w="2376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Designation</w:t>
            </w:r>
          </w:p>
        </w:tc>
        <w:tc>
          <w:tcPr>
            <w:tcW w:type="dxa" w:w="2304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Date</w:t>
            </w:r>
          </w:p>
        </w:tc>
        <w:tc>
          <w:tcPr>
            <w:tcW w:type="dxa" w:w="2304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Signature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Business Owner</w:t>
            </w:r>
          </w:p>
        </w:tc>
        <w:tc>
          <w:tcPr>
            <w:tcW w:type="dxa" w:w="230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Authorized Reviewer</w:t>
            </w:r>
          </w:p>
        </w:tc>
        <w:tc>
          <w:tcPr>
            <w:tcW w:type="dxa" w:w="230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30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after="0"/>
      </w:pPr>
    </w:p>
    <w:p>
      <w:r>
        <w:rPr>
          <w:b w:val="0"/>
          <w:sz w:val="20"/>
        </w:rPr>
        <w:t>Issue date: 27 October 2026</w:t>
      </w:r>
    </w:p>
    <w:p>
      <w:r>
        <w:rPr>
          <w:b w:val="0"/>
          <w:sz w:val="20"/>
        </w:rPr>
        <w:t>Scope: push notifications, campaigns and notification-performance analytics for Cash Mobile.</w:t>
      </w:r>
    </w:p>
    <w:p>
      <w:r>
        <w:t>Analytics scope: notifications and campaigns only. General user activity inside the mobile app is excluded.</w:t>
      </w:r>
    </w:p>
    <w:p>
      <w:r>
        <w:br w:type="page"/>
      </w:r>
    </w:p>
    <w:p>
      <w:r>
        <w:rPr>
          <w:b/>
          <w:sz w:val="32"/>
        </w:rPr>
        <w:t>Table of contents:</w:t>
      </w:r>
    </w:p>
    <w:p>
      <w:r>
        <w:rPr>
          <w:b w:val="0"/>
        </w:rPr>
      </w:r>
    </w:p>
    <w:p>
      <w:pPr>
        <w:tabs>
          <w:tab w:pos="9720" w:val="right" w:leader="dot"/>
        </w:tabs>
        <w:spacing w:after="320"/>
      </w:pPr>
      <w:r>
        <w:rPr>
          <w:b w:val="0"/>
        </w:rPr>
        <w:t>1.  Purpose of Document</w:t>
        <w:tab/>
        <w:t>3</w:t>
      </w:r>
    </w:p>
    <w:p>
      <w:pPr>
        <w:tabs>
          <w:tab w:pos="9720" w:val="right" w:leader="dot"/>
        </w:tabs>
        <w:spacing w:after="320"/>
      </w:pPr>
      <w:r>
        <w:rPr>
          <w:b w:val="0"/>
        </w:rPr>
        <w:t>2.  Specific Objectives</w:t>
        <w:tab/>
        <w:t>4</w:t>
      </w:r>
    </w:p>
    <w:p>
      <w:pPr>
        <w:tabs>
          <w:tab w:pos="9720" w:val="right" w:leader="dot"/>
        </w:tabs>
        <w:spacing w:after="320"/>
      </w:pPr>
      <w:r>
        <w:rPr>
          <w:b w:val="0"/>
        </w:rPr>
        <w:t>3.  Technical Requirements</w:t>
        <w:tab/>
        <w:t>5</w:t>
      </w:r>
    </w:p>
    <w:p>
      <w:pPr>
        <w:tabs>
          <w:tab w:pos="9720" w:val="right" w:leader="dot"/>
        </w:tabs>
        <w:spacing w:after="320"/>
      </w:pPr>
      <w:r>
        <w:rPr>
          <w:b w:val="0"/>
        </w:rPr>
        <w:t>4.  Document History</w:t>
        <w:tab/>
        <w:t>16</w:t>
      </w:r>
    </w:p>
    <w:p>
      <w:r>
        <w:rPr>
          <w:b w:val="0"/>
        </w:rPr>
      </w:r>
    </w:p>
    <w:p>
      <w:r>
        <w:rPr>
          <w:b/>
          <w:sz w:val="24"/>
        </w:rPr>
        <w:t>Document scope</w:t>
      </w:r>
    </w:p>
    <w:p>
      <w:r>
        <w:rPr>
          <w:b w:val="0"/>
        </w:rPr>
        <w:t>This CR covers the Cash Mobile notification CMS. It does not cover the later telecom application or corporate website content-management scope. The five chapters removed in Draft v1.1 remain excluded.</w:t>
      </w:r>
    </w:p>
    <w:p>
      <w:r>
        <w:rPr>
          <w:b w:val="0"/>
        </w:rPr>
        <w:t>This is a proposed requirements draft; listed capabilities are not a declaration of completed implementation.</w:t>
      </w:r>
    </w:p>
    <w:p>
      <w:r>
        <w:rPr>
          <w:b w:val="0"/>
        </w:rPr>
        <w:t>Language: English. Customer-facing field labels are also shown in Arabic where relevant.</w:t>
      </w:r>
    </w:p>
    <w:p>
      <w:r>
        <w:br w:type="page"/>
      </w:r>
    </w:p>
    <w:p>
      <w:pPr>
        <w:pStyle w:val="Heading1"/>
        <w:keepNext/>
      </w:pPr>
      <w:r>
        <w:t>1.  PURPOSE OF DOCUMENT</w:t>
      </w:r>
    </w:p>
    <w:p>
      <w:r>
        <w:rPr>
          <w:b w:val="0"/>
        </w:rPr>
        <w:t>Provide a controlled CMS for Cash Mobile communications: compose and schedule push campaigns, target verified customers, manage automatic notifications for confirmed financial events, and review campaign outcomes and notification-performance analytics only.</w:t>
      </w:r>
    </w:p>
    <w:p>
      <w:r>
        <w:rPr>
          <w:b w:val="0"/>
        </w:rPr>
        <w:t>The payment system remains responsible for customer authentication, account ownership, balances and financial execution. This CMS does not execute or edit financial transactions.</w:t>
      </w:r>
    </w:p>
    <w:p>
      <w:pPr>
        <w:pStyle w:val="Heading2"/>
        <w:keepNext/>
      </w:pPr>
      <w:r>
        <w:t>Scope and Boundaries</w:t>
      </w:r>
    </w:p>
    <w:p>
      <w:r>
        <w:rPr>
          <w:b w:val="0"/>
        </w:rPr>
        <w:t>Provide a controlled CMS for Cash Mobile communications: send and schedule campaigns, target customer phone numbers or uploaded lists, automatically notify customers of confirmed financial events, and measure notification and campaign outcomes only.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88"/>
      </w:tblGrid>
      <w:tr>
        <w:trPr>
          <w:cantSplit/>
          <w:tblHeader/>
        </w:trPr>
        <w:tc>
          <w:tcPr>
            <w:tcW w:type="dxa" w:w="2376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In scope</w:t>
            </w:r>
          </w:p>
        </w:tc>
        <w:tc>
          <w:tcPr>
            <w:tcW w:type="dxa" w:w="7488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Release expectation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Campaign messaging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All eligible accounts, selected phone numbers, CSV/XLSX audience upload, scheduling, approvals, cancellation and controlled resend.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Transactional notifications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Incoming transfers as the primary use case; configurable catalogue for payments, top-ups, failures, refunds and reminders.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CMS interface</w:t>
            </w:r>
          </w:p>
        </w:tc>
        <w:tc>
          <w:tcPr>
            <w:tcW w:type="dxa" w:w="7488"/>
            <w:vAlign w:val="center"/>
          </w:tcPr>
          <w:p>
            <w:r>
              <w:t>Dashboard, campaigns, automated notifications, customers, notification analytics, users/roles, audit logs and settings; English/Arabic and RTL.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Reporting</w:t>
            </w:r>
          </w:p>
        </w:tc>
        <w:tc>
          <w:tcPr>
            <w:tcW w:type="dxa" w:w="7488"/>
            <w:vAlign w:val="center"/>
          </w:tcPr>
          <w:p>
            <w:r>
              <w:t>Notification and campaign counts, provider outcomes, notification errors and observed receipt/open evidence where available. No app sessions, page visits, time spent or generic action tracking.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Integration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Existing payment-system identity, registered devices, backend event interface, reliable event persistence and monitoring.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Out of scope unless separately approved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Reason / boundary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SMS, email, USSD and message inbox chat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This CR concerns mobile push notifications.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Financial execution or balance editing in CMS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The payment backend remains the financial system of record.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Replacing Cash Mobile login / customer registration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Existing company authentication remains authoritative.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General in-app activity and user-behavior tracking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App sessions, screen/page visits, time spent, generic button clicks, navigation journeys, screen recording and keystroke/input collection are outside this CR.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Guaranteed push delivery or exact-once network transport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Delivery depends on devices, permissions, connectivity and provider behavior.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iOS, non-GMS Android and new paid infrastructure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Require explicit technical and commercial scope decisions.</w:t>
            </w:r>
          </w:p>
        </w:tc>
      </w:tr>
    </w:tbl>
    <w:p>
      <w:pPr>
        <w:spacing w:after="0"/>
      </w:pPr>
    </w:p>
    <w:p>
      <w:r>
        <w:rPr>
          <w:b w:val="0"/>
        </w:rPr>
        <w:t>NOTE: Budget assumption: begin with existing infrastructure and free service tiers where practical. Free-tier capacity must be measured against expected load; this CR does not assume unlimited free events, storage or campaigns.</w:t>
      </w:r>
    </w:p>
    <w:p>
      <w:pPr>
        <w:pStyle w:val="Heading1"/>
        <w:keepNext/>
      </w:pPr>
      <w:r>
        <w:t>2.  SPECIFIC OBJECTIVES</w:t>
      </w:r>
    </w:p>
    <w:p>
      <w:r>
        <w:rPr>
          <w:b w:val="0"/>
        </w:rPr>
        <w:t>• Allow authorized staff to send immediate or scheduled notifications to all eligible customers, selected numbers, segments or imported lists.</w:t>
      </w:r>
    </w:p>
    <w:p>
      <w:r>
        <w:rPr>
          <w:b w:val="0"/>
        </w:rPr>
        <w:t>• Notify the correct subscriber automatically after a confirmed incoming transfer or another approved payment-system event.</w:t>
      </w:r>
    </w:p>
    <w:p>
      <w:r>
        <w:rPr>
          <w:b w:val="0"/>
        </w:rPr>
        <w:t>• Provide clear visibility of provider acceptance, failures, unknown outcomes and observed receipt/open activity where available.</w:t>
      </w:r>
    </w:p>
    <w:p>
      <w:r>
        <w:rPr>
          <w:b w:val="0"/>
        </w:rPr>
        <w:t>• Support controlled approvals and linked resends while preserving campaign history.</w:t>
      </w:r>
    </w:p>
    <w:p>
      <w:r>
        <w:rPr>
          <w:b w:val="0"/>
        </w:rPr>
        <w:t>• Provide scoped subscriber/device views, notification-performance reports and staff-role management. General in-app user-behavior tracking is outside scope.</w:t>
      </w:r>
    </w:p>
    <w:p>
      <w:r>
        <w:rPr>
          <w:b w:val="0"/>
        </w:rPr>
        <w:t>Android is the initial mobile target. iOS and non-GMS Android require separate scope confirmation. SMS, email and USSD are outside this push-notification CR.</w:t>
      </w:r>
    </w:p>
    <w:p>
      <w:r>
        <w:br w:type="page"/>
      </w:r>
    </w:p>
    <w:p>
      <w:pPr>
        <w:pStyle w:val="Heading1"/>
        <w:keepNext/>
      </w:pPr>
      <w:r>
        <w:t>3.  TECHNICAL REQUIREMENTS</w:t>
      </w:r>
    </w:p>
    <w:p>
      <w:r>
        <w:rPr>
          <w:b w:val="0"/>
        </w:rPr>
        <w:t>CMS navigation: Dashboard → Campaigns → Automated Notifications → Customers → Notification Analytics → CMS Users &amp; Roles → Audit Logs → Settings.</w:t>
      </w:r>
    </w:p>
    <w:p>
      <w:pPr>
        <w:pStyle w:val="Heading2"/>
        <w:keepNext/>
      </w:pPr>
      <w:r>
        <w:t>3.1  Actors, Identity &amp; Customer/Device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88"/>
      </w:tblGrid>
      <w:tr>
        <w:trPr>
          <w:cantSplit/>
          <w:tblHeader/>
        </w:trPr>
        <w:tc>
          <w:tcPr>
            <w:tcW w:type="dxa" w:w="2376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Actor</w:t>
            </w:r>
          </w:p>
        </w:tc>
        <w:tc>
          <w:tcPr>
            <w:tcW w:type="dxa" w:w="7488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Responsibility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Cash Mobile customer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Uses the payment app; receives notifications and manages permitted preferences.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CMS operator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Creates audiences, composes campaigns and monitors results within assigned permissions.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CMS approver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Independently reviews and approves or rejects campaigns when policy requires approval.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Payment backend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Authenticates customers, confirms financial events and resolves the true event recipient.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Notification service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Persists events, selects eligible devices, sends through FCM and records outcomes.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Mobile application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Registers tokens; receives, displays and opens notifications; acknowledges notification-specific receipt/open evidence where supported; no app-wide usage tracking.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Required identity and device behavior</w:t>
      </w:r>
    </w:p>
    <w:p>
      <w:pPr>
        <w:pStyle w:val="Heading3"/>
        <w:keepNext/>
      </w:pPr>
      <w:r>
        <w:t>FR-ID-01 — Authoritative identity</w:t>
      </w:r>
    </w:p>
    <w:p>
      <w:r>
        <w:rPr>
          <w:b w:val="0"/>
        </w:rPr>
        <w:t>Use an immutable customer ID from the payment backend. Phone number and name are display/search attributes; changes to phone number must not create a new customer or transfer another customer’s history.</w:t>
      </w:r>
    </w:p>
    <w:p>
      <w:pPr>
        <w:pStyle w:val="Heading3"/>
        <w:keepNext/>
      </w:pPr>
      <w:r>
        <w:t>FR-ID-02 — Automatic device binding</w:t>
      </w:r>
    </w:p>
    <w:p>
      <w:r>
        <w:rPr>
          <w:b w:val="0"/>
        </w:rPr>
        <w:t>After successful app login, register the installation ID and FCM token against the authenticated customer. The backend derives customer identity from its verified session, not a client-selected customer ID.</w:t>
      </w:r>
    </w:p>
    <w:p>
      <w:pPr>
        <w:pStyle w:val="Heading3"/>
        <w:keepNext/>
      </w:pPr>
      <w:r>
        <w:t>FR-ID-03 — Token and permission lifecycle</w:t>
      </w:r>
    </w:p>
    <w:p>
      <w:r>
        <w:rPr>
          <w:b w:val="0"/>
        </w:rPr>
        <w:t>Update rotated tokens; record last-seen, app version, platform, permission state and preferences. Denying notification permission must not block login or payment.</w:t>
      </w:r>
    </w:p>
    <w:p>
      <w:pPr>
        <w:pStyle w:val="Heading3"/>
        <w:keepNext/>
      </w:pPr>
      <w:r>
        <w:t>FR-ID-04 — Multiple devices and logout</w:t>
      </w:r>
    </w:p>
    <w:p>
      <w:r>
        <w:rPr>
          <w:b w:val="0"/>
        </w:rPr>
        <w:t>Support multiple active devices per account. Confirmed logout deactivates that device binding, while other devices remain active. Clear customer-specific local data when switching accounts.</w:t>
      </w:r>
    </w:p>
    <w:p>
      <w:pPr>
        <w:pStyle w:val="Heading3"/>
        <w:keepNext/>
      </w:pPr>
      <w:r>
        <w:t>FR-ID-05 — Eligibility and preferences</w:t>
      </w:r>
    </w:p>
    <w:p>
      <w:r>
        <w:rPr>
          <w:b w:val="0"/>
        </w:rPr>
        <w:t>Select active devices compatible with the audience and notification category. Keep marketing consent separate from transaction categories; respect OS permission restrictions.</w:t>
      </w:r>
    </w:p>
    <w:p>
      <w:pPr>
        <w:pStyle w:val="Heading3"/>
        <w:keepNext/>
      </w:pPr>
      <w:r>
        <w:t>FR-ID-06 — Ownership at send/open time</w:t>
      </w:r>
    </w:p>
    <w:p>
      <w:r>
        <w:rPr>
          <w:b w:val="0"/>
        </w:rPr>
        <w:t>Recheck device ownership before dispatch. On open, authenticate and authorize access to transaction details. An in-flight OS notification may not be retractable; keep lock-screen content appropriately limited.</w:t>
      </w:r>
    </w:p>
    <w:p>
      <w:pPr>
        <w:pStyle w:val="Heading2"/>
        <w:keepNext/>
      </w:pPr>
      <w:r>
        <w:t>3.2  CMS Interface &amp; Navigation</w:t>
      </w:r>
    </w:p>
    <w:p>
      <w:r>
        <w:rPr>
          <w:b w:val="0"/>
        </w:rPr>
        <w:t>The visual direction follows the Cash Mobile reference: a dark navy sidebar, yellow primary actions, white cards and tables on a light background, and the original transparent Cash Mobile logo.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88"/>
      </w:tblGrid>
      <w:tr>
        <w:trPr>
          <w:cantSplit/>
          <w:tblHeader/>
        </w:trPr>
        <w:tc>
          <w:tcPr>
            <w:tcW w:type="dxa" w:w="2376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Area</w:t>
            </w:r>
          </w:p>
        </w:tc>
        <w:tc>
          <w:tcPr>
            <w:tcW w:type="dxa" w:w="7488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Required interface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Sidebar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Dashboard; Campaigns; Automated Notifications; Customers; Notification Analytics; CMS Users &amp; Roles; Audit Logs; Settings. Hide inaccessible functions according to role.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Top bar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Page title and breadcrumb; contextual search; operational alerts; language selector; administrator profile and logout.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Dashboard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Date/customer/type filters, key statistics, recent campaigns, delivery chart, status/type breakdown, recent activity and quick actions.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Tables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Search, sorting, status/date filters, pagination, visible total count, clear empty states and permitted CSV/XLSX export.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Forms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Required-field validation, previews, explicit save/submit states, loading indicators and actionable error messages.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Responsive layout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Desktop sidebar and grids; compact mobile navigation; readable forms; table scrolling contained within the table area.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Languages / accessibility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English LTR and Arabic RTL, consistent terminology, keyboard navigation, focus indicators, readable contrast and text labels alongside status colors.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Data integrity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Use actual records. Show N/A when a metric is not instrumented, and zero only when a supported metric has no results.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Illustrative dashboard layout</w:t>
      </w:r>
    </w:p>
    <w:p>
      <w:pPr>
        <w:pStyle w:val="Heading2"/>
        <w:keepNext/>
      </w:pPr>
      <w:r>
        <w:t>3.3  Dashboard, Filters &amp; Metric Definitions</w:t>
      </w:r>
    </w:p>
    <w:p>
      <w:r>
        <w:rPr>
          <w:b w:val="0"/>
        </w:rPr>
        <w:t>Every metric MUST display its date range, unit and definition. Distinguish customers, logical notifications and per-device delivery attempts. Store timestamps in UTC and display the configured IANA timezone.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88"/>
      </w:tblGrid>
      <w:tr>
        <w:trPr>
          <w:cantSplit/>
          <w:tblHeader/>
        </w:trPr>
        <w:tc>
          <w:tcPr>
            <w:tcW w:type="dxa" w:w="2376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Metric</w:t>
            </w:r>
          </w:p>
        </w:tc>
        <w:tc>
          <w:tcPr>
            <w:tcW w:type="dxa" w:w="7488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Definition / date basis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Total customers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Accounts synchronized from the payment system; current snapshot, shown separately from date-period activity.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Eligible audience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Distinct customers with at least one active device satisfying the category, audience and consent rules; current snapshot at validation or dispatch.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Campaign count by status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Campaigns created in the selected period, grouped by current draft/approval/scheduled/sending/completed/cancelled status.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Device delivery outcomes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Distinct delivery IDs created in the selected cohort; queued, sending, accepted, failed, unknown, expired or cancelled. Show the cohort basis in the UI.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Confirmed acceptance rate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Accepted / (accepted + failed + unknown), excluding queued/sending/cancelled/expired records. Unknown must be displayed separately and must not be labelled a confirmed failure.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Potential customer reach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Distinct customers with at least one FCM-accepted device delivery; not proof that the user saw the notification.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Observed receipts / opens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Distinct accepted device delivery IDs with authenticated received/opened events; attribute late events to the original delivery cohort.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Observed receipt / open rate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Observed distinct delivery receipts or opens / accepted device deliveries. Label measurement coverage and N/A if application tracking is unavailable.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Operational health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Queue depth, oldest pending age, dispatch latency, failures by reason, unknown outcomes and invalid-token count.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Required filters and chart behavior</w:t>
      </w:r>
    </w:p>
    <w:p>
      <w:r>
        <w:rPr>
          <w:b w:val="0"/>
        </w:rPr>
        <w:t>• Date range and display timezone; campaign, notification category/type, status, audience and platform.</w:t>
      </w:r>
    </w:p>
    <w:p>
      <w:r>
        <w:rPr>
          <w:b w:val="0"/>
        </w:rPr>
        <w:t>• Customer ID, phone/name search and app version where supported; mask identifiers for restricted roles.</w:t>
      </w:r>
    </w:p>
    <w:p>
      <w:r>
        <w:rPr>
          <w:b w:val="0"/>
        </w:rPr>
        <w:t>• Charts for delivery trends, event types, campaign states and failure reasons; campaign and transaction datasets remain distinguishable.</w:t>
      </w:r>
    </w:p>
    <w:p>
      <w:r>
        <w:rPr>
          <w:b w:val="0"/>
        </w:rPr>
        <w:t>• Use the same cohort for a rate numerator and denominator. Explain whether a date filter uses campaign creation, delivery creation or notification-specific acknowledgement time.</w:t>
      </w:r>
    </w:p>
    <w:p>
      <w:r>
        <w:rPr>
          <w:b w:val="0"/>
        </w:rPr>
        <w:t>• Comparison against the previous equivalent period is optional; display N/A when comparable data is unavailable.</w:t>
      </w:r>
    </w:p>
    <w:p>
      <w:r>
        <w:rPr>
          <w:b w:val="0"/>
        </w:rPr>
        <w:t>• Export must preserve the applied filters, metric definitions and timezone, and be audited.</w:t>
      </w:r>
    </w:p>
    <w:p>
      <w:pPr>
        <w:pStyle w:val="Heading2"/>
        <w:keepNext/>
      </w:pPr>
      <w:r>
        <w:t>3.4  Campaign Creation &amp; Audience Targeting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88"/>
      </w:tblGrid>
      <w:tr>
        <w:trPr>
          <w:cantSplit/>
          <w:tblHeader/>
        </w:trPr>
        <w:tc>
          <w:tcPr>
            <w:tcW w:type="dxa" w:w="2376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ID</w:t>
            </w:r>
          </w:p>
        </w:tc>
        <w:tc>
          <w:tcPr>
            <w:tcW w:type="dxa" w:w="7488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Requirement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FR-CMP-01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Create/edit a draft with internal campaign name, category, language, notification title/body and an approved destination screen. Show a device-style preview and validate length/encoding before submission.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FR-CMP-02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Choose all eligible customers, manually entered phone numbers, a selected customer list, or a CSV/XLSX upload. These modes select existing accounts; importing a number must not create a customer account.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FR-CMP-03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Normalize and validate recipient numbers, resolve them to immutable customer IDs, remove duplicates and calculate distinct eligible customers and device deliveries.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FR-CMP-04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Show included/excluded counts and reasons, including invalid number, unmatched account, no active device, permission/consent exclusion and duplicate.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FR-CMP-05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Require a final review of title/body, destination, audience counts, category and delivery time before approval/send. Never substitute all users for an empty or invalid audience.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FR-CMP-06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Freeze the approved content and customer-ID audience snapshot. Re-evaluate device eligibility and account status at dispatch; expose changes between reviewed and actual eligible counts.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FR-CMP-07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For all-customer campaigns, snapshot eligible customer IDs at final approval. Newly created accounts after that point are excluded; an explicit audience refresh requires reapproval.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FR-CMP-08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Record the creator, reviewer, source list, template/content version and all lifecycle changes. Internal notes must not appear in the delivered notification.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Illustrative campaign composer</w:t>
      </w:r>
    </w:p>
    <w:p>
      <w:r>
        <w:rPr>
          <w:b w:val="0"/>
        </w:rPr>
        <w:t>Audience validation and final confirmation are required workflow stages, regardless of whether the final UI uses tabs, panels or a stepper.</w:t>
      </w:r>
    </w:p>
    <w:p>
      <w:pPr>
        <w:pStyle w:val="Heading2"/>
        <w:keepNext/>
      </w:pPr>
      <w:r>
        <w:t>3.5  Recipient File Import &amp; Validation</w:t>
      </w:r>
    </w:p>
    <w:p>
      <w:pPr>
        <w:pStyle w:val="Heading3"/>
        <w:keepNext/>
      </w:pPr>
      <w:r>
        <w:t>Supported formats and template</w:t>
      </w:r>
    </w:p>
    <w:p>
      <w:r>
        <w:rPr>
          <w:b w:val="0"/>
        </w:rPr>
        <w:t>FR-IMP-01: support UTF-8 CSV and XLSX. Provide downloadable templates. A phone_number column is mandatory; optional customer_id and name columns may be supported. XLS, XLSM, macros and executable content are not supported.</w:t>
      </w:r>
    </w:p>
    <w:p>
      <w:r>
        <w:rPr>
          <w:b w:val="0"/>
          <w:sz w:val="18"/>
        </w:rPr>
        <w:t>phone_number,customer_id,name</w:t>
      </w:r>
    </w:p>
    <w:p>
      <w:r>
        <w:rPr>
          <w:b w:val="0"/>
          <w:sz w:val="18"/>
        </w:rPr>
        <w:t>&lt;international phone&gt;,&lt;optional stable customer ID&gt;,&lt;optional display name&gt;</w:t>
      </w:r>
    </w:p>
    <w:p>
      <w:r>
        <w:rPr>
          <w:b w:val="0"/>
        </w:rPr>
        <w:t>Phone cells must be read as strings to preserve + and leading zeroes. Support Arabic digit normalization and common whitespace/separators. Use the configured country rule only when an unambiguous local number can be normalized; otherwise report it as invalid. Never silently guess the country.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88"/>
      </w:tblGrid>
      <w:tr>
        <w:trPr>
          <w:cantSplit/>
          <w:tblHeader/>
        </w:trPr>
        <w:tc>
          <w:tcPr>
            <w:tcW w:type="dxa" w:w="2376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Stage</w:t>
            </w:r>
          </w:p>
        </w:tc>
        <w:tc>
          <w:tcPr>
            <w:tcW w:type="dxa" w:w="7488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Required result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Upload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Validate extension, content format and configured size/row limits. Use bounded parsing and avoid storing unnecessary source-file data.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Column mapping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Recognize or let the operator map the phone column; reject missing required columns with a clear message.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Normalization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Convert to canonical international format, preserving the original row reference for feedback.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Resolution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Match the normalized number to the authoritative customer directory. If customer_id is supplied, it must identify the same account as the phone; reject mismatches.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Deduplication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Deduplicate by resolved immutable customer ID, not only raw phone text; do not send twice when the same account appears multiple times.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Eligibility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Evaluate active devices, notification permissions, category preferences, platform and environment.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Preview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Show original row count, invalid rows, duplicate rows, unresolved unique accounts, excluded unique accounts, and eligible customers/device deliveries. Clearly label row-based vs customer-based counts.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Operator decision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Permit sending to the validated eligible subset only after explicit acknowledgement of exclusions, or allow correction/re-upload. Block an empty result.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Error report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Download rejected rows with row number and reason. Escape spreadsheet-formula prefixes in exports. Customer data must be visible only to authorized staff.</w:t>
            </w:r>
          </w:p>
        </w:tc>
      </w:tr>
    </w:tbl>
    <w:p>
      <w:pPr>
        <w:spacing w:after="0"/>
      </w:pPr>
    </w:p>
    <w:p>
      <w:r>
        <w:rPr>
          <w:b w:val="0"/>
        </w:rPr>
        <w:t>NOTE: Proposed first-release limits: 10,000 rows and 5 MB per file, configurable and subject to load testing on the selected hosting plan. These are proposed product limits, not confirmed platform capacity.</w:t>
      </w:r>
    </w:p>
    <w:p>
      <w:pPr>
        <w:pStyle w:val="Heading3"/>
        <w:keepNext/>
      </w:pPr>
      <w:r>
        <w:t>Stored audience behavior</w:t>
      </w:r>
    </w:p>
    <w:p>
      <w:r>
        <w:rPr>
          <w:b w:val="0"/>
        </w:rPr>
        <w:t>Retain the normalized customer-ID snapshot and import summary for audit. Remove the original file according to retention policy. If a customer changes phone number later, the approved campaign continues to refer to the same customer ID; devices are revalidated before sending.</w:t>
      </w:r>
    </w:p>
    <w:p>
      <w:pPr>
        <w:pStyle w:val="Heading2"/>
        <w:keepNext/>
      </w:pPr>
      <w:r>
        <w:t>3.6  Scheduling, Approvals, Sending &amp; Resending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88"/>
      </w:tblGrid>
      <w:tr>
        <w:trPr>
          <w:cantSplit/>
          <w:tblHeader/>
        </w:trPr>
        <w:tc>
          <w:tcPr>
            <w:tcW w:type="dxa" w:w="2376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ID</w:t>
            </w:r>
          </w:p>
        </w:tc>
        <w:tc>
          <w:tcPr>
            <w:tcW w:type="dxa" w:w="7488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Requirement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FR-SCH-01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Support Send Now and Schedule. Capture local date/time and an explicit IANA timezone, show the UTC equivalent, and reject a past schedule. Handle ambiguous/nonexistent daylight-saving times explicitly.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FR-SCH-02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Only valid, approved campaigns may enter the scheduled queue when approval is enabled. Pending approvals are not dispatchable.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FR-SCH-03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Allow permitted editing/cancellation before dispatch. A change to content, audience, destination or delivery time invalidates approval and requires review again.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FR-SCH-04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Show estimated recipient/device counts and processing status. Do not describe scheduled time as a guaranteed device-receipt time.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FR-SND-01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Claim each delivery atomically, process bounded batches, persist results and recover interrupted work without indiscriminate re-sending.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FR-SND-02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Cancellation during sending stops only unsent work. Already submitted/in-flight notifications cannot be guaranteed to be recalled; show submitted and cancelled counts separately.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FR-SND-03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Resend creates a new campaign/attempt linked to the original and preserves the selected customer IDs. Default to a new draft and approval; never overwrite historical outcomes.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FR-SND-04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Offer clearly defined resend audiences, such as original selected customers or confirmed failed deliveries. Unknown outcomes require explicit operator acknowledgement before a repeat.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FR-APR-01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Approval is configurable by campaign category, audience size or operator role. Proposed production default: campaign approval enabled with author self-approval blocked.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FR-APR-02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Approvers see the full preview, resolved audience summary, scheduling/timezone, exclusions and prior revisions before approving or rejecting with a reason.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Campaign lifecycle</w:t>
      </w:r>
    </w:p>
    <w:p>
      <w:r>
        <w:rPr>
          <w:b w:val="0"/>
          <w:sz w:val="18"/>
        </w:rPr>
        <w:t>Draft -&gt; Pending Approval -&gt; Approved -&gt; Scheduled / Ready</w:t>
      </w:r>
    </w:p>
    <w:p>
      <w:r>
        <w:rPr>
          <w:b w:val="0"/>
          <w:sz w:val="18"/>
        </w:rPr>
        <w:t xml:space="preserve">      -&gt; Sending -&gt; Completed</w:t>
      </w:r>
    </w:p>
    <w:p>
      <w:r>
        <w:rPr>
          <w:b w:val="0"/>
          <w:sz w:val="18"/>
        </w:rPr>
        <w:t>Rejected -&gt; Draft revision</w:t>
      </w:r>
    </w:p>
    <w:p>
      <w:r>
        <w:rPr>
          <w:b w:val="0"/>
          <w:sz w:val="18"/>
        </w:rPr>
        <w:t>Scheduled / Ready -&gt; Cancelled</w:t>
      </w:r>
    </w:p>
    <w:p>
      <w:r>
        <w:rPr>
          <w:b w:val="0"/>
          <w:sz w:val="18"/>
        </w:rPr>
        <w:t>Sending -&gt; Completed with cancelled unsent work</w:t>
      </w:r>
    </w:p>
    <w:p>
      <w:r>
        <w:rPr>
          <w:b w:val="0"/>
          <w:sz w:val="18"/>
        </w:rPr>
        <w:t>Interrupted processing -&gt; Recoverable state / Operator review</w:t>
      </w:r>
    </w:p>
    <w:p>
      <w:r>
        <w:rPr>
          <w:b w:val="0"/>
        </w:rPr>
        <w:t>Completed means no dispatchable work remains; it does not mean every device received or opened the message. Outcome counters must communicate partial acceptance, failures, unknown results and cancellations.</w:t>
      </w:r>
    </w:p>
    <w:p>
      <w:pPr>
        <w:pStyle w:val="Heading2"/>
        <w:keepNext/>
      </w:pPr>
      <w:r>
        <w:t>3.7  Automated Notifications &amp; Event Catalogue</w:t>
      </w:r>
    </w:p>
    <w:p>
      <w:r>
        <w:rPr>
          <w:b w:val="0"/>
        </w:rPr>
        <w:t>FR-AUTO-01: automatic notifications originate from trusted backend events after the underlying business state is confirmed. They are not triggered by a mobile screen claiming that a payment succeeded.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5616"/>
        <w:gridCol w:w="2520"/>
      </w:tblGrid>
      <w:tr>
        <w:trPr>
          <w:cantSplit/>
          <w:tblHeader/>
        </w:trPr>
        <w:tc>
          <w:tcPr>
            <w:tcW w:type="dxa" w:w="1728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Event type</w:t>
            </w:r>
          </w:p>
        </w:tc>
        <w:tc>
          <w:tcPr>
            <w:tcW w:type="dxa" w:w="5616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Recipient and trigger</w:t>
            </w:r>
          </w:p>
        </w:tc>
        <w:tc>
          <w:tcPr>
            <w:tcW w:type="dxa" w:w="2520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Requirement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transfer_received</w:t>
            </w:r>
          </w:p>
        </w:tc>
        <w:tc>
          <w:tcPr>
            <w:tcW w:type="dxa" w:w="561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Recipient of a confirmed, posted incoming transfer</w:t>
            </w:r>
          </w:p>
        </w:tc>
        <w:tc>
          <w:tcPr>
            <w:tcW w:type="dxa" w:w="252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Mandatory primary use case. Resolve the actual recipient, not the initiating user.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invoice_paid</w:t>
            </w:r>
          </w:p>
        </w:tc>
        <w:tc>
          <w:tcPr>
            <w:tcW w:type="dxa" w:w="561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Payer after final bill-payment confirmation</w:t>
            </w:r>
          </w:p>
        </w:tc>
        <w:tc>
          <w:tcPr>
            <w:tcW w:type="dxa" w:w="252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Include safe transaction reference/destination; do not notify on a merely pending status.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balance_topup</w:t>
            </w:r>
          </w:p>
        </w:tc>
        <w:tc>
          <w:tcPr>
            <w:tcW w:type="dxa" w:w="561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Account owner after confirmed top-up</w:t>
            </w:r>
          </w:p>
        </w:tc>
        <w:tc>
          <w:tcPr>
            <w:tcW w:type="dxa" w:w="252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Backend-confirmed credit event.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operation_failed</w:t>
            </w:r>
          </w:p>
        </w:tc>
        <w:tc>
          <w:tcPr>
            <w:tcW w:type="dxa" w:w="561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Affected customer after a confirmed final rejection/failure</w:t>
            </w:r>
          </w:p>
        </w:tc>
        <w:tc>
          <w:tcPr>
            <w:tcW w:type="dxa" w:w="252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An unknown payment result is not a confirmed failure.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payment_refunded</w:t>
            </w:r>
          </w:p>
        </w:tc>
        <w:tc>
          <w:tcPr>
            <w:tcW w:type="dxa" w:w="561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Customer after an actual completed refund</w:t>
            </w:r>
          </w:p>
        </w:tc>
        <w:tc>
          <w:tcPr>
            <w:tcW w:type="dxa" w:w="252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New event linked to the original transaction, not reuse of the original success event.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invoice_reminder</w:t>
            </w:r>
          </w:p>
        </w:tc>
        <w:tc>
          <w:tcPr>
            <w:tcW w:type="dxa" w:w="561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Customer with a due invoice at a configured reminder time</w:t>
            </w:r>
          </w:p>
        </w:tc>
        <w:tc>
          <w:tcPr>
            <w:tcW w:type="dxa" w:w="252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Scheduled backend rule; prevent repeated reminders for the same rule occurrence.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security_alert</w:t>
            </w:r>
          </w:p>
        </w:tc>
        <w:tc>
          <w:tcPr>
            <w:tcW w:type="dxa" w:w="561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Affected account after an approved security event</w:t>
            </w:r>
          </w:p>
        </w:tc>
        <w:tc>
          <w:tcPr>
            <w:tcW w:type="dxa" w:w="252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Optional catalogue item; content and preferences require business policy.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Template and rule management</w:t>
      </w:r>
    </w:p>
    <w:p>
      <w:r>
        <w:rPr>
          <w:b w:val="0"/>
        </w:rPr>
        <w:t>• FR-AUTO-02: Manage type key, display name, description, category, language variants, title/body templates, allowed variables, destination screen and enabled state.</w:t>
      </w:r>
    </w:p>
    <w:p>
      <w:r>
        <w:rPr>
          <w:b w:val="0"/>
        </w:rPr>
        <w:t>• FR-AUTO-03: Validate variables against a type-specific schema, reject unknown placeholders, and provide a sample preview without using real customer secrets.</w:t>
      </w:r>
    </w:p>
    <w:p>
      <w:r>
        <w:rPr>
          <w:b w:val="0"/>
        </w:rPr>
        <w:t>• FR-AUTO-04: Version templates. Save the resolved/versioned content for a queued event so later edits cannot silently change a previously approved or queued message.</w:t>
      </w:r>
    </w:p>
    <w:p>
      <w:r>
        <w:rPr>
          <w:b w:val="0"/>
        </w:rPr>
        <w:t>• FR-AUTO-05: Apply role-controlled template changes and an auditable activation process. Critical financial/security template changes SHOULD require independent review.</w:t>
      </w:r>
    </w:p>
    <w:p>
      <w:r>
        <w:rPr>
          <w:b w:val="0"/>
        </w:rPr>
        <w:t>• FR-AUTO-06: Automatic financial events do not wait for manual campaign approval. Apply the already approved event rule/template and dispatch eligibility rules.</w:t>
      </w:r>
    </w:p>
    <w:p>
      <w:r>
        <w:rPr>
          <w:b w:val="0"/>
        </w:rPr>
        <w:t>• FR-AUTO-07: Provide a test-only mode restricted to explicit test accounts/devices and environment. A test event must not execute any real financial operation.</w:t>
      </w:r>
    </w:p>
    <w:p>
      <w:pPr>
        <w:pStyle w:val="Heading2"/>
        <w:keepNext/>
      </w:pPr>
      <w:r>
        <w:t>3.8  Incoming Transfer — End-to-End Flow</w:t>
      </w:r>
    </w:p>
    <w:p>
      <w:r>
        <w:rPr>
          <w:b w:val="0"/>
        </w:rPr>
        <w:t>[Vector flow: confirmed transfer to authenticated detail view]</w:t>
      </w:r>
    </w:p>
    <w:p>
      <w:pPr>
        <w:pStyle w:val="Heading3"/>
        <w:keepNext/>
      </w:pPr>
      <w:r>
        <w:t>Required processing rules</w:t>
      </w:r>
    </w:p>
    <w:p>
      <w:r>
        <w:rPr>
          <w:b w:val="0"/>
        </w:rPr>
        <w:t>• 1. Payment backend verifies the provider/ledger result and identifies the recipient’s immutable customer ID.</w:t>
      </w:r>
    </w:p>
    <w:p>
      <w:r>
        <w:rPr>
          <w:b w:val="0"/>
        </w:rPr>
        <w:t>• 2. Persist the final transfer state and a unique notification Outbox event in the same database transaction.</w:t>
      </w:r>
    </w:p>
    <w:p>
      <w:r>
        <w:rPr>
          <w:b w:val="0"/>
        </w:rPr>
        <w:t>• 3. An Outbox worker sends the event to the notification service through authenticated server-to-server integration, retrying delivery with the same event ID.</w:t>
      </w:r>
    </w:p>
    <w:p>
      <w:r>
        <w:rPr>
          <w:b w:val="0"/>
        </w:rPr>
        <w:t>• 4. CMS validates the source, schema and event identity, stores the event durably, and acknowledges the stored event. Duplicate matching events return their existing result.</w:t>
      </w:r>
    </w:p>
    <w:p>
      <w:r>
        <w:rPr>
          <w:b w:val="0"/>
        </w:rPr>
        <w:t>• 5. Resolve the recipient’s current active devices and the approved template. If none exist, record no_devices; do not broadcast to other accounts.</w:t>
      </w:r>
    </w:p>
    <w:p>
      <w:r>
        <w:rPr>
          <w:b w:val="0"/>
        </w:rPr>
        <w:t>• 6. Create per-device delivery records and send through FCM. Track accepted/failed/unknown separately from app-reported receipt/open events.</w:t>
      </w:r>
    </w:p>
    <w:p>
      <w:r>
        <w:rPr>
          <w:b w:val="0"/>
        </w:rPr>
        <w:t>• 7. On notification tap, require valid login and transaction ownership before opening details fetched from the payment API.</w:t>
      </w:r>
    </w:p>
    <w:p>
      <w:r>
        <w:rPr>
          <w:b w:val="0"/>
        </w:rPr>
        <w:t>• 8. If notification processing fails, retain recoverable work or a failure record; do not roll back or repeat the financial transfer.</w:t>
      </w:r>
    </w:p>
    <w:p>
      <w:r>
        <w:rPr>
          <w:b w:val="0"/>
        </w:rPr>
        <w:t>NOTE: Customer-facing example: Title: “Transfer received”. Message: “You have received a transfer. Open Cash Mobile for details.” Showing amount or sender identity on the lock screen is a separate, configurable privacy decision.</w:t>
      </w:r>
    </w:p>
    <w:p>
      <w:pPr>
        <w:pStyle w:val="Heading2"/>
        <w:keepNext/>
      </w:pPr>
      <w:r>
        <w:t>3.9  Reliability, Retry &amp; Delivery-State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88"/>
      </w:tblGrid>
      <w:tr>
        <w:trPr>
          <w:cantSplit/>
          <w:tblHeader/>
        </w:trPr>
        <w:tc>
          <w:tcPr>
            <w:tcW w:type="dxa" w:w="2376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State</w:t>
            </w:r>
          </w:p>
        </w:tc>
        <w:tc>
          <w:tcPr>
            <w:tcW w:type="dxa" w:w="7488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Meaning / handling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queued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Event/delivery durably stored and awaiting processing.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sending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Work is claimed/in progress; use a lease and atomic claim to prevent simultaneous dispatch by multiple workers.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accepted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FCM accepted the request. Not a device delivery receipt.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failed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Known unsuccessful outcome; distinguish permanent vs eligible temporary errors.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unknown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Provider outcome cannot be confirmed after timeout/interruption. Do not label it accepted or confirmed failed, and do not blindly replay it.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no_devices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No eligible customer device. Record the reason and apply an explicitly approved wait-until-TTL or terminal policy.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expired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The configured notification TTL expired before a valid attempt.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cancelled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Unsent work was cancelled. Already submitted work is reported separately.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received / opened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Independent authenticated client observations attached to delivery IDs, not replacement financial statuses.</w:t>
            </w:r>
          </w:p>
        </w:tc>
      </w:tr>
    </w:tbl>
    <w:p>
      <w:pPr>
        <w:spacing w:after="0"/>
      </w:pPr>
    </w:p>
    <w:p>
      <w:r>
        <w:rPr>
          <w:b w:val="0"/>
        </w:rPr>
        <w:t>• FR-REL-01: Use an immutable event ID for a business occurrence. Repeated identical requests return the existing event; the same ID with conflicting customer/type/entity/payload returns a conflict.</w:t>
      </w:r>
    </w:p>
    <w:p>
      <w:r>
        <w:rPr>
          <w:b w:val="0"/>
        </w:rPr>
        <w:t>• FR-REL-02: Deduplicate delivery work per event/recipient/device and app inbox items using stable notification/delivery IDs. A retry is not a new financial transaction.</w:t>
      </w:r>
    </w:p>
    <w:p>
      <w:r>
        <w:rPr>
          <w:b w:val="0"/>
        </w:rPr>
        <w:t>• FR-REL-03: Retry eligible temporary errors with bounded exponential backoff, jitter and Retry-After. Respect TTL and configured attempt limits.</w:t>
      </w:r>
    </w:p>
    <w:p>
      <w:r>
        <w:rPr>
          <w:b w:val="0"/>
        </w:rPr>
        <w:t>• FR-REL-04: Disable unregistered/expired tokens. Diagnose payload errors before treating a token as invalid.</w:t>
      </w:r>
    </w:p>
    <w:p>
      <w:r>
        <w:rPr>
          <w:b w:val="0"/>
        </w:rPr>
        <w:t>• FR-REL-05: A timeout after submitting to FCM may follow actual acceptance. Record unknown; provide a controlled review/retry policy and audit explicit repeats.</w:t>
      </w:r>
    </w:p>
    <w:p>
      <w:r>
        <w:rPr>
          <w:b w:val="0"/>
        </w:rPr>
        <w:t>• FR-REL-06: Ensure campaign batches cannot indefinitely starve transaction notifications. Monitor queue depth, oldest pending work and retry backlog.</w:t>
      </w:r>
    </w:p>
    <w:p>
      <w:r>
        <w:rPr>
          <w:b w:val="0"/>
        </w:rPr>
        <w:t>The product targets reliable event persistence and duplicate-resistant processing. It does not promise exactly-once transport or guaranteed push visibility on every device. Device connectivity, OS policy and permissions affect receipt.</w:t>
      </w:r>
    </w:p>
    <w:p>
      <w:pPr>
        <w:pStyle w:val="Heading2"/>
        <w:keepNext/>
      </w:pPr>
      <w:r>
        <w:t>3.10  Customer Directory &amp; Notification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88"/>
      </w:tblGrid>
      <w:tr>
        <w:trPr>
          <w:cantSplit/>
          <w:tblHeader/>
        </w:trPr>
        <w:tc>
          <w:tcPr>
            <w:tcW w:type="dxa" w:w="2376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ID</w:t>
            </w:r>
          </w:p>
        </w:tc>
        <w:tc>
          <w:tcPr>
            <w:tcW w:type="dxa" w:w="7488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Requirement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FR-CUS-01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Search/filter customers by immutable customer ID, phone number, name, status, app version and active-device availability. Customer identity is synchronized from the payment system.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FR-CUS-02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Customer detail shows profile reference, linked devices, platform/app version, last-seen, permission/preference state and notification eligibility. Never display full device tokens to normal operators.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FR-CUS-03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Show campaign and automatic-event history with category/type, transaction reference, time, provider outcome, and observed receipt/open records where available.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FR-CUS-04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Support targeted campaign selection from customer lists. Selection counts must be distinct customers; show the associated eligible device count separately.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FR-CUS-05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Provide a permitted device-deactivation action with confirmation and reason. Device deactivation must not modify the customer’s financial account or balance.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FR-CUS-06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Honor field masking, export permission and record access restrictions. Support should not automatically receive unrestricted bulk customer exports.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Customer detail layout</w:t>
      </w:r>
    </w:p>
    <w:p>
      <w:r>
        <w:rPr>
          <w:b w:val="0"/>
        </w:rPr>
        <w:t>Header: customer name, masked/full phone according to permission, immutable customer ID and account/notification status.Tabs: Overview; Devices; Notification History; Preferences.History table: source campaign/event, type, time, device count, accepted/failed/unknown outcomes, observed opens and detail link.</w:t>
      </w:r>
    </w:p>
    <w:p>
      <w:pPr>
        <w:pStyle w:val="Heading3"/>
        <w:keepNext/>
      </w:pPr>
      <w:r>
        <w:t>Marketing and transaction preferences</w:t>
      </w:r>
    </w:p>
    <w:p>
      <w:r>
        <w:rPr>
          <w:b w:val="0"/>
        </w:rPr>
        <w:t>Preferences are category-aware. Marketing opt-out removes marketing eligibility; transactional/security behavior follows the approved business policy and available OS permission. The interface must explain why a selected account is not eligible. A blocked or inactive account is handled according to an explicit synchronization rule.</w:t>
      </w:r>
    </w:p>
    <w:p>
      <w:pPr>
        <w:pStyle w:val="Heading2"/>
      </w:pPr>
      <w:r>
        <w:t>3.11  Notification Analytics &amp; Reporting</w:t>
      </w:r>
    </w:p>
    <w:p>
      <w:pPr/>
      <w:r>
        <w:t>Analytics is limited to notifications and campaigns. It measures notification processing outcomes and notification-specific interactions only. General app activity and user-behavior tracking are outside this CR.</w:t>
      </w:r>
    </w:p>
    <w:p>
      <w:pPr>
        <w:pStyle w:val="Heading3"/>
      </w:pPr>
      <w:r>
        <w:t>FR-NAN-01 — Scope and Exclusions</w:t>
      </w:r>
    </w:p>
    <w:p>
      <w:pPr/>
      <w:r>
        <w:t>Do not collect or report app sessions, visited screens/pages, screen duration, foreground/background usage time, generic button clicks, navigation journeys, funnels, session replay, or other in-app user actions. No general behavioral event SDK or app-wide instrumentation is required by this change request.</w:t>
      </w:r>
    </w:p>
    <w:p>
      <w:pPr>
        <w:pStyle w:val="Heading3"/>
      </w:pPr>
      <w:r>
        <w:t>FR-NAN-02 — Notification Status and Counts</w:t>
      </w:r>
    </w:p>
    <w:p>
      <w:pPr/>
      <w:r>
        <w:t>Report campaigns by status, distinct targeted and eligible customers, eligible devices and per-device notification outcomes: queued, sending, provider-accepted, failed, unknown, expired and cancelled. Campaigns and automatic transaction notifications must remain distinguishable.</w:t>
      </w:r>
    </w:p>
    <w:p>
      <w:pPr>
        <w:pStyle w:val="Heading3"/>
      </w:pPr>
      <w:r>
        <w:t>FR-NAN-03 — Receipt and Open Evidence</w:t>
      </w:r>
    </w:p>
    <w:p>
      <w:pPr/>
      <w:r>
        <w:t>A provider acceptance is not proof of delivery. Observed receipt, display or notification-open counts may be reported only when the notification-specific evidence is available on the relevant platform. Show N/A when unavailable. Tapping a notification may generate a notification_opened acknowledgement linked to its notification/delivery ID; do not track subsequent screens or actions.</w:t>
      </w:r>
    </w:p>
    <w:p>
      <w:pPr>
        <w:pStyle w:val="Heading3"/>
      </w:pPr>
      <w:r>
        <w:t>FR-NAN-04 — Rates and Cohorts</w:t>
      </w:r>
    </w:p>
    <w:p>
      <w:pPr/>
      <w:r>
        <w:t>Use the same delivery cohort for counts and rates. Provider acceptance rate = accepted / (accepted + failed + unknown), excluding queued, sending, cancelled and expired. Observed receipt/open rates = distinct accepted delivery IDs with corresponding evidence / accepted delivery IDs. State coverage and show undefined rates as N/A.</w:t>
      </w:r>
    </w:p>
    <w:p>
      <w:pPr>
        <w:pStyle w:val="Heading3"/>
      </w:pPr>
      <w:r>
        <w:t>FR-NAN-05 — Filters, Reports and Exports</w:t>
      </w:r>
    </w:p>
    <w:p>
      <w:pPr/>
      <w:r>
        <w:t>Filter by date range and timezone, campaign or automatic-notification type, category, outcome, platform and approved customer/device scope. Exports preserve the applied filters and metric definitions. Do not provide general user-session or app-behavior drill-down.</w:t>
      </w:r>
    </w:p>
    <w:p>
      <w:pPr>
        <w:pStyle w:val="Heading3"/>
      </w:pPr>
      <w:r>
        <w:t>FR-NAN-06 — Notification-Specific Evidence</w:t>
      </w:r>
    </w:p>
    <w:p>
      <w:pPr/>
      <w:r>
        <w:t>Store stable acknowledgement IDs, notification/delivery IDs, acknowledgement type, timestamps and verified device/customer ownership as needed for deduplication and attribution. Allow only notification-specific evidence; exclude screen names, route histories, input values and generic action events. Authentication-session handling for login/device ownership is not usage analytics.</w:t>
      </w:r>
    </w:p>
    <w:p>
      <w:pPr>
        <w:pStyle w:val="Heading3"/>
      </w:pPr>
      <w:r>
        <w:t>FR-NAN-07 — Operational Health</w:t>
      </w:r>
    </w:p>
    <w:p>
      <w:pPr/>
      <w:r>
        <w:t>Display notification queue depth, pending age, dispatch latency, failure reasons, invalid-token counts and unknown outcomes. These are notification-service metrics, not measurements of customer activity inside the app.</w:t>
      </w:r>
    </w:p>
    <w:p>
      <w:pPr>
        <w:pStyle w:val="Heading2"/>
        <w:keepNext/>
      </w:pPr>
      <w:r>
        <w:t>3.12  CMS Users, Roles &amp; Permission Matrix</w:t>
      </w:r>
    </w:p>
    <w:p>
      <w:r>
        <w:rPr>
          <w:b w:val="0"/>
        </w:rPr>
        <w:t>CMS staff accounts are separate from Cash Mobile customer accounts. Each staff user has an individual identity, active/suspended state and assigned roles. No shared administrator login is acceptable for production auditability.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88"/>
      </w:tblGrid>
      <w:tr>
        <w:trPr>
          <w:cantSplit/>
          <w:tblHeader/>
        </w:trPr>
        <w:tc>
          <w:tcPr>
            <w:tcW w:type="dxa" w:w="2376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Role</w:t>
            </w:r>
          </w:p>
        </w:tc>
        <w:tc>
          <w:tcPr>
            <w:tcW w:type="dxa" w:w="7488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Super Admin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Manage CMS configuration, integrations, roles and staff accounts; all authorized CMS operations, but no financial ledger/balance editing.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Campaign Manager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Create/edit campaigns, import audiences, schedule/submit for approval and monitor permitted results. Sending requires explicit permission and applicable approval.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Approver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Review, approve or reject campaigns under policy. Cannot approve their own campaign when separation of duties is enabled.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Customer Support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Search permitted customers and inspect notification/device history; identifiers masked as configured. No default bulk send or export.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Analyst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Read approved notification and campaign dashboards and reports. Identifiable recipient results and raw notification-data exports require separate grants. No app-session or behavioral drill-down.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Default permission matrix — configurable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1440"/>
        <w:gridCol w:w="1584"/>
        <w:gridCol w:w="1368"/>
        <w:gridCol w:w="1224"/>
        <w:gridCol w:w="1296"/>
      </w:tblGrid>
      <w:tr>
        <w:trPr>
          <w:cantSplit/>
          <w:tblHeader/>
        </w:trPr>
        <w:tc>
          <w:tcPr>
            <w:tcW w:type="dxa" w:w="2952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6"/>
              </w:rPr>
              <w:t>Permission</w:t>
            </w:r>
          </w:p>
        </w:tc>
        <w:tc>
          <w:tcPr>
            <w:tcW w:type="dxa" w:w="1440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6"/>
              </w:rPr>
              <w:t>Super Admin</w:t>
            </w:r>
          </w:p>
        </w:tc>
        <w:tc>
          <w:tcPr>
            <w:tcW w:type="dxa" w:w="1584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6"/>
              </w:rPr>
              <w:t>Campaign Manager</w:t>
            </w:r>
          </w:p>
        </w:tc>
        <w:tc>
          <w:tcPr>
            <w:tcW w:type="dxa" w:w="1368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6"/>
              </w:rPr>
              <w:t>Approver</w:t>
            </w:r>
          </w:p>
        </w:tc>
        <w:tc>
          <w:tcPr>
            <w:tcW w:type="dxa" w:w="1224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6"/>
              </w:rPr>
              <w:t>Support</w:t>
            </w:r>
          </w:p>
        </w:tc>
        <w:tc>
          <w:tcPr>
            <w:tcW w:type="dxa" w:w="1296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6"/>
              </w:rPr>
              <w:t>Analyst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View aggregate dashboards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Yes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Scoped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Create/edit own drafts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Yes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Import recipient files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Yes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Submit/schedule approved work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Yes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Approve/reject campaigns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Yes*</w:t>
            </w:r>
          </w:p>
        </w:tc>
        <w:tc>
          <w:tcPr>
            <w:tcW w:type="dxa" w:w="158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Yes*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Send/cancel/resend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Yes*</w:t>
            </w:r>
          </w:p>
        </w:tc>
        <w:tc>
          <w:tcPr>
            <w:tcW w:type="dxa" w:w="158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Granted*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View identifiable customers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Scoped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Scoped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Masked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Deactivate a device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Granted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Edit automated templates/rules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Yes*</w:t>
            </w:r>
          </w:p>
        </w:tc>
        <w:tc>
          <w:tcPr>
            <w:tcW w:type="dxa" w:w="158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Granted*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Review*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Export customer/event data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Granted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Granted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Manage users/roles/integrations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View audit records</w:t>
            </w:r>
          </w:p>
        </w:tc>
        <w:tc>
          <w:tcPr>
            <w:tcW w:type="dxa" w:w="144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Yes</w:t>
            </w:r>
          </w:p>
        </w:tc>
        <w:tc>
          <w:tcPr>
            <w:tcW w:type="dxa" w:w="158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Own work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Review work</w:t>
            </w:r>
          </w:p>
        </w:tc>
        <w:tc>
          <w:tcPr>
            <w:tcW w:type="dxa" w:w="122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Own work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Granted</w:t>
            </w:r>
          </w:p>
        </w:tc>
      </w:tr>
    </w:tbl>
    <w:p>
      <w:pPr>
        <w:spacing w:after="0"/>
      </w:pPr>
    </w:p>
    <w:p>
      <w:r>
        <w:rPr>
          <w:b w:val="0"/>
        </w:rPr>
        <w:t>Scoped: constrained to permitted records/fields. Granted: an explicit additional permission, not a default. *: subject to approval and separation-of-duties policies; Super Admin must not silently bypass the configured author self-approval rule.</w:t>
      </w:r>
    </w:p>
    <w:p>
      <w:pPr>
        <w:pStyle w:val="Heading2"/>
        <w:keepNext/>
      </w:pPr>
      <w:r>
        <w:t>3.13  Non-Functional Requirements &amp; Retention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88"/>
      </w:tblGrid>
      <w:tr>
        <w:trPr>
          <w:cantSplit/>
          <w:tblHeader/>
        </w:trPr>
        <w:tc>
          <w:tcPr>
            <w:tcW w:type="dxa" w:w="2376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ID / area</w:t>
            </w:r>
          </w:p>
        </w:tc>
        <w:tc>
          <w:tcPr>
            <w:tcW w:type="dxa" w:w="7488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Requirement and proposed target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NFR-01 — Responsiveness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CMS lists use server-side pagination and scoped filters. Proposed target: common filtered views p95 &lt;= 2 seconds at an agreed representative load; confirm by performance testing.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NFR-02 — Event acknowledgement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Acknowledge a new event only after durable persistence. Proposed p95 target &lt;= 2 seconds at agreed load; financial processing must not block on FCM delivery.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NFR-03 — Dispatch latency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Proposed start-of-dispatch p95 &lt;= 10 seconds for normal transactional workload, excluding upstream outages. Requires measured worker/queue design; no device-receipt SLA is implied.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NFR-04 — Scheduling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Dispatch becomes eligible at the stored UTC schedule. Report queue delay separately; missed starts are monitored and recovered according to TTL/policy.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NFR-05 — Scale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Agree customers, devices/customer, events/day, peak events/second, campaign audience size, upload limits and retention before sizing. Respect host/FCM quotas and isolate transaction priority.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NFR-06 — Reliability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Use durable events, atomic claims, idempotency, bounded retries, lease recovery and explicit unknown outcomes. Test restart/network interruption scenarios.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NFR-07 — Observability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Correlate event, campaign, notification, delivery and entity IDs. Alert on queue age, failure/unknown spikes, invalid tokens, ingestion rejection and resource limits.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NFR-08 — Localization/accessibility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English and Arabic/RTL, clear timezone display, keyboard-accessible controls and accessible contrast/status labels.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NFR-09 — Data retention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Proposed starting policy: 90 days aggregate notification analytics and 180 days notification operational/audit records. No raw app-usage events are collected under this scope. Business owner must approve final periods and verify storage/cost feasibility.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NFR-10 — Cleanup and portability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Automated expiry/deletion with documented handling of customer removal, backups and export access. Do not retain uploaded files longer than necessary.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NFR-11 — Service constraints</w:t>
            </w:r>
          </w:p>
        </w:tc>
        <w:tc>
          <w:tcPr>
            <w:tcW w:type="dxa" w:w="748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FCM/OS/network behavior can delay or suppress notifications. Free service tiers are a budget assumption, not a capacity guarantee.</w:t>
            </w:r>
          </w:p>
        </w:tc>
      </w:tr>
    </w:tbl>
    <w:p>
      <w:pPr>
        <w:spacing w:after="0"/>
      </w:pPr>
    </w:p>
    <w:p>
      <w:r>
        <w:rPr>
          <w:b w:val="0"/>
        </w:rPr>
        <w:t>Targets and retention above are planning proposals, not a contractual SLA or confirmation of existing performance. Record approved values and workload assumptions before implementation sign-off.</w:t>
      </w:r>
    </w:p>
    <w:p>
      <w:pPr>
        <w:pStyle w:val="Heading2"/>
        <w:keepNext/>
      </w:pPr>
      <w:r>
        <w:t>3.14  CMS Form Fields and Labels</w:t>
      </w:r>
    </w:p>
    <w:p>
      <w:r>
        <w:rPr>
          <w:b w:val="0"/>
        </w:rPr>
        <w:t>Path: CMS → Campaigns → Create Campaign. The following table defines the core campaign controls and their Arabic/English labels. These are interface fields, not backend API specifications.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936"/>
        <w:gridCol w:w="2448"/>
        <w:gridCol w:w="4464"/>
        <w:gridCol w:w="1368"/>
      </w:tblGrid>
      <w:tr>
        <w:trPr>
          <w:cantSplit/>
          <w:tblHeader/>
        </w:trPr>
        <w:tc>
          <w:tcPr>
            <w:tcW w:type="dxa" w:w="648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6"/>
              </w:rPr>
              <w:t>No.</w:t>
            </w:r>
          </w:p>
        </w:tc>
        <w:tc>
          <w:tcPr>
            <w:tcW w:type="dxa" w:w="936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6"/>
              </w:rPr>
              <w:t>Lan</w:t>
            </w:r>
          </w:p>
        </w:tc>
        <w:tc>
          <w:tcPr>
            <w:tcW w:type="dxa" w:w="2448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6"/>
              </w:rPr>
              <w:t>Field Name</w:t>
            </w:r>
          </w:p>
        </w:tc>
        <w:tc>
          <w:tcPr>
            <w:tcW w:type="dxa" w:w="4464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6"/>
              </w:rPr>
              <w:t>Description</w:t>
            </w:r>
          </w:p>
        </w:tc>
        <w:tc>
          <w:tcPr>
            <w:tcW w:type="dxa" w:w="1368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6"/>
              </w:rPr>
              <w:t>Type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English</w:t>
            </w:r>
          </w:p>
        </w:tc>
        <w:tc>
          <w:tcPr>
            <w:tcW w:type="dxa" w:w="24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Campaign Name</w:t>
            </w:r>
          </w:p>
        </w:tc>
        <w:tc>
          <w:tcPr>
            <w:tcW w:type="dxa" w:w="446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Internal campaign name; not displayed to recipients.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Text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Arabic</w:t>
            </w:r>
          </w:p>
        </w:tc>
        <w:tc>
          <w:tcPr>
            <w:tcW w:type="dxa" w:w="24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اسم الحملة</w:t>
            </w:r>
          </w:p>
        </w:tc>
        <w:tc>
          <w:tcPr>
            <w:tcW w:type="dxa" w:w="446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Internal campaign name; not displayed to recipients.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Text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English</w:t>
            </w:r>
          </w:p>
        </w:tc>
        <w:tc>
          <w:tcPr>
            <w:tcW w:type="dxa" w:w="24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Notification Title</w:t>
            </w:r>
          </w:p>
        </w:tc>
        <w:tc>
          <w:tcPr>
            <w:tcW w:type="dxa" w:w="446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Localized notification heading shown in the preview.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Text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Arabic</w:t>
            </w:r>
          </w:p>
        </w:tc>
        <w:tc>
          <w:tcPr>
            <w:tcW w:type="dxa" w:w="24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عنوان الإشعار</w:t>
            </w:r>
          </w:p>
        </w:tc>
        <w:tc>
          <w:tcPr>
            <w:tcW w:type="dxa" w:w="446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Localized notification heading shown in the preview.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Text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English</w:t>
            </w:r>
          </w:p>
        </w:tc>
        <w:tc>
          <w:tcPr>
            <w:tcW w:type="dxa" w:w="24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Notification Body</w:t>
            </w:r>
          </w:p>
        </w:tc>
        <w:tc>
          <w:tcPr>
            <w:tcW w:type="dxa" w:w="446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Localized message; validate provider and product limits.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Text Area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Arabic</w:t>
            </w:r>
          </w:p>
        </w:tc>
        <w:tc>
          <w:tcPr>
            <w:tcW w:type="dxa" w:w="24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نص الإشعار</w:t>
            </w:r>
          </w:p>
        </w:tc>
        <w:tc>
          <w:tcPr>
            <w:tcW w:type="dxa" w:w="446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Localized message; validate provider and product limits.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Text Area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English</w:t>
            </w:r>
          </w:p>
        </w:tc>
        <w:tc>
          <w:tcPr>
            <w:tcW w:type="dxa" w:w="24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Category</w:t>
            </w:r>
          </w:p>
        </w:tc>
        <w:tc>
          <w:tcPr>
            <w:tcW w:type="dxa" w:w="446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Approved notification category used for eligibility/preferences.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List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Arabic</w:t>
            </w:r>
          </w:p>
        </w:tc>
        <w:tc>
          <w:tcPr>
            <w:tcW w:type="dxa" w:w="24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فئة الإشعار</w:t>
            </w:r>
          </w:p>
        </w:tc>
        <w:tc>
          <w:tcPr>
            <w:tcW w:type="dxa" w:w="446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Approved notification category used for eligibility/preferences.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List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English</w:t>
            </w:r>
          </w:p>
        </w:tc>
        <w:tc>
          <w:tcPr>
            <w:tcW w:type="dxa" w:w="24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Audience</w:t>
            </w:r>
          </w:p>
        </w:tc>
        <w:tc>
          <w:tcPr>
            <w:tcW w:type="dxa" w:w="446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All eligible accounts, selected numbers, a segment or file import.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Selection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Arabic</w:t>
            </w:r>
          </w:p>
        </w:tc>
        <w:tc>
          <w:tcPr>
            <w:tcW w:type="dxa" w:w="24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الجمهور المستهدف</w:t>
            </w:r>
          </w:p>
        </w:tc>
        <w:tc>
          <w:tcPr>
            <w:tcW w:type="dxa" w:w="446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All eligible accounts, selected numbers, a segment or file import.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Selection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English</w:t>
            </w:r>
          </w:p>
        </w:tc>
        <w:tc>
          <w:tcPr>
            <w:tcW w:type="dxa" w:w="24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Recipient File</w:t>
            </w:r>
          </w:p>
        </w:tc>
        <w:tc>
          <w:tcPr>
            <w:tcW w:type="dxa" w:w="446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CSV/XLSX upload with mapping, validation and deduplication.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Upload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Arabic</w:t>
            </w:r>
          </w:p>
        </w:tc>
        <w:tc>
          <w:tcPr>
            <w:tcW w:type="dxa" w:w="24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ملف المستهدفين</w:t>
            </w:r>
          </w:p>
        </w:tc>
        <w:tc>
          <w:tcPr>
            <w:tcW w:type="dxa" w:w="446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CSV/XLSX upload with mapping, validation and deduplication.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Upload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English</w:t>
            </w:r>
          </w:p>
        </w:tc>
        <w:tc>
          <w:tcPr>
            <w:tcW w:type="dxa" w:w="24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Destination</w:t>
            </w:r>
          </w:p>
        </w:tc>
        <w:tc>
          <w:tcPr>
            <w:tcW w:type="dxa" w:w="446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Approved in-app destination; access is checked when opened.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List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Arabic</w:t>
            </w:r>
          </w:p>
        </w:tc>
        <w:tc>
          <w:tcPr>
            <w:tcW w:type="dxa" w:w="24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وجهة الإشعار</w:t>
            </w:r>
          </w:p>
        </w:tc>
        <w:tc>
          <w:tcPr>
            <w:tcW w:type="dxa" w:w="446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Approved in-app destination; access is checked when opened.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List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8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English</w:t>
            </w:r>
          </w:p>
        </w:tc>
        <w:tc>
          <w:tcPr>
            <w:tcW w:type="dxa" w:w="24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Send Time</w:t>
            </w:r>
          </w:p>
        </w:tc>
        <w:tc>
          <w:tcPr>
            <w:tcW w:type="dxa" w:w="446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Send now or an explicit future date/time and timezone.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Date/Time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8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Arabic</w:t>
            </w:r>
          </w:p>
        </w:tc>
        <w:tc>
          <w:tcPr>
            <w:tcW w:type="dxa" w:w="24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موعد الإرسال</w:t>
            </w:r>
          </w:p>
        </w:tc>
        <w:tc>
          <w:tcPr>
            <w:tcW w:type="dxa" w:w="446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Send now or an explicit future date/time and timezone.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Date/Time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9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English</w:t>
            </w:r>
          </w:p>
        </w:tc>
        <w:tc>
          <w:tcPr>
            <w:tcW w:type="dxa" w:w="24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Save Draft</w:t>
            </w:r>
          </w:p>
        </w:tc>
        <w:tc>
          <w:tcPr>
            <w:tcW w:type="dxa" w:w="446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Save without dispatching.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Button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9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Arabic</w:t>
            </w:r>
          </w:p>
        </w:tc>
        <w:tc>
          <w:tcPr>
            <w:tcW w:type="dxa" w:w="24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حفظ مسودة</w:t>
            </w:r>
          </w:p>
        </w:tc>
        <w:tc>
          <w:tcPr>
            <w:tcW w:type="dxa" w:w="446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Save without dispatching.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Button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10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English</w:t>
            </w:r>
          </w:p>
        </w:tc>
        <w:tc>
          <w:tcPr>
            <w:tcW w:type="dxa" w:w="24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Submit for Approval</w:t>
            </w:r>
          </w:p>
        </w:tc>
        <w:tc>
          <w:tcPr>
            <w:tcW w:type="dxa" w:w="446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Submit the reviewed content and target audience.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Button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10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Arabic</w:t>
            </w:r>
          </w:p>
        </w:tc>
        <w:tc>
          <w:tcPr>
            <w:tcW w:type="dxa" w:w="24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إرسال للموافقة</w:t>
            </w:r>
          </w:p>
        </w:tc>
        <w:tc>
          <w:tcPr>
            <w:tcW w:type="dxa" w:w="446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Submit the reviewed content and target audience.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Button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11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English</w:t>
            </w:r>
          </w:p>
        </w:tc>
        <w:tc>
          <w:tcPr>
            <w:tcW w:type="dxa" w:w="24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Resend as New Campaign</w:t>
            </w:r>
          </w:p>
        </w:tc>
        <w:tc>
          <w:tcPr>
            <w:tcW w:type="dxa" w:w="446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Create a linked campaign and apply current approval rules.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Button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11</w:t>
            </w:r>
          </w:p>
        </w:tc>
        <w:tc>
          <w:tcPr>
            <w:tcW w:type="dxa" w:w="936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Arabic</w:t>
            </w:r>
          </w:p>
        </w:tc>
        <w:tc>
          <w:tcPr>
            <w:tcW w:type="dxa" w:w="244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إعادة إرسال كحملة جديدة</w:t>
            </w:r>
          </w:p>
        </w:tc>
        <w:tc>
          <w:tcPr>
            <w:tcW w:type="dxa" w:w="446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Create a linked campaign and apply current approval rules.</w:t>
            </w:r>
          </w:p>
        </w:tc>
        <w:tc>
          <w:tcPr>
            <w:tcW w:type="dxa" w:w="136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6"/>
              </w:rPr>
              <w:t>Button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 DOCUMENT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728"/>
        <w:gridCol w:w="2160"/>
        <w:gridCol w:w="5112"/>
      </w:tblGrid>
      <w:tr>
        <w:trPr>
          <w:cantSplit/>
          <w:tblHeader/>
        </w:trPr>
        <w:tc>
          <w:tcPr>
            <w:tcW w:type="dxa" w:w="864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Version</w:t>
            </w:r>
          </w:p>
        </w:tc>
        <w:tc>
          <w:tcPr>
            <w:tcW w:type="dxa" w:w="1728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Date</w:t>
            </w:r>
          </w:p>
        </w:tc>
        <w:tc>
          <w:tcPr>
            <w:tcW w:type="dxa" w:w="2160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Author</w:t>
            </w:r>
          </w:p>
        </w:tc>
        <w:tc>
          <w:tcPr>
            <w:tcW w:type="dxa" w:w="5112"/>
            <w:vAlign w:val="center"/>
            <w:shd w:fill="FFC000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19"/>
              </w:rPr>
              <w:t>Modification / Validation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1.0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20 October 2026</w:t>
            </w:r>
          </w:p>
        </w:tc>
        <w:tc>
          <w:tcPr>
            <w:tcW w:type="dxa" w:w="216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Product / Engineering draft</w:t>
            </w:r>
          </w:p>
        </w:tc>
        <w:tc>
          <w:tcPr>
            <w:tcW w:type="dxa" w:w="5112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Initial Cash Mobile notification CMS change request.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1.1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26 October 2026</w:t>
            </w:r>
          </w:p>
        </w:tc>
        <w:tc>
          <w:tcPr>
            <w:tcW w:type="dxa" w:w="216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Product / Engineering draft</w:t>
            </w:r>
          </w:p>
        </w:tc>
        <w:tc>
          <w:tcPr>
            <w:tcW w:type="dxa" w:w="5112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Removed the five requested chapters and renumbered retained scope.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1.2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27 October 2026</w:t>
            </w:r>
          </w:p>
        </w:tc>
        <w:tc>
          <w:tcPr>
            <w:tcW w:type="dxa" w:w="2160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Product / Engineering draft</w:t>
            </w:r>
          </w:p>
        </w:tc>
        <w:tc>
          <w:tcPr>
            <w:tcW w:type="dxa" w:w="5112"/>
            <w:vAlign w:val="center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19"/>
              </w:rPr>
              <w:t>Reformatted using the supplied Product Note design; retained notification-only scope and added bilingual campaign field labels.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60"/>
            </w:pPr>
            <w:r>
              <w:rPr>
                <w:rFonts w:ascii="Times New Roman" w:hAnsi="Times New Roman"/>
                <w:sz w:val="19"/>
              </w:rPr>
              <w:t>1.3</w:t>
            </w:r>
          </w:p>
        </w:tc>
        <w:tc>
          <w:tcPr>
            <w:tcW w:type="dxa" w:w="1728"/>
          </w:tcPr>
          <w:p>
            <w:pPr>
              <w:spacing w:after="60"/>
            </w:pPr>
            <w:r>
              <w:rPr>
                <w:rFonts w:ascii="Times New Roman" w:hAnsi="Times New Roman"/>
                <w:sz w:val="19"/>
              </w:rPr>
              <w:t>27 October 2026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rFonts w:ascii="Times New Roman" w:hAnsi="Times New Roman"/>
                <w:sz w:val="19"/>
              </w:rPr>
              <w:t>Product / Engineering draft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rPr>
                <w:rFonts w:ascii="Times New Roman" w:hAnsi="Times New Roman"/>
                <w:sz w:val="19"/>
              </w:rPr>
              <w:t>Clarified analytics as notification/campaign reporting only; removed general app sessions, screens, duration and action tracking from scope, dashboards and permissions.</w:t>
            </w:r>
          </w:p>
        </w:tc>
      </w:tr>
    </w:tbl>
    <w:p>
      <w:pPr>
        <w:spacing w:after="0"/>
      </w:pPr>
    </w:p>
    <w:p>
      <w:r>
        <w:rPr>
          <w:b w:val="0"/>
        </w:rPr>
        <w:t>Review status: Draft. Signature fields are intentionally blank. No historical reviewer names, signatures or approvals from the reference document have been reused.</w:t>
      </w:r>
    </w:p>
    <w:sectPr w:rsidR="009317F6" w:rsidSect="006F68E5">
      <w:headerReference w:type="default" r:id="rId17"/>
      <w:footerReference w:type="default" r:id="rId18"/>
      <w:pgSz w:w="12240" w:h="15840" w:code="1"/>
      <w:pgMar w:top="1170" w:right="1109" w:bottom="1440" w:left="1267" w:header="706" w:footer="0" w:gutter="0"/>
      <w:paperSrc w:first="15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TN Brighter Sans">
    <w:altName w:val="Calibri"/>
    <w:panose1 w:val="000005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MTN Brighter Sans Arabic">
    <w:panose1 w:val="02000500000000000000"/>
    <w:charset w:val="00"/>
    <w:family w:val="auto"/>
    <w:pitch w:val="variable"/>
    <w:sig w:usb0="800020AF" w:usb1="8000204B" w:usb2="00000008" w:usb3="00000000" w:csb0="00000041" w:csb1="00000000"/>
  </w:font>
  <w:font w:name="MTN Brighter Sans Arabic ExLigh">
    <w:panose1 w:val="00000300000000000000"/>
    <w:charset w:val="00"/>
    <w:family w:val="auto"/>
    <w:pitch w:val="variable"/>
    <w:sig w:usb0="800020AF" w:usb1="8000204B" w:usb2="00000008" w:usb3="00000000" w:csb0="00000041" w:csb1="00000000"/>
  </w:font>
  <w:font w:name="MTN Brighter Sans Light">
    <w:panose1 w:val="000004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4728" w:rsidRDefault="006F68E5" w:rsidP="006F68E5">
    <w:pPr>
      <w:spacing w:line="240" w:lineRule="auto"/>
      <w:jc w:val="center"/>
      <w:rPr>
        <w:sz w:val="16"/>
        <w:szCs w:val="16"/>
      </w:rPr>
    </w:pPr>
    <w:r w:rsidRPr="00804728">
      <w:rPr>
        <w:noProof/>
        <w:sz w:val="16"/>
        <w:szCs w:val="16"/>
      </w:rPr>
      <w:drawing>
        <wp:anchor distT="0" distB="0" distL="114300" distR="114300" simplePos="0" relativeHeight="251660288" behindDoc="1" locked="0" layoutInCell="1" allowOverlap="1" wp14:anchorId="69D52D34" wp14:editId="32340898">
          <wp:simplePos x="0" y="0"/>
          <wp:positionH relativeFrom="column">
            <wp:posOffset>6106160</wp:posOffset>
          </wp:positionH>
          <wp:positionV relativeFrom="paragraph">
            <wp:posOffset>92075</wp:posOffset>
          </wp:positionV>
          <wp:extent cx="557530" cy="401955"/>
          <wp:effectExtent l="0" t="0" r="0" b="0"/>
          <wp:wrapTight wrapText="bothSides">
            <wp:wrapPolygon edited="0">
              <wp:start x="0" y="0"/>
              <wp:lineTo x="0" y="20474"/>
              <wp:lineTo x="20665" y="20474"/>
              <wp:lineTo x="20665" y="0"/>
              <wp:lineTo x="0" y="0"/>
            </wp:wrapPolygon>
          </wp:wrapTight>
          <wp:docPr id="53" name="Picture 53" descr="Image result for mt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0" descr="Image result for mtn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401955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4B46" w:rsidRPr="00804728">
      <w:rPr>
        <w:noProof/>
        <w:sz w:val="16"/>
        <w:szCs w:val="16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113A8DDB" wp14:editId="0E60CDD9">
              <wp:simplePos x="0" y="0"/>
              <wp:positionH relativeFrom="column">
                <wp:posOffset>-114300</wp:posOffset>
              </wp:positionH>
              <wp:positionV relativeFrom="paragraph">
                <wp:posOffset>-115571</wp:posOffset>
              </wp:positionV>
              <wp:extent cx="6400800" cy="0"/>
              <wp:effectExtent l="0" t="0" r="19050" b="19050"/>
              <wp:wrapNone/>
              <wp:docPr id="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8088FA" id="Line 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pt,-9.1pt" to="495pt,-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VZvEwIAACgEAAAOAAAAZHJzL2Uyb0RvYy54bWysU8uu2jAQ3VfqP1jeQxJuo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"/>
          </w:pict>
        </mc:Fallback>
      </mc:AlternateContent>
    </w:r>
    <w:r w:rsidR="001E4B46" w:rsidRPr="00B025E8">
      <w:rPr>
        <w:sz w:val="16"/>
        <w:szCs w:val="16"/>
      </w:rPr>
      <w:t xml:space="preserve">Copyright © </w:t>
    </w:r>
    <w:r w:rsidR="001E4B46">
      <w:rPr>
        <w:sz w:val="16"/>
        <w:szCs w:val="16"/>
      </w:rPr>
      <w:t>MTN Syria</w:t>
    </w:r>
    <w:r w:rsidR="001E4B46" w:rsidRPr="00B025E8">
      <w:rPr>
        <w:sz w:val="16"/>
        <w:szCs w:val="16"/>
      </w:rPr>
      <w:t xml:space="preserve"> </w:t>
    </w:r>
    <w:r>
      <w:rPr>
        <w:rFonts w:hint="cs"/>
        <w:sz w:val="16"/>
        <w:szCs w:val="16"/>
        <w:rtl/>
      </w:rPr>
      <w:t>2021</w:t>
    </w:r>
  </w:p>
  <w:p w:rsidR="006F68E5" w:rsidRDefault="001E4B46" w:rsidP="006F68E5">
    <w:pPr>
      <w:pStyle w:val="Footer"/>
      <w:tabs>
        <w:tab w:val="clear" w:pos="8306"/>
        <w:tab w:val="right" w:pos="9540"/>
      </w:tabs>
      <w:spacing w:line="240" w:lineRule="auto"/>
      <w:rPr>
        <w:rFonts w:ascii="Tahoma" w:hAnsi="Tahoma" w:cs="Tahoma"/>
        <w:sz w:val="18"/>
        <w:szCs w:val="18"/>
        <w:rtl/>
      </w:rPr>
    </w:pPr>
    <w:r>
      <w:rPr>
        <w:rFonts w:ascii="Tahoma" w:hAnsi="Tahoma" w:cs="Tahoma"/>
        <w:sz w:val="18"/>
        <w:szCs w:val="18"/>
      </w:rPr>
      <w:t>C</w:t>
    </w:r>
    <w:r w:rsidR="006F68E5">
      <w:rPr>
        <w:rFonts w:ascii="Tahoma" w:hAnsi="Tahoma" w:cs="Tahoma"/>
        <w:sz w:val="18"/>
        <w:szCs w:val="18"/>
      </w:rPr>
      <w:t>onfidential</w:t>
    </w:r>
  </w:p>
  <w:p w:rsidR="00AC600D" w:rsidRPr="005C00A0" w:rsidRDefault="001E4B46" w:rsidP="006F68E5">
    <w:pPr>
      <w:pStyle w:val="Footer"/>
      <w:tabs>
        <w:tab w:val="clear" w:pos="8306"/>
        <w:tab w:val="right" w:pos="9540"/>
      </w:tabs>
      <w:spacing w:line="240" w:lineRule="auto"/>
      <w:jc w:val="center"/>
      <w:rPr>
        <w:rFonts w:ascii="Tahoma" w:hAnsi="Tahoma" w:cs="Tahoma"/>
        <w:sz w:val="18"/>
        <w:szCs w:val="18"/>
      </w:rPr>
    </w:pPr>
    <w:r>
      <w:rPr>
        <w:rFonts w:ascii="Tahoma" w:hAnsi="Tahoma" w:cs="Tahoma"/>
        <w:sz w:val="18"/>
        <w:szCs w:val="18"/>
      </w:rPr>
      <w:fldChar w:fldCharType="begin"/>
    </w:r>
    <w:r>
      <w:rPr>
        <w:rFonts w:ascii="Tahoma" w:hAnsi="Tahoma" w:cs="Tahoma"/>
        <w:sz w:val="18"/>
        <w:szCs w:val="18"/>
      </w:rPr>
      <w:instrText xml:space="preserve"> QUOTE "27 October 2026" </w:instrText>
    </w:r>
    <w:r>
      <w:rPr>
        <w:rFonts w:ascii="Tahoma" w:hAnsi="Tahoma" w:cs="Tahoma"/>
        <w:sz w:val="18"/>
        <w:szCs w:val="18"/>
      </w:rPr>
      <w:fldChar w:fldCharType="separate"/>
    </w:r>
    <w:r w:rsidR="001B1EA3">
      <w:rPr>
        <w:rFonts w:ascii="Tahoma" w:hAnsi="Tahoma" w:cs="Tahoma"/>
        <w:noProof/>
        <w:sz w:val="18"/>
        <w:szCs w:val="18"/>
      </w:rPr>
      <w:t>27 October 2026</w:t>
    </w:r>
    <w:r>
      <w:rPr>
        <w:rFonts w:ascii="Tahoma" w:hAnsi="Tahoma" w:cs="Tahoma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600D" w:rsidRDefault="006A08FC" w:rsidP="006A08FC">
    <w:pPr>
      <w:pStyle w:val="Header"/>
    </w:pPr>
    <w:r w:rsidRPr="006A08FC">
      <w:rPr>
        <w:noProof/>
      </w:rPr>
      <w:drawing>
        <wp:anchor distT="0" distB="0" distL="114300" distR="114300" simplePos="0" relativeHeight="251665408" behindDoc="0" locked="0" layoutInCell="1" allowOverlap="1" wp14:anchorId="0DC50715">
          <wp:simplePos x="0" y="0"/>
          <wp:positionH relativeFrom="column">
            <wp:posOffset>-763357</wp:posOffset>
          </wp:positionH>
          <wp:positionV relativeFrom="paragraph">
            <wp:posOffset>-308267</wp:posOffset>
          </wp:positionV>
          <wp:extent cx="735553" cy="594030"/>
          <wp:effectExtent l="0" t="0" r="7620" b="0"/>
          <wp:wrapNone/>
          <wp:docPr id="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7810"/>
                  <a:stretch/>
                </pic:blipFill>
                <pic:spPr>
                  <a:xfrm>
                    <a:off x="0" y="0"/>
                    <a:ext cx="747605" cy="6037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A08FC">
      <w:t xml:space="preserve"> </w:t>
    </w:r>
    <w:r w:rsidR="006203B9">
      <w:rPr>
        <w:rFonts w:ascii="MTN Brighter Sans Light" w:hAnsi="MTN Brighter Sans Light"/>
        <w:noProof/>
        <w:color w:val="000000"/>
        <w:sz w:val="16"/>
        <w:szCs w:val="16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-565014</wp:posOffset>
          </wp:positionH>
          <wp:positionV relativeFrom="paragraph">
            <wp:posOffset>-267159</wp:posOffset>
          </wp:positionV>
          <wp:extent cx="537845" cy="476885"/>
          <wp:effectExtent l="0" t="0" r="0" b="0"/>
          <wp:wrapTopAndBottom/>
          <wp:docPr id="1" name="Picture 1" descr="cid:image002.png@01D86E9C.AF7A6F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id:image002.png@01D86E9C.AF7A6FE0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7845" cy="476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6F68E5" w:rsidRPr="00804728">
      <w:rPr>
        <w:noProof/>
        <w:sz w:val="16"/>
        <w:szCs w:val="16"/>
      </w:rPr>
      <w:drawing>
        <wp:anchor distT="0" distB="0" distL="114300" distR="114300" simplePos="0" relativeHeight="251663360" behindDoc="1" locked="0" layoutInCell="1" allowOverlap="1" wp14:anchorId="7F914198" wp14:editId="028E52D1">
          <wp:simplePos x="0" y="0"/>
          <wp:positionH relativeFrom="column">
            <wp:posOffset>6162675</wp:posOffset>
          </wp:positionH>
          <wp:positionV relativeFrom="paragraph">
            <wp:posOffset>-268605</wp:posOffset>
          </wp:positionV>
          <wp:extent cx="557530" cy="401955"/>
          <wp:effectExtent l="0" t="0" r="0" b="0"/>
          <wp:wrapTight wrapText="bothSides">
            <wp:wrapPolygon edited="0">
              <wp:start x="0" y="0"/>
              <wp:lineTo x="0" y="20474"/>
              <wp:lineTo x="20665" y="20474"/>
              <wp:lineTo x="20665" y="0"/>
              <wp:lineTo x="0" y="0"/>
            </wp:wrapPolygon>
          </wp:wrapTight>
          <wp:docPr id="52" name="Picture 52" descr="Image result for mt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0" descr="Image result for mtn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401955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D28DC"/>
    <w:multiLevelType w:val="hybridMultilevel"/>
    <w:tmpl w:val="8E00195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236133"/>
    <w:multiLevelType w:val="multilevel"/>
    <w:tmpl w:val="0268B5CC"/>
    <w:lvl w:ilvl="0">
      <w:start w:val="1"/>
      <w:numFmt w:val="decimal"/>
      <w:pStyle w:val="Heading1"/>
      <w:lvlText w:val="%1.1"/>
      <w:lvlJc w:val="right"/>
      <w:rPr>
        <w:rFonts w:cs="Times New Roman" w:hint="default"/>
      </w:rPr>
    </w:lvl>
    <w:lvl w:ilvl="1">
      <w:start w:val="1"/>
      <w:numFmt w:val="none"/>
      <w:pStyle w:val="Heading2"/>
      <w:suff w:val="nothing"/>
      <w:lvlText w:val=""/>
      <w:lvlJc w:val="left"/>
      <w:rPr>
        <w:rFonts w:cs="Times New Roman"/>
      </w:rPr>
    </w:lvl>
    <w:lvl w:ilvl="2">
      <w:start w:val="1"/>
      <w:numFmt w:val="none"/>
      <w:pStyle w:val="Heading3"/>
      <w:suff w:val="nothing"/>
      <w:lvlText w:val=""/>
      <w:lvlJc w:val="left"/>
      <w:rPr>
        <w:rFonts w:cs="Times New Roman"/>
      </w:rPr>
    </w:lvl>
    <w:lvl w:ilvl="3">
      <w:start w:val="1"/>
      <w:numFmt w:val="none"/>
      <w:pStyle w:val="Heading4"/>
      <w:suff w:val="nothing"/>
      <w:lvlText w:val=""/>
      <w:lvlJc w:val="left"/>
      <w:rPr>
        <w:rFonts w:cs="Times New Roman"/>
      </w:rPr>
    </w:lvl>
    <w:lvl w:ilvl="4">
      <w:start w:val="1"/>
      <w:numFmt w:val="none"/>
      <w:pStyle w:val="Heading5"/>
      <w:suff w:val="nothing"/>
      <w:lvlText w:val=""/>
      <w:lvlJc w:val="left"/>
      <w:rPr>
        <w:rFonts w:cs="Times New Roman"/>
      </w:rPr>
    </w:lvl>
    <w:lvl w:ilvl="5">
      <w:start w:val="1"/>
      <w:numFmt w:val="none"/>
      <w:pStyle w:val="Heading6"/>
      <w:suff w:val="nothing"/>
      <w:lvlText w:val=""/>
      <w:lvlJc w:val="left"/>
      <w:rPr>
        <w:rFonts w:cs="Times New Roman"/>
      </w:rPr>
    </w:lvl>
    <w:lvl w:ilvl="6">
      <w:start w:val="1"/>
      <w:numFmt w:val="none"/>
      <w:pStyle w:val="Heading7"/>
      <w:suff w:val="nothing"/>
      <w:lvlText w:val=""/>
      <w:lvlJc w:val="left"/>
      <w:rPr>
        <w:rFonts w:cs="Times New Roman"/>
      </w:rPr>
    </w:lvl>
    <w:lvl w:ilvl="7">
      <w:start w:val="1"/>
      <w:numFmt w:val="none"/>
      <w:pStyle w:val="Heading8"/>
      <w:suff w:val="nothing"/>
      <w:lvlText w:val=""/>
      <w:lvlJc w:val="left"/>
      <w:rPr>
        <w:rFonts w:cs="Times New Roman"/>
      </w:rPr>
    </w:lvl>
    <w:lvl w:ilvl="8">
      <w:start w:val="1"/>
      <w:numFmt w:val="none"/>
      <w:pStyle w:val="Heading9"/>
      <w:suff w:val="nothing"/>
      <w:lvlText w:val=""/>
      <w:lvlJc w:val="left"/>
      <w:rPr>
        <w:rFonts w:cs="Times New Roman"/>
      </w:rPr>
    </w:lvl>
  </w:abstractNum>
  <w:abstractNum w:abstractNumId="2" w15:restartNumberingAfterBreak="0">
    <w:nsid w:val="0EB8696A"/>
    <w:multiLevelType w:val="hybridMultilevel"/>
    <w:tmpl w:val="4CD28D12"/>
    <w:lvl w:ilvl="0" w:tplc="53DA50D4">
      <w:start w:val="30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23DAF"/>
    <w:multiLevelType w:val="hybridMultilevel"/>
    <w:tmpl w:val="523C4BFA"/>
    <w:lvl w:ilvl="0" w:tplc="803637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906B2"/>
    <w:multiLevelType w:val="hybridMultilevel"/>
    <w:tmpl w:val="14A2D31E"/>
    <w:lvl w:ilvl="0" w:tplc="DF4AD3F4">
      <w:start w:val="6"/>
      <w:numFmt w:val="bullet"/>
      <w:lvlText w:val=""/>
      <w:lvlJc w:val="left"/>
      <w:pPr>
        <w:ind w:left="630" w:hanging="360"/>
      </w:pPr>
      <w:rPr>
        <w:rFonts w:ascii="Symbol" w:eastAsia="Times New Roman" w:hAnsi="Symbol" w:cs="Tahoma" w:hint="default"/>
        <w:i/>
        <w:iCs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0F326C9"/>
    <w:multiLevelType w:val="multilevel"/>
    <w:tmpl w:val="6532950A"/>
    <w:lvl w:ilvl="0">
      <w:start w:val="1"/>
      <w:numFmt w:val="bullet"/>
      <w:lvlText w:val="▪"/>
      <w:lvlJc w:val="left"/>
      <w:pPr>
        <w:tabs>
          <w:tab w:val="num" w:pos="540"/>
        </w:tabs>
        <w:ind w:left="540" w:hanging="360"/>
      </w:pPr>
      <w:rPr>
        <w:rFonts w:ascii="Arial" w:hAnsi="Arial" w:hint="default"/>
        <w:i/>
        <w:iCs/>
        <w:color w:val="002060"/>
        <w:sz w:val="24"/>
        <w:szCs w:val="24"/>
        <w:lang w:bidi="ar-S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 w:hint="default"/>
        <w:b w:val="0"/>
        <w:bCs/>
        <w:i/>
        <w:iCs/>
        <w:color w:val="auto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927" w:hanging="567"/>
      </w:pPr>
      <w:rPr>
        <w:rFonts w:ascii="Times New Roman" w:hAnsi="Times New Roman" w:cs="Times New Roman" w:hint="default"/>
        <w:b/>
        <w:bCs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567" w:hanging="567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567" w:hanging="567"/>
      </w:pPr>
      <w:rPr>
        <w:rFonts w:cs="Times New Roman" w:hint="default"/>
        <w:color w:val="auto"/>
        <w:sz w:val="20"/>
        <w:szCs w:val="20"/>
      </w:rPr>
    </w:lvl>
    <w:lvl w:ilvl="5">
      <w:start w:val="1"/>
      <w:numFmt w:val="decimal"/>
      <w:lvlText w:val="%1.%2.%3.%4.%5"/>
      <w:lvlJc w:val="left"/>
      <w:pPr>
        <w:tabs>
          <w:tab w:val="num" w:pos="1440"/>
        </w:tabs>
        <w:ind w:left="567" w:hanging="567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</w:pPr>
      <w:rPr>
        <w:rFonts w:cs="Times New Roman" w:hint="default"/>
      </w:rPr>
    </w:lvl>
  </w:abstractNum>
  <w:abstractNum w:abstractNumId="6" w15:restartNumberingAfterBreak="0">
    <w:nsid w:val="385E1BC8"/>
    <w:multiLevelType w:val="hybridMultilevel"/>
    <w:tmpl w:val="F66646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011DE8"/>
    <w:multiLevelType w:val="multilevel"/>
    <w:tmpl w:val="88B63E9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i/>
        <w:iCs/>
        <w:color w:val="002060"/>
        <w:sz w:val="24"/>
        <w:szCs w:val="24"/>
        <w:lang w:bidi="ar-S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 w:hint="default"/>
        <w:b w:val="0"/>
        <w:bCs/>
        <w:i/>
        <w:iCs/>
        <w:color w:val="auto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927" w:hanging="567"/>
      </w:pPr>
      <w:rPr>
        <w:rFonts w:ascii="Times New Roman" w:hAnsi="Times New Roman" w:cs="Times New Roman" w:hint="default"/>
        <w:b/>
        <w:bCs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567" w:hanging="567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567" w:hanging="567"/>
      </w:pPr>
      <w:rPr>
        <w:rFonts w:cs="Times New Roman" w:hint="default"/>
        <w:color w:val="auto"/>
        <w:sz w:val="20"/>
        <w:szCs w:val="20"/>
      </w:rPr>
    </w:lvl>
    <w:lvl w:ilvl="5">
      <w:start w:val="1"/>
      <w:numFmt w:val="decimal"/>
      <w:lvlText w:val="%1.%2.%3.%4.%5"/>
      <w:lvlJc w:val="left"/>
      <w:pPr>
        <w:tabs>
          <w:tab w:val="num" w:pos="1440"/>
        </w:tabs>
        <w:ind w:left="567" w:hanging="567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</w:pPr>
      <w:rPr>
        <w:rFonts w:cs="Times New Roman" w:hint="default"/>
      </w:rPr>
    </w:lvl>
  </w:abstractNum>
  <w:abstractNum w:abstractNumId="8" w15:restartNumberingAfterBreak="0">
    <w:nsid w:val="3A5E6B92"/>
    <w:multiLevelType w:val="multilevel"/>
    <w:tmpl w:val="382A136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 w:hint="default"/>
        <w:i/>
        <w:iCs/>
        <w:color w:val="002060"/>
        <w:sz w:val="24"/>
        <w:szCs w:val="24"/>
        <w:lang w:bidi="ar-S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 w:hint="default"/>
        <w:b w:val="0"/>
        <w:bCs/>
        <w:i/>
        <w:iCs/>
        <w:color w:val="auto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927" w:hanging="567"/>
      </w:pPr>
      <w:rPr>
        <w:rFonts w:ascii="Times New Roman" w:hAnsi="Times New Roman" w:cs="Times New Roman" w:hint="default"/>
        <w:b/>
        <w:bCs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567" w:hanging="567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567" w:hanging="567"/>
      </w:pPr>
      <w:rPr>
        <w:rFonts w:cs="Times New Roman" w:hint="default"/>
        <w:color w:val="auto"/>
        <w:sz w:val="20"/>
        <w:szCs w:val="20"/>
      </w:rPr>
    </w:lvl>
    <w:lvl w:ilvl="5">
      <w:start w:val="1"/>
      <w:numFmt w:val="decimal"/>
      <w:lvlText w:val="%1.%2.%3.%4.%5"/>
      <w:lvlJc w:val="left"/>
      <w:pPr>
        <w:tabs>
          <w:tab w:val="num" w:pos="1440"/>
        </w:tabs>
        <w:ind w:left="567" w:hanging="567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</w:pPr>
      <w:rPr>
        <w:rFonts w:cs="Times New Roman" w:hint="default"/>
      </w:rPr>
    </w:lvl>
  </w:abstractNum>
  <w:abstractNum w:abstractNumId="9" w15:restartNumberingAfterBreak="0">
    <w:nsid w:val="412C6F24"/>
    <w:multiLevelType w:val="multilevel"/>
    <w:tmpl w:val="EFD2D654"/>
    <w:lvl w:ilvl="0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  <w:i/>
        <w:iCs/>
        <w:color w:val="002060"/>
        <w:sz w:val="24"/>
        <w:szCs w:val="24"/>
        <w:lang w:bidi="ar-S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 w:hint="default"/>
        <w:b w:val="0"/>
        <w:bCs/>
        <w:i/>
        <w:iCs/>
        <w:color w:val="auto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927" w:hanging="567"/>
      </w:pPr>
      <w:rPr>
        <w:rFonts w:ascii="Times New Roman" w:hAnsi="Times New Roman" w:cs="Times New Roman" w:hint="default"/>
        <w:b/>
        <w:bCs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567" w:hanging="567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567" w:hanging="567"/>
      </w:pPr>
      <w:rPr>
        <w:rFonts w:cs="Times New Roman" w:hint="default"/>
        <w:color w:val="auto"/>
        <w:sz w:val="20"/>
        <w:szCs w:val="20"/>
      </w:rPr>
    </w:lvl>
    <w:lvl w:ilvl="5">
      <w:start w:val="1"/>
      <w:numFmt w:val="decimal"/>
      <w:lvlText w:val="%1.%2.%3.%4.%5"/>
      <w:lvlJc w:val="left"/>
      <w:pPr>
        <w:tabs>
          <w:tab w:val="num" w:pos="1440"/>
        </w:tabs>
        <w:ind w:left="567" w:hanging="567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</w:pPr>
      <w:rPr>
        <w:rFonts w:cs="Times New Roman" w:hint="default"/>
      </w:rPr>
    </w:lvl>
  </w:abstractNum>
  <w:abstractNum w:abstractNumId="10" w15:restartNumberingAfterBreak="0">
    <w:nsid w:val="42502DFF"/>
    <w:multiLevelType w:val="multilevel"/>
    <w:tmpl w:val="88B63E9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i/>
        <w:iCs/>
        <w:color w:val="002060"/>
        <w:sz w:val="24"/>
        <w:szCs w:val="24"/>
        <w:lang w:bidi="ar-S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 w:hint="default"/>
        <w:b w:val="0"/>
        <w:bCs/>
        <w:i/>
        <w:iCs/>
        <w:color w:val="auto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927" w:hanging="567"/>
      </w:pPr>
      <w:rPr>
        <w:rFonts w:ascii="Times New Roman" w:hAnsi="Times New Roman" w:cs="Times New Roman" w:hint="default"/>
        <w:b/>
        <w:bCs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567" w:hanging="567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567" w:hanging="567"/>
      </w:pPr>
      <w:rPr>
        <w:rFonts w:cs="Times New Roman" w:hint="default"/>
        <w:color w:val="auto"/>
        <w:sz w:val="20"/>
        <w:szCs w:val="20"/>
      </w:rPr>
    </w:lvl>
    <w:lvl w:ilvl="5">
      <w:start w:val="1"/>
      <w:numFmt w:val="decimal"/>
      <w:lvlText w:val="%1.%2.%3.%4.%5"/>
      <w:lvlJc w:val="left"/>
      <w:pPr>
        <w:tabs>
          <w:tab w:val="num" w:pos="1440"/>
        </w:tabs>
        <w:ind w:left="567" w:hanging="567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</w:pPr>
      <w:rPr>
        <w:rFonts w:cs="Times New Roman" w:hint="default"/>
      </w:rPr>
    </w:lvl>
  </w:abstractNum>
  <w:abstractNum w:abstractNumId="11" w15:restartNumberingAfterBreak="0">
    <w:nsid w:val="5147536C"/>
    <w:multiLevelType w:val="hybridMultilevel"/>
    <w:tmpl w:val="541624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3627804"/>
    <w:multiLevelType w:val="multilevel"/>
    <w:tmpl w:val="2A2433EA"/>
    <w:lvl w:ilvl="0">
      <w:start w:val="1"/>
      <w:numFmt w:val="bullet"/>
      <w:lvlText w:val="o"/>
      <w:lvlJc w:val="left"/>
      <w:pPr>
        <w:tabs>
          <w:tab w:val="num" w:pos="450"/>
        </w:tabs>
        <w:ind w:left="450" w:hanging="360"/>
      </w:pPr>
      <w:rPr>
        <w:rFonts w:ascii="Courier New" w:hAnsi="Courier New" w:hint="default"/>
        <w:i/>
        <w:iCs/>
        <w:color w:val="FFC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 w:hint="default"/>
        <w:b w:val="0"/>
        <w:bCs/>
        <w:i/>
        <w:iCs/>
        <w:color w:val="auto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927" w:hanging="567"/>
      </w:pPr>
      <w:rPr>
        <w:rFonts w:ascii="Times New Roman" w:hAnsi="Times New Roman" w:cs="Times New Roman" w:hint="default"/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567" w:hanging="567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567" w:hanging="567"/>
      </w:pPr>
      <w:rPr>
        <w:rFonts w:cs="Times New Roman" w:hint="default"/>
        <w:color w:val="auto"/>
        <w:sz w:val="20"/>
        <w:szCs w:val="20"/>
      </w:rPr>
    </w:lvl>
    <w:lvl w:ilvl="5">
      <w:start w:val="1"/>
      <w:numFmt w:val="decimal"/>
      <w:lvlText w:val="%1.%2.%3.%4.%5"/>
      <w:lvlJc w:val="left"/>
      <w:pPr>
        <w:tabs>
          <w:tab w:val="num" w:pos="1440"/>
        </w:tabs>
        <w:ind w:left="567" w:hanging="567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</w:pPr>
      <w:rPr>
        <w:rFonts w:cs="Times New Roman" w:hint="default"/>
      </w:rPr>
    </w:lvl>
  </w:abstractNum>
  <w:abstractNum w:abstractNumId="13" w15:restartNumberingAfterBreak="0">
    <w:nsid w:val="6C3034A0"/>
    <w:multiLevelType w:val="hybridMultilevel"/>
    <w:tmpl w:val="5A6C343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2"/>
  </w:num>
  <w:num w:numId="5">
    <w:abstractNumId w:val="9"/>
  </w:num>
  <w:num w:numId="6">
    <w:abstractNumId w:val="11"/>
  </w:num>
  <w:num w:numId="7">
    <w:abstractNumId w:val="0"/>
  </w:num>
  <w:num w:numId="8">
    <w:abstractNumId w:val="13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10"/>
  </w:num>
  <w:num w:numId="12">
    <w:abstractNumId w:val="7"/>
  </w:num>
  <w:num w:numId="13">
    <w:abstractNumId w:val="5"/>
  </w:num>
  <w:num w:numId="14">
    <w:abstractNumId w:val="4"/>
  </w:num>
  <w:num w:numId="15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248"/>
    <w:rsid w:val="000051FB"/>
    <w:rsid w:val="000172B3"/>
    <w:rsid w:val="00023506"/>
    <w:rsid w:val="000325C2"/>
    <w:rsid w:val="000437BD"/>
    <w:rsid w:val="000464A2"/>
    <w:rsid w:val="00055F6B"/>
    <w:rsid w:val="00056BB3"/>
    <w:rsid w:val="00062481"/>
    <w:rsid w:val="00070A32"/>
    <w:rsid w:val="00070B0E"/>
    <w:rsid w:val="00070EEA"/>
    <w:rsid w:val="00080D97"/>
    <w:rsid w:val="00085C9C"/>
    <w:rsid w:val="00087CC2"/>
    <w:rsid w:val="00092782"/>
    <w:rsid w:val="000A625A"/>
    <w:rsid w:val="000B7444"/>
    <w:rsid w:val="000C1CD9"/>
    <w:rsid w:val="000C23C1"/>
    <w:rsid w:val="000C7E5E"/>
    <w:rsid w:val="000E3FB6"/>
    <w:rsid w:val="000F0A8A"/>
    <w:rsid w:val="000F1A8F"/>
    <w:rsid w:val="000F6E93"/>
    <w:rsid w:val="00105A3E"/>
    <w:rsid w:val="00120812"/>
    <w:rsid w:val="001261B5"/>
    <w:rsid w:val="001269A4"/>
    <w:rsid w:val="00131D31"/>
    <w:rsid w:val="00132E0F"/>
    <w:rsid w:val="00135ED6"/>
    <w:rsid w:val="0015164C"/>
    <w:rsid w:val="00154D59"/>
    <w:rsid w:val="00164BA0"/>
    <w:rsid w:val="001657DD"/>
    <w:rsid w:val="001813D8"/>
    <w:rsid w:val="00182090"/>
    <w:rsid w:val="00186DD7"/>
    <w:rsid w:val="00190166"/>
    <w:rsid w:val="001931F6"/>
    <w:rsid w:val="001943A3"/>
    <w:rsid w:val="001A1EE2"/>
    <w:rsid w:val="001A3644"/>
    <w:rsid w:val="001A57BC"/>
    <w:rsid w:val="001A6591"/>
    <w:rsid w:val="001B03B2"/>
    <w:rsid w:val="001B1EA3"/>
    <w:rsid w:val="001B21A1"/>
    <w:rsid w:val="001B62A8"/>
    <w:rsid w:val="001C29DA"/>
    <w:rsid w:val="001C3E79"/>
    <w:rsid w:val="001C4999"/>
    <w:rsid w:val="001C4E56"/>
    <w:rsid w:val="001C73F6"/>
    <w:rsid w:val="001E4B46"/>
    <w:rsid w:val="001F0854"/>
    <w:rsid w:val="00206798"/>
    <w:rsid w:val="00230B6E"/>
    <w:rsid w:val="002317B0"/>
    <w:rsid w:val="00235F1D"/>
    <w:rsid w:val="00241741"/>
    <w:rsid w:val="00242FB5"/>
    <w:rsid w:val="002602DE"/>
    <w:rsid w:val="00261A85"/>
    <w:rsid w:val="002663F9"/>
    <w:rsid w:val="00272472"/>
    <w:rsid w:val="00276E8E"/>
    <w:rsid w:val="00280233"/>
    <w:rsid w:val="00282969"/>
    <w:rsid w:val="00291D32"/>
    <w:rsid w:val="002B0A02"/>
    <w:rsid w:val="002C501E"/>
    <w:rsid w:val="002C6395"/>
    <w:rsid w:val="002E105A"/>
    <w:rsid w:val="002F6911"/>
    <w:rsid w:val="002F72D4"/>
    <w:rsid w:val="0030115E"/>
    <w:rsid w:val="003031A1"/>
    <w:rsid w:val="003134B9"/>
    <w:rsid w:val="0032574B"/>
    <w:rsid w:val="0033233E"/>
    <w:rsid w:val="00334E5A"/>
    <w:rsid w:val="003432C1"/>
    <w:rsid w:val="00343763"/>
    <w:rsid w:val="00353082"/>
    <w:rsid w:val="00357D99"/>
    <w:rsid w:val="00362F9A"/>
    <w:rsid w:val="00367604"/>
    <w:rsid w:val="00375D2C"/>
    <w:rsid w:val="00391E5B"/>
    <w:rsid w:val="003926D2"/>
    <w:rsid w:val="00396837"/>
    <w:rsid w:val="00397A10"/>
    <w:rsid w:val="003A0649"/>
    <w:rsid w:val="003A0899"/>
    <w:rsid w:val="003A27F9"/>
    <w:rsid w:val="003A4C73"/>
    <w:rsid w:val="003C3E35"/>
    <w:rsid w:val="003C5E6B"/>
    <w:rsid w:val="003D2C12"/>
    <w:rsid w:val="003E2274"/>
    <w:rsid w:val="003F3C6B"/>
    <w:rsid w:val="0041117B"/>
    <w:rsid w:val="00411F52"/>
    <w:rsid w:val="00415798"/>
    <w:rsid w:val="0041659B"/>
    <w:rsid w:val="0042190C"/>
    <w:rsid w:val="00437867"/>
    <w:rsid w:val="00441301"/>
    <w:rsid w:val="0044302C"/>
    <w:rsid w:val="00444D9C"/>
    <w:rsid w:val="00444EB6"/>
    <w:rsid w:val="00444F93"/>
    <w:rsid w:val="00450F35"/>
    <w:rsid w:val="00457DC0"/>
    <w:rsid w:val="00465A31"/>
    <w:rsid w:val="00467CBA"/>
    <w:rsid w:val="00470A07"/>
    <w:rsid w:val="0047430A"/>
    <w:rsid w:val="00476303"/>
    <w:rsid w:val="004911C3"/>
    <w:rsid w:val="004921BA"/>
    <w:rsid w:val="004A073A"/>
    <w:rsid w:val="004A2E20"/>
    <w:rsid w:val="004A4329"/>
    <w:rsid w:val="004A5DA0"/>
    <w:rsid w:val="004A6216"/>
    <w:rsid w:val="004B1632"/>
    <w:rsid w:val="004B5C15"/>
    <w:rsid w:val="004C20CB"/>
    <w:rsid w:val="004D0213"/>
    <w:rsid w:val="004D4ACB"/>
    <w:rsid w:val="004E0FAB"/>
    <w:rsid w:val="004E2A00"/>
    <w:rsid w:val="004E4E38"/>
    <w:rsid w:val="004E5829"/>
    <w:rsid w:val="004E68E3"/>
    <w:rsid w:val="004F1A8C"/>
    <w:rsid w:val="004F6815"/>
    <w:rsid w:val="004F7B0E"/>
    <w:rsid w:val="0050178A"/>
    <w:rsid w:val="00511CA7"/>
    <w:rsid w:val="00514685"/>
    <w:rsid w:val="00517680"/>
    <w:rsid w:val="00524F13"/>
    <w:rsid w:val="005266AA"/>
    <w:rsid w:val="005266DB"/>
    <w:rsid w:val="005269BC"/>
    <w:rsid w:val="0053351C"/>
    <w:rsid w:val="005349F0"/>
    <w:rsid w:val="005404E6"/>
    <w:rsid w:val="005476A4"/>
    <w:rsid w:val="00551F39"/>
    <w:rsid w:val="0055705F"/>
    <w:rsid w:val="00557B0B"/>
    <w:rsid w:val="00561AEE"/>
    <w:rsid w:val="00580F9A"/>
    <w:rsid w:val="00583412"/>
    <w:rsid w:val="00591D48"/>
    <w:rsid w:val="00593022"/>
    <w:rsid w:val="00596D4E"/>
    <w:rsid w:val="00597131"/>
    <w:rsid w:val="005A1FA4"/>
    <w:rsid w:val="005B12EC"/>
    <w:rsid w:val="005B7CA3"/>
    <w:rsid w:val="005C13FC"/>
    <w:rsid w:val="005C5D1B"/>
    <w:rsid w:val="005D0F2C"/>
    <w:rsid w:val="00606939"/>
    <w:rsid w:val="006121A7"/>
    <w:rsid w:val="00614286"/>
    <w:rsid w:val="006203B9"/>
    <w:rsid w:val="00624A51"/>
    <w:rsid w:val="0062716C"/>
    <w:rsid w:val="00643A4B"/>
    <w:rsid w:val="00647038"/>
    <w:rsid w:val="00675DFA"/>
    <w:rsid w:val="00675E04"/>
    <w:rsid w:val="0069478F"/>
    <w:rsid w:val="006971BE"/>
    <w:rsid w:val="006A08FC"/>
    <w:rsid w:val="006A3366"/>
    <w:rsid w:val="006A50B7"/>
    <w:rsid w:val="006A58D8"/>
    <w:rsid w:val="006C2D74"/>
    <w:rsid w:val="006C720F"/>
    <w:rsid w:val="006D0595"/>
    <w:rsid w:val="006D0AAE"/>
    <w:rsid w:val="006D5330"/>
    <w:rsid w:val="006F0E7F"/>
    <w:rsid w:val="006F12EA"/>
    <w:rsid w:val="006F4887"/>
    <w:rsid w:val="006F54AC"/>
    <w:rsid w:val="006F68E5"/>
    <w:rsid w:val="007010A2"/>
    <w:rsid w:val="00702194"/>
    <w:rsid w:val="00704B64"/>
    <w:rsid w:val="00746327"/>
    <w:rsid w:val="007536AC"/>
    <w:rsid w:val="007752AE"/>
    <w:rsid w:val="00776248"/>
    <w:rsid w:val="0078176E"/>
    <w:rsid w:val="00783FDE"/>
    <w:rsid w:val="007861B9"/>
    <w:rsid w:val="00787DF7"/>
    <w:rsid w:val="007904F3"/>
    <w:rsid w:val="00794252"/>
    <w:rsid w:val="00794DA8"/>
    <w:rsid w:val="007A37D4"/>
    <w:rsid w:val="007A54CA"/>
    <w:rsid w:val="007A737B"/>
    <w:rsid w:val="007C3E8B"/>
    <w:rsid w:val="007C4747"/>
    <w:rsid w:val="007C6B98"/>
    <w:rsid w:val="007D000D"/>
    <w:rsid w:val="007D0A5A"/>
    <w:rsid w:val="007D6835"/>
    <w:rsid w:val="007E0D43"/>
    <w:rsid w:val="007E2CE1"/>
    <w:rsid w:val="007E728B"/>
    <w:rsid w:val="007F0BA5"/>
    <w:rsid w:val="007F1041"/>
    <w:rsid w:val="007F318F"/>
    <w:rsid w:val="007F6D2D"/>
    <w:rsid w:val="00805449"/>
    <w:rsid w:val="00806602"/>
    <w:rsid w:val="00807FF4"/>
    <w:rsid w:val="00813307"/>
    <w:rsid w:val="0082337F"/>
    <w:rsid w:val="00830399"/>
    <w:rsid w:val="00843252"/>
    <w:rsid w:val="008504CF"/>
    <w:rsid w:val="008531D8"/>
    <w:rsid w:val="00857700"/>
    <w:rsid w:val="008634AA"/>
    <w:rsid w:val="00870628"/>
    <w:rsid w:val="0087114B"/>
    <w:rsid w:val="00875E2E"/>
    <w:rsid w:val="00880094"/>
    <w:rsid w:val="00882FD7"/>
    <w:rsid w:val="00884DEB"/>
    <w:rsid w:val="00885DD8"/>
    <w:rsid w:val="00890F5B"/>
    <w:rsid w:val="0089613D"/>
    <w:rsid w:val="008A024D"/>
    <w:rsid w:val="008A1E87"/>
    <w:rsid w:val="008C06CD"/>
    <w:rsid w:val="008C559A"/>
    <w:rsid w:val="008C7B26"/>
    <w:rsid w:val="008D442E"/>
    <w:rsid w:val="008D4FF9"/>
    <w:rsid w:val="008D52A7"/>
    <w:rsid w:val="008D5377"/>
    <w:rsid w:val="008E1217"/>
    <w:rsid w:val="008E3B72"/>
    <w:rsid w:val="008E4911"/>
    <w:rsid w:val="008F11D2"/>
    <w:rsid w:val="008F19DD"/>
    <w:rsid w:val="008F307C"/>
    <w:rsid w:val="008F3973"/>
    <w:rsid w:val="00904976"/>
    <w:rsid w:val="0090649C"/>
    <w:rsid w:val="009178FA"/>
    <w:rsid w:val="00924126"/>
    <w:rsid w:val="00927A7B"/>
    <w:rsid w:val="0093011A"/>
    <w:rsid w:val="009317F6"/>
    <w:rsid w:val="0093235E"/>
    <w:rsid w:val="0093528B"/>
    <w:rsid w:val="0094256F"/>
    <w:rsid w:val="00943FAA"/>
    <w:rsid w:val="00944A49"/>
    <w:rsid w:val="009548FA"/>
    <w:rsid w:val="00957D03"/>
    <w:rsid w:val="009603BB"/>
    <w:rsid w:val="00961851"/>
    <w:rsid w:val="00961B40"/>
    <w:rsid w:val="00961B7D"/>
    <w:rsid w:val="00962DCD"/>
    <w:rsid w:val="00972D1D"/>
    <w:rsid w:val="00976677"/>
    <w:rsid w:val="00981841"/>
    <w:rsid w:val="009867B0"/>
    <w:rsid w:val="00990DA3"/>
    <w:rsid w:val="00995743"/>
    <w:rsid w:val="009A26CB"/>
    <w:rsid w:val="009A29C7"/>
    <w:rsid w:val="009A7D95"/>
    <w:rsid w:val="009B429D"/>
    <w:rsid w:val="009B4A6B"/>
    <w:rsid w:val="009D1805"/>
    <w:rsid w:val="009D26EF"/>
    <w:rsid w:val="009D309D"/>
    <w:rsid w:val="009E76ED"/>
    <w:rsid w:val="00A02E6B"/>
    <w:rsid w:val="00A0716A"/>
    <w:rsid w:val="00A104DA"/>
    <w:rsid w:val="00A16044"/>
    <w:rsid w:val="00A27313"/>
    <w:rsid w:val="00A27690"/>
    <w:rsid w:val="00A30A98"/>
    <w:rsid w:val="00A312CE"/>
    <w:rsid w:val="00A36F6B"/>
    <w:rsid w:val="00A44D5A"/>
    <w:rsid w:val="00A46B6E"/>
    <w:rsid w:val="00A47CB1"/>
    <w:rsid w:val="00A51DB2"/>
    <w:rsid w:val="00A70198"/>
    <w:rsid w:val="00A70246"/>
    <w:rsid w:val="00A81557"/>
    <w:rsid w:val="00A92352"/>
    <w:rsid w:val="00AA21A9"/>
    <w:rsid w:val="00AA2C5F"/>
    <w:rsid w:val="00AB0EDF"/>
    <w:rsid w:val="00AB2132"/>
    <w:rsid w:val="00AB5901"/>
    <w:rsid w:val="00AC41C2"/>
    <w:rsid w:val="00AD1F1C"/>
    <w:rsid w:val="00AD7B92"/>
    <w:rsid w:val="00AE3EF2"/>
    <w:rsid w:val="00AE7FD9"/>
    <w:rsid w:val="00B01A1F"/>
    <w:rsid w:val="00B0365E"/>
    <w:rsid w:val="00B0600D"/>
    <w:rsid w:val="00B24BF4"/>
    <w:rsid w:val="00B261CB"/>
    <w:rsid w:val="00B3175F"/>
    <w:rsid w:val="00B422D9"/>
    <w:rsid w:val="00B45DAC"/>
    <w:rsid w:val="00B64CA7"/>
    <w:rsid w:val="00B73659"/>
    <w:rsid w:val="00B80F35"/>
    <w:rsid w:val="00B829EF"/>
    <w:rsid w:val="00B95F11"/>
    <w:rsid w:val="00BA3328"/>
    <w:rsid w:val="00BD067D"/>
    <w:rsid w:val="00BE1993"/>
    <w:rsid w:val="00BE69CB"/>
    <w:rsid w:val="00BF3D89"/>
    <w:rsid w:val="00BF4556"/>
    <w:rsid w:val="00C02861"/>
    <w:rsid w:val="00C04652"/>
    <w:rsid w:val="00C07C63"/>
    <w:rsid w:val="00C242B0"/>
    <w:rsid w:val="00C31E6E"/>
    <w:rsid w:val="00C401D0"/>
    <w:rsid w:val="00C44E06"/>
    <w:rsid w:val="00C47662"/>
    <w:rsid w:val="00C532B8"/>
    <w:rsid w:val="00C60140"/>
    <w:rsid w:val="00C612DC"/>
    <w:rsid w:val="00C61AC9"/>
    <w:rsid w:val="00C73778"/>
    <w:rsid w:val="00C76A30"/>
    <w:rsid w:val="00C803B6"/>
    <w:rsid w:val="00C81A58"/>
    <w:rsid w:val="00C81C72"/>
    <w:rsid w:val="00C8238A"/>
    <w:rsid w:val="00C84A59"/>
    <w:rsid w:val="00CA7FAF"/>
    <w:rsid w:val="00CB541F"/>
    <w:rsid w:val="00CC69B4"/>
    <w:rsid w:val="00CD06A7"/>
    <w:rsid w:val="00CD4178"/>
    <w:rsid w:val="00CD4A7F"/>
    <w:rsid w:val="00CD552A"/>
    <w:rsid w:val="00CE1E66"/>
    <w:rsid w:val="00CE50CD"/>
    <w:rsid w:val="00CE6C00"/>
    <w:rsid w:val="00D0211E"/>
    <w:rsid w:val="00D0567E"/>
    <w:rsid w:val="00D224A1"/>
    <w:rsid w:val="00D33B39"/>
    <w:rsid w:val="00D40BE3"/>
    <w:rsid w:val="00D50118"/>
    <w:rsid w:val="00D515F1"/>
    <w:rsid w:val="00D53278"/>
    <w:rsid w:val="00D64FE4"/>
    <w:rsid w:val="00D6772C"/>
    <w:rsid w:val="00D67D86"/>
    <w:rsid w:val="00D71ABD"/>
    <w:rsid w:val="00D7310A"/>
    <w:rsid w:val="00D76ADA"/>
    <w:rsid w:val="00D77142"/>
    <w:rsid w:val="00D77D6F"/>
    <w:rsid w:val="00D875A7"/>
    <w:rsid w:val="00D913C8"/>
    <w:rsid w:val="00D921F5"/>
    <w:rsid w:val="00DB0E00"/>
    <w:rsid w:val="00DB4025"/>
    <w:rsid w:val="00DB42DA"/>
    <w:rsid w:val="00DB7C55"/>
    <w:rsid w:val="00DC0E6B"/>
    <w:rsid w:val="00DC63BD"/>
    <w:rsid w:val="00DD1817"/>
    <w:rsid w:val="00DE710B"/>
    <w:rsid w:val="00DF3D91"/>
    <w:rsid w:val="00E00FFD"/>
    <w:rsid w:val="00E015FA"/>
    <w:rsid w:val="00E12DBF"/>
    <w:rsid w:val="00E134F8"/>
    <w:rsid w:val="00E26D33"/>
    <w:rsid w:val="00E30C33"/>
    <w:rsid w:val="00E34B84"/>
    <w:rsid w:val="00E40B93"/>
    <w:rsid w:val="00E43642"/>
    <w:rsid w:val="00E46AE2"/>
    <w:rsid w:val="00E50F34"/>
    <w:rsid w:val="00E541A1"/>
    <w:rsid w:val="00E64B79"/>
    <w:rsid w:val="00E65A11"/>
    <w:rsid w:val="00E75EE3"/>
    <w:rsid w:val="00E844FB"/>
    <w:rsid w:val="00EA58E5"/>
    <w:rsid w:val="00EB1D81"/>
    <w:rsid w:val="00EB3749"/>
    <w:rsid w:val="00EC5E52"/>
    <w:rsid w:val="00EC7748"/>
    <w:rsid w:val="00ED4871"/>
    <w:rsid w:val="00ED5BBA"/>
    <w:rsid w:val="00EE58AB"/>
    <w:rsid w:val="00EF535D"/>
    <w:rsid w:val="00F050D5"/>
    <w:rsid w:val="00F06C58"/>
    <w:rsid w:val="00F07D38"/>
    <w:rsid w:val="00F144CD"/>
    <w:rsid w:val="00F21054"/>
    <w:rsid w:val="00F24D2B"/>
    <w:rsid w:val="00F31D88"/>
    <w:rsid w:val="00F37CEC"/>
    <w:rsid w:val="00F53CDB"/>
    <w:rsid w:val="00F54E45"/>
    <w:rsid w:val="00F65F24"/>
    <w:rsid w:val="00F71C76"/>
    <w:rsid w:val="00F944DF"/>
    <w:rsid w:val="00FA0654"/>
    <w:rsid w:val="00FA7204"/>
    <w:rsid w:val="00FC30E1"/>
    <w:rsid w:val="00FC6543"/>
    <w:rsid w:val="00FE007B"/>
    <w:rsid w:val="00FE41DB"/>
    <w:rsid w:val="00FF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8203333-0FDC-452E-9BF0-54C14DB9B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4A7F"/>
    <w:pPr>
      <w:spacing w:line="252" w:lineRule="auto" w:after="120"/>
    </w:pPr>
    <w:rPr>
      <w:rFonts w:ascii="Times New Roman" w:eastAsia="Times New Roman" w:hAnsi="Times New Roman" w:cs="Times New Roman"/>
      <w:sz w:val="22"/>
    </w:rPr>
  </w:style>
  <w:style w:type="paragraph" w:styleId="Heading1">
    <w:name w:val="heading 1"/>
    <w:basedOn w:val="Normal"/>
    <w:next w:val="Normal"/>
    <w:link w:val="Heading1Char"/>
    <w:qFormat/>
    <w:rsid w:val="00776248"/>
    <w:pPr>
      <w:keepNext/>
      <w:pBdr>
        <w:bottom w:val="double" w:sz="6" w:space="3" w:color="A63D40"/>
      </w:pBdr>
      <w:spacing w:before="300" w:after="120"/>
      <w:jc w:val="left"/>
      <w:outlineLvl w:val="0"/>
    </w:pPr>
    <w:rPr>
      <w:rFonts w:ascii="Times New Roman" w:hAnsi="Times New Roman"/>
      <w:b/>
      <w:i/>
      <w:caps/>
      <w:color w:val="002060"/>
      <w:spacing w:val="20"/>
      <w:sz w:val="26"/>
      <w:szCs w:val="28"/>
    </w:rPr>
  </w:style>
  <w:style w:type="paragraph" w:styleId="Heading2">
    <w:name w:val="heading 2"/>
    <w:basedOn w:val="Normal"/>
    <w:next w:val="Normal"/>
    <w:link w:val="Heading2Char"/>
    <w:qFormat/>
    <w:rsid w:val="00776248"/>
    <w:pPr>
      <w:keepNext/>
      <w:spacing w:before="300" w:after="120"/>
      <w:jc w:val="left"/>
      <w:outlineLvl w:val="1"/>
    </w:pPr>
    <w:rPr>
      <w:rFonts w:ascii="Times New Roman" w:hAnsi="Times New Roman"/>
      <w:b/>
      <w:i/>
      <w:caps/>
      <w:color w:val="00206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776248"/>
    <w:pPr>
      <w:keepNext/>
      <w:spacing w:before="300" w:after="120"/>
      <w:jc w:val="left"/>
      <w:outlineLvl w:val="2"/>
    </w:pPr>
    <w:rPr>
      <w:rFonts w:ascii="Times New Roman" w:hAnsi="Times New Roman"/>
      <w:b/>
      <w:i/>
      <w:caps/>
      <w:color w:val="002060"/>
      <w:sz w:val="22"/>
      <w:szCs w:val="24"/>
    </w:rPr>
  </w:style>
  <w:style w:type="paragraph" w:styleId="Heading4">
    <w:name w:val="heading 4"/>
    <w:basedOn w:val="Normal"/>
    <w:next w:val="Normal"/>
    <w:link w:val="Heading4Char"/>
    <w:qFormat/>
    <w:rsid w:val="00776248"/>
    <w:pPr>
      <w:numPr>
        <w:ilvl w:val="3"/>
        <w:numId w:val="2"/>
      </w:numPr>
      <w:pBdr>
        <w:bottom w:val="dotted" w:sz="4" w:space="1" w:color="943634"/>
      </w:pBdr>
      <w:spacing w:after="120"/>
      <w:jc w:val="center"/>
      <w:outlineLvl w:val="3"/>
    </w:pPr>
    <w:rPr>
      <w:caps/>
      <w:color w:val="622423"/>
      <w:spacing w:val="10"/>
    </w:rPr>
  </w:style>
  <w:style w:type="paragraph" w:styleId="Heading5">
    <w:name w:val="heading 5"/>
    <w:basedOn w:val="Normal"/>
    <w:next w:val="Normal"/>
    <w:link w:val="Heading5Char"/>
    <w:qFormat/>
    <w:rsid w:val="00776248"/>
    <w:pPr>
      <w:numPr>
        <w:ilvl w:val="4"/>
        <w:numId w:val="2"/>
      </w:numPr>
      <w:spacing w:before="320" w:after="120"/>
      <w:jc w:val="center"/>
      <w:outlineLvl w:val="4"/>
    </w:pPr>
    <w:rPr>
      <w:caps/>
      <w:color w:val="622423"/>
      <w:spacing w:val="10"/>
    </w:rPr>
  </w:style>
  <w:style w:type="paragraph" w:styleId="Heading6">
    <w:name w:val="heading 6"/>
    <w:basedOn w:val="Normal"/>
    <w:next w:val="Normal"/>
    <w:link w:val="Heading6Char"/>
    <w:qFormat/>
    <w:rsid w:val="00776248"/>
    <w:pPr>
      <w:numPr>
        <w:ilvl w:val="5"/>
        <w:numId w:val="2"/>
      </w:numPr>
      <w:spacing w:after="120"/>
      <w:jc w:val="center"/>
      <w:outlineLvl w:val="5"/>
    </w:pPr>
    <w:rPr>
      <w:caps/>
      <w:color w:val="943634"/>
      <w:spacing w:val="10"/>
    </w:rPr>
  </w:style>
  <w:style w:type="paragraph" w:styleId="Heading7">
    <w:name w:val="heading 7"/>
    <w:basedOn w:val="Normal"/>
    <w:next w:val="Normal"/>
    <w:link w:val="Heading7Char"/>
    <w:qFormat/>
    <w:rsid w:val="00776248"/>
    <w:pPr>
      <w:numPr>
        <w:ilvl w:val="6"/>
        <w:numId w:val="2"/>
      </w:numPr>
      <w:spacing w:after="120"/>
      <w:jc w:val="center"/>
      <w:outlineLvl w:val="6"/>
    </w:pPr>
    <w:rPr>
      <w:i/>
      <w:iCs/>
      <w:caps/>
      <w:color w:val="943634"/>
      <w:spacing w:val="10"/>
    </w:rPr>
  </w:style>
  <w:style w:type="paragraph" w:styleId="Heading8">
    <w:name w:val="heading 8"/>
    <w:basedOn w:val="Normal"/>
    <w:next w:val="Normal"/>
    <w:link w:val="Heading8Char"/>
    <w:qFormat/>
    <w:rsid w:val="00776248"/>
    <w:pPr>
      <w:numPr>
        <w:ilvl w:val="7"/>
        <w:numId w:val="2"/>
      </w:num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776248"/>
    <w:pPr>
      <w:numPr>
        <w:ilvl w:val="8"/>
        <w:numId w:val="2"/>
      </w:num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76248"/>
    <w:rPr>
      <w:rFonts w:ascii="Cambria" w:eastAsia="Times New Roman" w:hAnsi="Cambria" w:cs="Times New Roman"/>
      <w:caps/>
      <w:color w:val="632423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776248"/>
    <w:rPr>
      <w:rFonts w:ascii="Cambria" w:eastAsia="Times New Roman" w:hAnsi="Cambria" w:cs="Times New Roman"/>
      <w:caps/>
      <w:color w:val="632423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776248"/>
    <w:rPr>
      <w:rFonts w:ascii="Cambria" w:eastAsia="Times New Roman" w:hAnsi="Cambria" w:cs="Times New Roman"/>
      <w:caps/>
      <w:color w:val="622423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776248"/>
    <w:rPr>
      <w:rFonts w:ascii="Cambria" w:eastAsia="Times New Roman" w:hAnsi="Cambria" w:cs="Times New Roman"/>
      <w:caps/>
      <w:color w:val="622423"/>
      <w:spacing w:val="10"/>
    </w:rPr>
  </w:style>
  <w:style w:type="character" w:customStyle="1" w:styleId="Heading5Char">
    <w:name w:val="Heading 5 Char"/>
    <w:basedOn w:val="DefaultParagraphFont"/>
    <w:link w:val="Heading5"/>
    <w:rsid w:val="00776248"/>
    <w:rPr>
      <w:rFonts w:ascii="Cambria" w:eastAsia="Times New Roman" w:hAnsi="Cambria" w:cs="Times New Roman"/>
      <w:caps/>
      <w:color w:val="622423"/>
      <w:spacing w:val="10"/>
    </w:rPr>
  </w:style>
  <w:style w:type="character" w:customStyle="1" w:styleId="Heading6Char">
    <w:name w:val="Heading 6 Char"/>
    <w:basedOn w:val="DefaultParagraphFont"/>
    <w:link w:val="Heading6"/>
    <w:rsid w:val="00776248"/>
    <w:rPr>
      <w:rFonts w:ascii="Cambria" w:eastAsia="Times New Roman" w:hAnsi="Cambria" w:cs="Times New Roman"/>
      <w:caps/>
      <w:color w:val="943634"/>
      <w:spacing w:val="10"/>
    </w:rPr>
  </w:style>
  <w:style w:type="character" w:customStyle="1" w:styleId="Heading7Char">
    <w:name w:val="Heading 7 Char"/>
    <w:basedOn w:val="DefaultParagraphFont"/>
    <w:link w:val="Heading7"/>
    <w:rsid w:val="00776248"/>
    <w:rPr>
      <w:rFonts w:ascii="Cambria" w:eastAsia="Times New Roman" w:hAnsi="Cambria" w:cs="Times New Roman"/>
      <w:i/>
      <w:iCs/>
      <w:caps/>
      <w:color w:val="943634"/>
      <w:spacing w:val="10"/>
    </w:rPr>
  </w:style>
  <w:style w:type="character" w:customStyle="1" w:styleId="Heading8Char">
    <w:name w:val="Heading 8 Char"/>
    <w:basedOn w:val="DefaultParagraphFont"/>
    <w:link w:val="Heading8"/>
    <w:rsid w:val="00776248"/>
    <w:rPr>
      <w:rFonts w:ascii="Cambria" w:eastAsia="Times New Roman" w:hAnsi="Cambria" w:cs="Times New Roman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776248"/>
    <w:rPr>
      <w:rFonts w:ascii="Cambria" w:eastAsia="Times New Roman" w:hAnsi="Cambria" w:cs="Times New Roman"/>
      <w:i/>
      <w:iCs/>
      <w:caps/>
      <w:spacing w:val="10"/>
      <w:sz w:val="20"/>
      <w:szCs w:val="20"/>
    </w:rPr>
  </w:style>
  <w:style w:type="paragraph" w:styleId="Footer">
    <w:name w:val="footer"/>
    <w:basedOn w:val="Normal"/>
    <w:link w:val="FooterChar"/>
    <w:rsid w:val="0077624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776248"/>
    <w:rPr>
      <w:rFonts w:ascii="Cambria" w:eastAsia="Times New Roman" w:hAnsi="Cambria" w:cs="Times New Roman"/>
    </w:rPr>
  </w:style>
  <w:style w:type="paragraph" w:styleId="TOC1">
    <w:name w:val="toc 1"/>
    <w:basedOn w:val="Normal"/>
    <w:next w:val="Normal"/>
    <w:autoRedefine/>
    <w:uiPriority w:val="39"/>
    <w:rsid w:val="00776248"/>
    <w:pPr>
      <w:tabs>
        <w:tab w:val="left" w:pos="440"/>
        <w:tab w:val="right" w:leader="dot" w:pos="9854"/>
      </w:tabs>
      <w:spacing w:line="480" w:lineRule="auto" w:after="120"/>
    </w:pPr>
    <w:rPr>
      <w:rFonts w:ascii="Times New Roman" w:hAnsi="Times New Roman"/>
      <w:sz w:val="22"/>
    </w:rPr>
  </w:style>
  <w:style w:type="character" w:styleId="Hyperlink">
    <w:name w:val="Hyperlink"/>
    <w:basedOn w:val="DefaultParagraphFont"/>
    <w:uiPriority w:val="99"/>
    <w:rsid w:val="00776248"/>
    <w:rPr>
      <w:rFonts w:cs="Times New Roman"/>
      <w:color w:val="0000FF"/>
      <w:u w:val="single"/>
    </w:rPr>
  </w:style>
  <w:style w:type="paragraph" w:customStyle="1" w:styleId="NormalTahoma">
    <w:name w:val="Normal + Tahoma"/>
    <w:aliases w:val="11 pt"/>
    <w:basedOn w:val="Normal"/>
    <w:uiPriority w:val="99"/>
    <w:rsid w:val="00776248"/>
    <w:pPr>
      <w:jc w:val="both"/>
    </w:pPr>
    <w:rPr>
      <w:rFonts w:ascii="Tahoma" w:hAnsi="Tahoma" w:cs="Tahoma"/>
      <w:lang w:val="en-GB"/>
    </w:rPr>
  </w:style>
  <w:style w:type="paragraph" w:styleId="ListParagraph">
    <w:name w:val="List Paragraph"/>
    <w:basedOn w:val="Normal"/>
    <w:uiPriority w:val="34"/>
    <w:qFormat/>
    <w:rsid w:val="00776248"/>
    <w:pPr>
      <w:spacing w:after="120"/>
      <w:ind w:left="720"/>
      <w:contextualSpacing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rsid w:val="007762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76248"/>
    <w:rPr>
      <w:rFonts w:ascii="Cambria" w:eastAsia="Times New Roman" w:hAnsi="Cambria" w:cs="Times New Roman"/>
    </w:rPr>
  </w:style>
  <w:style w:type="paragraph" w:styleId="NormalWeb">
    <w:name w:val="Normal (Web)"/>
    <w:basedOn w:val="Normal"/>
    <w:uiPriority w:val="99"/>
    <w:unhideWhenUsed/>
    <w:rsid w:val="0077624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62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6248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E65A11"/>
    <w:pPr>
      <w:spacing w:after="0" w:line="240" w:lineRule="auto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5Dark-Accent6">
    <w:name w:val="Grid Table 5 Dark Accent 6"/>
    <w:basedOn w:val="TableNormal"/>
    <w:uiPriority w:val="50"/>
    <w:rsid w:val="006F68E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3-Accent6">
    <w:name w:val="Grid Table 3 Accent 6"/>
    <w:basedOn w:val="TableNormal"/>
    <w:uiPriority w:val="48"/>
    <w:rsid w:val="006F68E5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1Light-Accent6">
    <w:name w:val="Grid Table 1 Light Accent 6"/>
    <w:basedOn w:val="TableNormal"/>
    <w:uiPriority w:val="46"/>
    <w:rsid w:val="006F68E5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6F68E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xmsolistparagraph">
    <w:name w:val="x_msolistparagraph"/>
    <w:basedOn w:val="Normal"/>
    <w:rsid w:val="001A57BC"/>
    <w:pPr>
      <w:spacing w:after="0" w:line="240" w:lineRule="auto"/>
      <w:ind w:left="720"/>
    </w:pPr>
    <w:rPr>
      <w:rFonts w:ascii="Calibri" w:eastAsiaTheme="minorHAns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footer" Target="footer1.xml"/><Relationship Id="rId3" Type="http://schemas.openxmlformats.org/officeDocument/2006/relationships/styles" Target="styles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20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Cash Mobile — Notification Management CMS — Notification Analytics Only</dc:title>
  <dc:creator/>
  <cp:lastModifiedBy/>
  <cp:revision>4</cp:revision>
  <cp:lastPrinted>2019-08-26T08:58:00Z</cp:lastPrinted>
  <dcterms:created xsi:type="dcterms:W3CDTF">2024-10-20T06:18:00Z</dcterms:created>
  <dcterms:modified xsi:type="dcterms:W3CDTF">2024-10-20T06:18:00Z</dcterms:modified>
  <dc:subject>Notification/campaign analytics only; general app user-behavior tracking excluded</dc:subject>
  <dc:description/>
  <cp:keywords>Cash Mobile, Notification CMS, Draft v1.2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c00c23b0ee85d384e3f989f4c97e2ff9b904f88892d1a0610a8ab5f094f8bced</vt:lpwstr>
  </property>
</Properties>
</file>