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FB6A81" w14:textId="77777777" w:rsidR="00BD4F76" w:rsidRDefault="00BD4F76" w:rsidP="00BD4F76">
      <w:pPr>
        <w:spacing w:after="0" w:line="240" w:lineRule="auto"/>
        <w:rPr>
          <w:rFonts w:ascii="Calibri" w:eastAsia="Times New Roman" w:hAnsi="Calibri" w:cs="Calibri"/>
          <w:b/>
          <w:bCs/>
          <w:kern w:val="0"/>
          <w:lang w:eastAsia="en-GB"/>
          <w14:ligatures w14:val="none"/>
        </w:rPr>
      </w:pPr>
      <w:r w:rsidRPr="00BD4F76">
        <w:rPr>
          <w:rFonts w:ascii="Calibri" w:eastAsia="Times New Roman" w:hAnsi="Calibri" w:cs="Calibri"/>
          <w:b/>
          <w:bCs/>
          <w:kern w:val="0"/>
          <w:lang w:eastAsia="en-GB"/>
          <w14:ligatures w14:val="none"/>
        </w:rPr>
        <w:t>Cybersecurity Governance Policy</w:t>
      </w:r>
    </w:p>
    <w:p w14:paraId="21952F39" w14:textId="77777777" w:rsidR="0069100A" w:rsidRDefault="0069100A" w:rsidP="00BD4F76">
      <w:pPr>
        <w:spacing w:after="0" w:line="240" w:lineRule="auto"/>
        <w:rPr>
          <w:rFonts w:ascii="Calibri" w:eastAsia="Times New Roman" w:hAnsi="Calibri" w:cs="Calibri"/>
          <w:b/>
          <w:bCs/>
          <w:kern w:val="0"/>
          <w:lang w:eastAsia="en-GB"/>
          <w14:ligatures w14:val="none"/>
        </w:rPr>
      </w:pPr>
    </w:p>
    <w:p w14:paraId="6A3595F3" w14:textId="77777777" w:rsidR="00B04B7C" w:rsidRDefault="00B04B7C" w:rsidP="00B04B7C">
      <w:pPr>
        <w:spacing w:after="0" w:line="240" w:lineRule="auto"/>
        <w:rPr>
          <w:rFonts w:ascii="Calibri" w:eastAsia="Times New Roman" w:hAnsi="Calibri" w:cs="Calibri"/>
          <w:kern w:val="0"/>
          <w:lang w:eastAsia="en-GB"/>
          <w14:ligatures w14:val="none"/>
        </w:rPr>
      </w:pPr>
      <w:bookmarkStart w:id="0" w:name="_GoBack"/>
      <w:bookmarkEnd w:id="0"/>
      <w:r>
        <w:rPr>
          <w:rFonts w:ascii="Calibri" w:eastAsia="Times New Roman" w:hAnsi="Calibri" w:cs="Calibri"/>
          <w:kern w:val="0"/>
          <w:lang w:eastAsia="en-GB"/>
          <w14:ligatures w14:val="none"/>
        </w:rPr>
        <w:t xml:space="preserve">Revision: 1.0 </w:t>
      </w:r>
    </w:p>
    <w:p w14:paraId="24C678F9" w14:textId="7EE42014" w:rsidR="00B04B7C" w:rsidRDefault="00B04B7C" w:rsidP="00B04B7C">
      <w:pPr>
        <w:spacing w:after="0" w:line="240" w:lineRule="auto"/>
        <w:rPr>
          <w:rFonts w:ascii="Calibri" w:eastAsia="Times New Roman" w:hAnsi="Calibri" w:cs="Calibri"/>
          <w:kern w:val="0"/>
          <w:lang w:eastAsia="en-GB"/>
          <w14:ligatures w14:val="none"/>
        </w:rPr>
      </w:pPr>
      <w:r>
        <w:rPr>
          <w:rFonts w:ascii="Calibri" w:eastAsia="Times New Roman" w:hAnsi="Calibri" w:cs="Calibri"/>
          <w:kern w:val="0"/>
          <w:lang w:eastAsia="en-GB"/>
          <w14:ligatures w14:val="none"/>
        </w:rPr>
        <w:t xml:space="preserve">Approved: </w:t>
      </w:r>
    </w:p>
    <w:p w14:paraId="6D1BBF4C" w14:textId="77777777" w:rsidR="00B04B7C" w:rsidRPr="00873079" w:rsidRDefault="00B04B7C" w:rsidP="00B04B7C">
      <w:pPr>
        <w:spacing w:after="0" w:line="240" w:lineRule="auto"/>
        <w:rPr>
          <w:rFonts w:ascii="Calibri" w:eastAsia="Times New Roman" w:hAnsi="Calibri" w:cs="Calibri"/>
          <w:kern w:val="0"/>
          <w:lang w:eastAsia="en-GB"/>
          <w14:ligatures w14:val="none"/>
        </w:rPr>
      </w:pPr>
      <w:r>
        <w:rPr>
          <w:rFonts w:ascii="Calibri" w:eastAsia="Times New Roman" w:hAnsi="Calibri" w:cs="Calibri"/>
          <w:kern w:val="0"/>
          <w:lang w:eastAsia="en-GB"/>
          <w14:ligatures w14:val="none"/>
        </w:rPr>
        <w:t>Date: 05/06/2024</w:t>
      </w:r>
    </w:p>
    <w:p w14:paraId="458559FF" w14:textId="77777777" w:rsidR="0069100A" w:rsidRPr="00BD4F76" w:rsidRDefault="0069100A" w:rsidP="00BD4F76">
      <w:pPr>
        <w:spacing w:after="0" w:line="240" w:lineRule="auto"/>
        <w:rPr>
          <w:rFonts w:ascii="Calibri" w:eastAsia="Times New Roman" w:hAnsi="Calibri" w:cs="Calibri"/>
          <w:kern w:val="0"/>
          <w:lang w:eastAsia="en-GB"/>
          <w14:ligatures w14:val="none"/>
        </w:rPr>
      </w:pPr>
    </w:p>
    <w:p w14:paraId="5B3193C7" w14:textId="77777777" w:rsidR="00BD4F76" w:rsidRPr="00BD4F76" w:rsidRDefault="00BD4F76" w:rsidP="00BD4F76">
      <w:pPr>
        <w:spacing w:after="0" w:line="240" w:lineRule="auto"/>
        <w:rPr>
          <w:rFonts w:ascii="Calibri" w:eastAsia="Times New Roman" w:hAnsi="Calibri" w:cs="Calibri"/>
          <w:kern w:val="0"/>
          <w:lang w:eastAsia="en-GB"/>
          <w14:ligatures w14:val="none"/>
        </w:rPr>
      </w:pPr>
      <w:r w:rsidRPr="00BD4F76">
        <w:rPr>
          <w:rFonts w:ascii="Calibri" w:eastAsia="Times New Roman" w:hAnsi="Calibri" w:cs="Calibri"/>
          <w:b/>
          <w:bCs/>
          <w:kern w:val="0"/>
          <w:lang w:eastAsia="en-GB"/>
          <w14:ligatures w14:val="none"/>
        </w:rPr>
        <w:t>1. Introduction</w:t>
      </w:r>
    </w:p>
    <w:p w14:paraId="17FF2CFC" w14:textId="77777777" w:rsidR="00BD4F76" w:rsidRPr="00BD4F76" w:rsidRDefault="00BD4F76" w:rsidP="00BD4F76">
      <w:pPr>
        <w:spacing w:after="0" w:line="240" w:lineRule="auto"/>
        <w:rPr>
          <w:rFonts w:ascii="Calibri" w:eastAsia="Times New Roman" w:hAnsi="Calibri" w:cs="Calibri"/>
          <w:kern w:val="0"/>
          <w:lang w:eastAsia="en-GB"/>
          <w14:ligatures w14:val="none"/>
        </w:rPr>
      </w:pPr>
      <w:r w:rsidRPr="00BD4F76">
        <w:rPr>
          <w:rFonts w:ascii="Calibri" w:eastAsia="Times New Roman" w:hAnsi="Calibri" w:cs="Calibri"/>
          <w:kern w:val="0"/>
          <w:lang w:eastAsia="en-GB"/>
          <w14:ligatures w14:val="none"/>
        </w:rPr>
        <w:t xml:space="preserve">1.1. Purpose: The purpose of this cybersecurity governance policy is to establish a framework for effectively managing and improving our organization's cybersecurity posture in alignment with the NIST Cybersecurity Framework (CSF) Version 2.0. </w:t>
      </w:r>
    </w:p>
    <w:p w14:paraId="336D8468" w14:textId="77777777" w:rsidR="00BD4F76" w:rsidRPr="00BD4F76" w:rsidRDefault="00BD4F76" w:rsidP="00BD4F76">
      <w:pPr>
        <w:spacing w:after="0" w:line="240" w:lineRule="auto"/>
        <w:rPr>
          <w:rFonts w:ascii="Calibri" w:eastAsia="Times New Roman" w:hAnsi="Calibri" w:cs="Calibri"/>
          <w:kern w:val="0"/>
          <w:lang w:eastAsia="en-GB"/>
          <w14:ligatures w14:val="none"/>
        </w:rPr>
      </w:pPr>
      <w:r w:rsidRPr="00BD4F76">
        <w:rPr>
          <w:rFonts w:ascii="Calibri" w:eastAsia="Times New Roman" w:hAnsi="Calibri" w:cs="Calibri"/>
          <w:kern w:val="0"/>
          <w:lang w:eastAsia="en-GB"/>
          <w14:ligatures w14:val="none"/>
        </w:rPr>
        <w:t>1.2. Scope: This policy applies to all employees, contractors, and third-party vendors who have access to the organization's information systems and data assets.</w:t>
      </w:r>
    </w:p>
    <w:p w14:paraId="0B7D60DA" w14:textId="77777777" w:rsidR="00BD4F76" w:rsidRPr="00BD4F76" w:rsidRDefault="00BD4F76" w:rsidP="00BD4F76">
      <w:pPr>
        <w:spacing w:after="0" w:line="240" w:lineRule="auto"/>
        <w:rPr>
          <w:rFonts w:ascii="Calibri" w:eastAsia="Times New Roman" w:hAnsi="Calibri" w:cs="Calibri"/>
          <w:kern w:val="0"/>
          <w:lang w:eastAsia="en-GB"/>
          <w14:ligatures w14:val="none"/>
        </w:rPr>
      </w:pPr>
      <w:r w:rsidRPr="00BD4F76">
        <w:rPr>
          <w:rFonts w:ascii="Calibri" w:eastAsia="Times New Roman" w:hAnsi="Calibri" w:cs="Calibri"/>
          <w:b/>
          <w:bCs/>
          <w:kern w:val="0"/>
          <w:lang w:eastAsia="en-GB"/>
          <w14:ligatures w14:val="none"/>
        </w:rPr>
        <w:t>2. Governance Structure</w:t>
      </w:r>
    </w:p>
    <w:p w14:paraId="63F94137" w14:textId="77777777" w:rsidR="00BD4F76" w:rsidRPr="00BD4F76" w:rsidRDefault="00BD4F76" w:rsidP="00BD4F76">
      <w:pPr>
        <w:spacing w:after="0" w:line="240" w:lineRule="auto"/>
        <w:rPr>
          <w:rFonts w:ascii="Calibri" w:eastAsia="Times New Roman" w:hAnsi="Calibri" w:cs="Calibri"/>
          <w:kern w:val="0"/>
          <w:lang w:eastAsia="en-GB"/>
          <w14:ligatures w14:val="none"/>
        </w:rPr>
      </w:pPr>
      <w:r w:rsidRPr="00BD4F76">
        <w:rPr>
          <w:rFonts w:ascii="Calibri" w:eastAsia="Times New Roman" w:hAnsi="Calibri" w:cs="Calibri"/>
          <w:kern w:val="0"/>
          <w:lang w:eastAsia="en-GB"/>
          <w14:ligatures w14:val="none"/>
        </w:rPr>
        <w:t xml:space="preserve">2.1. Cybersecurity Steering Committee: A cybersecurity steering committee will be established consisting of senior management representatives from relevant departments, including but not limited to IT, legal, compliance, and risk management. </w:t>
      </w:r>
    </w:p>
    <w:p w14:paraId="6C47D9C2" w14:textId="77777777" w:rsidR="00BD4F76" w:rsidRPr="00BD4F76" w:rsidRDefault="00BD4F76" w:rsidP="00BD4F76">
      <w:pPr>
        <w:spacing w:after="0" w:line="240" w:lineRule="auto"/>
        <w:rPr>
          <w:rFonts w:ascii="Calibri" w:eastAsia="Times New Roman" w:hAnsi="Calibri" w:cs="Calibri"/>
          <w:kern w:val="0"/>
          <w:lang w:eastAsia="en-GB"/>
          <w14:ligatures w14:val="none"/>
        </w:rPr>
      </w:pPr>
      <w:r w:rsidRPr="00BD4F76">
        <w:rPr>
          <w:rFonts w:ascii="Calibri" w:eastAsia="Times New Roman" w:hAnsi="Calibri" w:cs="Calibri"/>
          <w:kern w:val="0"/>
          <w:lang w:eastAsia="en-GB"/>
          <w14:ligatures w14:val="none"/>
        </w:rPr>
        <w:t>2.2. Roles and Responsibilities:</w:t>
      </w:r>
    </w:p>
    <w:p w14:paraId="1B79CE35" w14:textId="77777777" w:rsidR="00BD4F76" w:rsidRPr="00BD4F76" w:rsidRDefault="00BD4F76" w:rsidP="00BD4F76">
      <w:pPr>
        <w:numPr>
          <w:ilvl w:val="0"/>
          <w:numId w:val="1"/>
        </w:numPr>
        <w:spacing w:after="0" w:line="240" w:lineRule="auto"/>
        <w:textAlignment w:val="center"/>
        <w:rPr>
          <w:rFonts w:ascii="Calibri" w:eastAsia="Times New Roman" w:hAnsi="Calibri" w:cs="Calibri"/>
          <w:kern w:val="0"/>
          <w:lang w:eastAsia="en-GB"/>
          <w14:ligatures w14:val="none"/>
        </w:rPr>
      </w:pPr>
      <w:r w:rsidRPr="00BD4F76">
        <w:rPr>
          <w:rFonts w:ascii="Calibri" w:eastAsia="Times New Roman" w:hAnsi="Calibri" w:cs="Calibri"/>
          <w:kern w:val="0"/>
          <w:lang w:eastAsia="en-GB"/>
          <w14:ligatures w14:val="none"/>
        </w:rPr>
        <w:t xml:space="preserve">The cybersecurity steering committee is responsible for overseeing the implementation, monitoring, and continuous improvement of cybersecurity practices within the organization. </w:t>
      </w:r>
    </w:p>
    <w:p w14:paraId="2AE87BEE" w14:textId="6611BF75" w:rsidR="00BD4F76" w:rsidRPr="00BD4F76" w:rsidRDefault="00BD4F76" w:rsidP="00BD4F76">
      <w:pPr>
        <w:numPr>
          <w:ilvl w:val="0"/>
          <w:numId w:val="1"/>
        </w:numPr>
        <w:spacing w:after="0" w:line="240" w:lineRule="auto"/>
        <w:textAlignment w:val="center"/>
        <w:rPr>
          <w:rFonts w:ascii="Calibri" w:eastAsia="Times New Roman" w:hAnsi="Calibri" w:cs="Calibri"/>
          <w:kern w:val="0"/>
          <w:lang w:eastAsia="en-GB"/>
          <w14:ligatures w14:val="none"/>
        </w:rPr>
      </w:pPr>
      <w:r w:rsidRPr="00BD4F76">
        <w:rPr>
          <w:rFonts w:ascii="Calibri" w:eastAsia="Times New Roman" w:hAnsi="Calibri" w:cs="Calibri"/>
          <w:kern w:val="0"/>
          <w:lang w:eastAsia="en-GB"/>
          <w14:ligatures w14:val="none"/>
        </w:rPr>
        <w:t xml:space="preserve">The </w:t>
      </w:r>
      <w:r w:rsidR="00111602">
        <w:rPr>
          <w:rFonts w:ascii="Calibri" w:eastAsia="Times New Roman" w:hAnsi="Calibri" w:cs="Calibri"/>
          <w:kern w:val="0"/>
          <w:lang w:eastAsia="en-GB"/>
          <w14:ligatures w14:val="none"/>
        </w:rPr>
        <w:t xml:space="preserve">Group Head of IT </w:t>
      </w:r>
      <w:r w:rsidR="00137322">
        <w:rPr>
          <w:rFonts w:ascii="Calibri" w:eastAsia="Times New Roman" w:hAnsi="Calibri" w:cs="Calibri"/>
          <w:kern w:val="0"/>
          <w:lang w:eastAsia="en-GB"/>
          <w14:ligatures w14:val="none"/>
        </w:rPr>
        <w:t xml:space="preserve">(tbc) </w:t>
      </w:r>
      <w:r w:rsidRPr="00BD4F76">
        <w:rPr>
          <w:rFonts w:ascii="Calibri" w:eastAsia="Times New Roman" w:hAnsi="Calibri" w:cs="Calibri"/>
          <w:kern w:val="0"/>
          <w:lang w:eastAsia="en-GB"/>
          <w14:ligatures w14:val="none"/>
        </w:rPr>
        <w:t>will serve as the chairperson of the cybersecurity steering committee and will be responsible for coordinating cybersecurity efforts across all departments.</w:t>
      </w:r>
    </w:p>
    <w:p w14:paraId="33E7278A" w14:textId="77777777" w:rsidR="00BD4F76" w:rsidRPr="00BD4F76" w:rsidRDefault="00BD4F76" w:rsidP="00BD4F76">
      <w:pPr>
        <w:numPr>
          <w:ilvl w:val="0"/>
          <w:numId w:val="1"/>
        </w:numPr>
        <w:spacing w:after="0" w:line="240" w:lineRule="auto"/>
        <w:textAlignment w:val="center"/>
        <w:rPr>
          <w:rFonts w:ascii="Calibri" w:eastAsia="Times New Roman" w:hAnsi="Calibri" w:cs="Calibri"/>
          <w:kern w:val="0"/>
          <w:lang w:eastAsia="en-GB"/>
          <w14:ligatures w14:val="none"/>
        </w:rPr>
      </w:pPr>
      <w:r w:rsidRPr="00BD4F76">
        <w:rPr>
          <w:rFonts w:ascii="Calibri" w:eastAsia="Times New Roman" w:hAnsi="Calibri" w:cs="Calibri"/>
          <w:kern w:val="0"/>
          <w:lang w:eastAsia="en-GB"/>
          <w14:ligatures w14:val="none"/>
        </w:rPr>
        <w:t xml:space="preserve">The committee will be responsible for overseeing the relevant legal requirements are met e.g. GDPR, Australian privacy act etc  </w:t>
      </w:r>
    </w:p>
    <w:p w14:paraId="45E496F3" w14:textId="77777777" w:rsidR="00BD4F76" w:rsidRPr="00BD4F76" w:rsidRDefault="00BD4F76" w:rsidP="00BD4F76">
      <w:pPr>
        <w:numPr>
          <w:ilvl w:val="0"/>
          <w:numId w:val="1"/>
        </w:numPr>
        <w:spacing w:after="0" w:line="240" w:lineRule="auto"/>
        <w:textAlignment w:val="center"/>
        <w:rPr>
          <w:rFonts w:ascii="Calibri" w:eastAsia="Times New Roman" w:hAnsi="Calibri" w:cs="Calibri"/>
          <w:kern w:val="0"/>
          <w:lang w:eastAsia="en-GB"/>
          <w14:ligatures w14:val="none"/>
        </w:rPr>
      </w:pPr>
      <w:r w:rsidRPr="00BD4F76">
        <w:rPr>
          <w:rFonts w:ascii="Calibri" w:eastAsia="Times New Roman" w:hAnsi="Calibri" w:cs="Calibri"/>
          <w:kern w:val="0"/>
          <w:lang w:eastAsia="en-GB"/>
          <w14:ligatures w14:val="none"/>
        </w:rPr>
        <w:t xml:space="preserve">Individual departments and business units are responsible for implementing and adhering to cybersecurity policies and procedures in their respective areas. </w:t>
      </w:r>
    </w:p>
    <w:p w14:paraId="6D7FBC7F" w14:textId="77777777" w:rsidR="00BD4F76" w:rsidRPr="00BD4F76" w:rsidRDefault="00BD4F76" w:rsidP="00BD4F76">
      <w:pPr>
        <w:spacing w:after="0" w:line="240" w:lineRule="auto"/>
        <w:rPr>
          <w:rFonts w:ascii="Calibri" w:eastAsia="Times New Roman" w:hAnsi="Calibri" w:cs="Calibri"/>
          <w:kern w:val="0"/>
          <w:lang w:eastAsia="en-GB"/>
          <w14:ligatures w14:val="none"/>
        </w:rPr>
      </w:pPr>
      <w:r w:rsidRPr="00BD4F76">
        <w:rPr>
          <w:rFonts w:ascii="Calibri" w:eastAsia="Times New Roman" w:hAnsi="Calibri" w:cs="Calibri"/>
          <w:b/>
          <w:bCs/>
          <w:kern w:val="0"/>
          <w:lang w:eastAsia="en-GB"/>
          <w14:ligatures w14:val="none"/>
        </w:rPr>
        <w:t>3. Risk Management</w:t>
      </w:r>
    </w:p>
    <w:p w14:paraId="586F3445" w14:textId="77777777" w:rsidR="00BD4F76" w:rsidRPr="00BD4F76" w:rsidRDefault="00BD4F76" w:rsidP="00BD4F76">
      <w:pPr>
        <w:spacing w:after="0" w:line="240" w:lineRule="auto"/>
        <w:rPr>
          <w:rFonts w:ascii="Calibri" w:eastAsia="Times New Roman" w:hAnsi="Calibri" w:cs="Calibri"/>
          <w:kern w:val="0"/>
          <w:lang w:eastAsia="en-GB"/>
          <w14:ligatures w14:val="none"/>
        </w:rPr>
      </w:pPr>
      <w:r w:rsidRPr="00BD4F76">
        <w:rPr>
          <w:rFonts w:ascii="Calibri" w:eastAsia="Times New Roman" w:hAnsi="Calibri" w:cs="Calibri"/>
          <w:kern w:val="0"/>
          <w:lang w:eastAsia="en-GB"/>
          <w14:ligatures w14:val="none"/>
        </w:rPr>
        <w:t>3.1. Risk Assessment:</w:t>
      </w:r>
    </w:p>
    <w:p w14:paraId="3D3516B4" w14:textId="77777777" w:rsidR="00BD4F76" w:rsidRPr="00BD4F76" w:rsidRDefault="00BD4F76" w:rsidP="00BD4F76">
      <w:pPr>
        <w:numPr>
          <w:ilvl w:val="0"/>
          <w:numId w:val="2"/>
        </w:numPr>
        <w:spacing w:after="0" w:line="240" w:lineRule="auto"/>
        <w:textAlignment w:val="center"/>
        <w:rPr>
          <w:rFonts w:ascii="Calibri" w:eastAsia="Times New Roman" w:hAnsi="Calibri" w:cs="Calibri"/>
          <w:kern w:val="0"/>
          <w:lang w:eastAsia="en-GB"/>
          <w14:ligatures w14:val="none"/>
        </w:rPr>
      </w:pPr>
      <w:r w:rsidRPr="00BD4F76">
        <w:rPr>
          <w:rFonts w:ascii="Calibri" w:eastAsia="Times New Roman" w:hAnsi="Calibri" w:cs="Calibri"/>
          <w:kern w:val="0"/>
          <w:lang w:eastAsia="en-GB"/>
          <w14:ligatures w14:val="none"/>
        </w:rPr>
        <w:t>Regular risk assessments will be conducted to identify and prioritize cybersecurity risks to the organization's information systems and data assets.</w:t>
      </w:r>
    </w:p>
    <w:p w14:paraId="38B4D6DA" w14:textId="77777777" w:rsidR="00BD4F76" w:rsidRPr="00BD4F76" w:rsidRDefault="00BD4F76" w:rsidP="00BD4F76">
      <w:pPr>
        <w:numPr>
          <w:ilvl w:val="0"/>
          <w:numId w:val="2"/>
        </w:numPr>
        <w:spacing w:after="0" w:line="240" w:lineRule="auto"/>
        <w:textAlignment w:val="center"/>
        <w:rPr>
          <w:rFonts w:ascii="Calibri" w:eastAsia="Times New Roman" w:hAnsi="Calibri" w:cs="Calibri"/>
          <w:kern w:val="0"/>
          <w:lang w:eastAsia="en-GB"/>
          <w14:ligatures w14:val="none"/>
        </w:rPr>
      </w:pPr>
      <w:r w:rsidRPr="00BD4F76">
        <w:rPr>
          <w:rFonts w:ascii="Calibri" w:eastAsia="Times New Roman" w:hAnsi="Calibri" w:cs="Calibri"/>
          <w:kern w:val="0"/>
          <w:lang w:eastAsia="en-GB"/>
          <w14:ligatures w14:val="none"/>
        </w:rPr>
        <w:t xml:space="preserve">Risk assessments will be performed using the methodology outlined in the NIST, taking into account threats, vulnerabilities, and potential impacts. </w:t>
      </w:r>
    </w:p>
    <w:p w14:paraId="0CA32C69" w14:textId="77777777" w:rsidR="00BD4F76" w:rsidRPr="00BD4F76" w:rsidRDefault="00BD4F76" w:rsidP="00BD4F76">
      <w:pPr>
        <w:spacing w:after="0" w:line="240" w:lineRule="auto"/>
        <w:rPr>
          <w:rFonts w:ascii="Calibri" w:eastAsia="Times New Roman" w:hAnsi="Calibri" w:cs="Calibri"/>
          <w:kern w:val="0"/>
          <w:lang w:eastAsia="en-GB"/>
          <w14:ligatures w14:val="none"/>
        </w:rPr>
      </w:pPr>
      <w:r w:rsidRPr="00BD4F76">
        <w:rPr>
          <w:rFonts w:ascii="Calibri" w:eastAsia="Times New Roman" w:hAnsi="Calibri" w:cs="Calibri"/>
          <w:kern w:val="0"/>
          <w:lang w:eastAsia="en-GB"/>
          <w14:ligatures w14:val="none"/>
        </w:rPr>
        <w:t>3.2. Risk Mitigation:</w:t>
      </w:r>
    </w:p>
    <w:p w14:paraId="6AEB68FF" w14:textId="77777777" w:rsidR="00BD4F76" w:rsidRPr="00BD4F76" w:rsidRDefault="00BD4F76" w:rsidP="00BD4F76">
      <w:pPr>
        <w:numPr>
          <w:ilvl w:val="0"/>
          <w:numId w:val="3"/>
        </w:numPr>
        <w:spacing w:after="0" w:line="240" w:lineRule="auto"/>
        <w:textAlignment w:val="center"/>
        <w:rPr>
          <w:rFonts w:ascii="Calibri" w:eastAsia="Times New Roman" w:hAnsi="Calibri" w:cs="Calibri"/>
          <w:kern w:val="0"/>
          <w:lang w:eastAsia="en-GB"/>
          <w14:ligatures w14:val="none"/>
        </w:rPr>
      </w:pPr>
      <w:r w:rsidRPr="00BD4F76">
        <w:rPr>
          <w:rFonts w:ascii="Calibri" w:eastAsia="Times New Roman" w:hAnsi="Calibri" w:cs="Calibri"/>
          <w:kern w:val="0"/>
          <w:lang w:eastAsia="en-GB"/>
          <w14:ligatures w14:val="none"/>
        </w:rPr>
        <w:t>Based on the results of risk assessments, appropriate controls and safeguards will be implemented to mitigate identified risks to an acceptable level.</w:t>
      </w:r>
    </w:p>
    <w:p w14:paraId="6427E8F5" w14:textId="77777777" w:rsidR="00BD4F76" w:rsidRPr="00BD4F76" w:rsidRDefault="00BD4F76" w:rsidP="00BD4F76">
      <w:pPr>
        <w:numPr>
          <w:ilvl w:val="0"/>
          <w:numId w:val="3"/>
        </w:numPr>
        <w:spacing w:after="0" w:line="240" w:lineRule="auto"/>
        <w:textAlignment w:val="center"/>
        <w:rPr>
          <w:rFonts w:ascii="Calibri" w:eastAsia="Times New Roman" w:hAnsi="Calibri" w:cs="Calibri"/>
          <w:kern w:val="0"/>
          <w:lang w:eastAsia="en-GB"/>
          <w14:ligatures w14:val="none"/>
        </w:rPr>
      </w:pPr>
      <w:r w:rsidRPr="00BD4F76">
        <w:rPr>
          <w:rFonts w:ascii="Calibri" w:eastAsia="Times New Roman" w:hAnsi="Calibri" w:cs="Calibri"/>
          <w:kern w:val="0"/>
          <w:lang w:eastAsia="en-GB"/>
          <w14:ligatures w14:val="none"/>
        </w:rPr>
        <w:t>Controls will be selected based on industry best practices and the guidance provided by the NIST.</w:t>
      </w:r>
    </w:p>
    <w:p w14:paraId="6A20F59D" w14:textId="77777777" w:rsidR="00BD4F76" w:rsidRPr="00BD4F76" w:rsidRDefault="00BD4F76" w:rsidP="00BD4F76">
      <w:pPr>
        <w:spacing w:after="0" w:line="240" w:lineRule="auto"/>
        <w:rPr>
          <w:rFonts w:ascii="Calibri" w:eastAsia="Times New Roman" w:hAnsi="Calibri" w:cs="Calibri"/>
          <w:kern w:val="0"/>
          <w:lang w:eastAsia="en-GB"/>
          <w14:ligatures w14:val="none"/>
        </w:rPr>
      </w:pPr>
      <w:r w:rsidRPr="00BD4F76">
        <w:rPr>
          <w:rFonts w:ascii="Calibri" w:eastAsia="Times New Roman" w:hAnsi="Calibri" w:cs="Calibri"/>
          <w:b/>
          <w:bCs/>
          <w:kern w:val="0"/>
          <w:lang w:eastAsia="en-GB"/>
          <w14:ligatures w14:val="none"/>
        </w:rPr>
        <w:t>4. Security Controls</w:t>
      </w:r>
    </w:p>
    <w:p w14:paraId="0D7B767C" w14:textId="77777777" w:rsidR="00BD4F76" w:rsidRPr="00BD4F76" w:rsidRDefault="00BD4F76" w:rsidP="00BD4F76">
      <w:pPr>
        <w:spacing w:after="0" w:line="240" w:lineRule="auto"/>
        <w:rPr>
          <w:rFonts w:ascii="Calibri" w:eastAsia="Times New Roman" w:hAnsi="Calibri" w:cs="Calibri"/>
          <w:kern w:val="0"/>
          <w:lang w:eastAsia="en-GB"/>
          <w14:ligatures w14:val="none"/>
        </w:rPr>
      </w:pPr>
      <w:r w:rsidRPr="00BD4F76">
        <w:rPr>
          <w:rFonts w:ascii="Calibri" w:eastAsia="Times New Roman" w:hAnsi="Calibri" w:cs="Calibri"/>
          <w:kern w:val="0"/>
          <w:lang w:eastAsia="en-GB"/>
          <w14:ligatures w14:val="none"/>
        </w:rPr>
        <w:t>4.1. Security Control Framework:</w:t>
      </w:r>
    </w:p>
    <w:p w14:paraId="547D1C7B" w14:textId="77777777" w:rsidR="00BD4F76" w:rsidRPr="00BD4F76" w:rsidRDefault="00BD4F76" w:rsidP="00BD4F76">
      <w:pPr>
        <w:numPr>
          <w:ilvl w:val="0"/>
          <w:numId w:val="4"/>
        </w:numPr>
        <w:spacing w:after="0" w:line="240" w:lineRule="auto"/>
        <w:textAlignment w:val="center"/>
        <w:rPr>
          <w:rFonts w:ascii="Calibri" w:eastAsia="Times New Roman" w:hAnsi="Calibri" w:cs="Calibri"/>
          <w:kern w:val="0"/>
          <w:lang w:eastAsia="en-GB"/>
          <w14:ligatures w14:val="none"/>
        </w:rPr>
      </w:pPr>
      <w:r w:rsidRPr="00BD4F76">
        <w:rPr>
          <w:rFonts w:ascii="Calibri" w:eastAsia="Times New Roman" w:hAnsi="Calibri" w:cs="Calibri"/>
          <w:kern w:val="0"/>
          <w:lang w:eastAsia="en-GB"/>
          <w14:ligatures w14:val="none"/>
        </w:rPr>
        <w:t>A comprehensive set of security controls will be established based on the NIST and other relevant cybersecurity frameworks, standards, and regulations.</w:t>
      </w:r>
    </w:p>
    <w:p w14:paraId="5EBA85AE" w14:textId="77777777" w:rsidR="00BD4F76" w:rsidRPr="00BD4F76" w:rsidRDefault="00BD4F76" w:rsidP="00BD4F76">
      <w:pPr>
        <w:numPr>
          <w:ilvl w:val="0"/>
          <w:numId w:val="4"/>
        </w:numPr>
        <w:spacing w:after="0" w:line="240" w:lineRule="auto"/>
        <w:textAlignment w:val="center"/>
        <w:rPr>
          <w:rFonts w:ascii="Calibri" w:eastAsia="Times New Roman" w:hAnsi="Calibri" w:cs="Calibri"/>
          <w:kern w:val="0"/>
          <w:lang w:eastAsia="en-GB"/>
          <w14:ligatures w14:val="none"/>
        </w:rPr>
      </w:pPr>
      <w:r w:rsidRPr="00BD4F76">
        <w:rPr>
          <w:rFonts w:ascii="Calibri" w:eastAsia="Times New Roman" w:hAnsi="Calibri" w:cs="Calibri"/>
          <w:kern w:val="0"/>
          <w:lang w:eastAsia="en-GB"/>
          <w14:ligatures w14:val="none"/>
        </w:rPr>
        <w:t>Security controls will be tailored to the organization's specific business needs and risk profile.</w:t>
      </w:r>
    </w:p>
    <w:p w14:paraId="34A74CBD" w14:textId="77777777" w:rsidR="00BD4F76" w:rsidRPr="00BD4F76" w:rsidRDefault="00BD4F76" w:rsidP="00BD4F76">
      <w:pPr>
        <w:spacing w:after="0" w:line="240" w:lineRule="auto"/>
        <w:rPr>
          <w:rFonts w:ascii="Calibri" w:eastAsia="Times New Roman" w:hAnsi="Calibri" w:cs="Calibri"/>
          <w:kern w:val="0"/>
          <w:lang w:eastAsia="en-GB"/>
          <w14:ligatures w14:val="none"/>
        </w:rPr>
      </w:pPr>
      <w:r w:rsidRPr="00BD4F76">
        <w:rPr>
          <w:rFonts w:ascii="Calibri" w:eastAsia="Times New Roman" w:hAnsi="Calibri" w:cs="Calibri"/>
          <w:kern w:val="0"/>
          <w:lang w:eastAsia="en-GB"/>
          <w14:ligatures w14:val="none"/>
        </w:rPr>
        <w:t>4.2. Control Implementation:</w:t>
      </w:r>
    </w:p>
    <w:p w14:paraId="1137B10D" w14:textId="77777777" w:rsidR="00BD4F76" w:rsidRPr="00BD4F76" w:rsidRDefault="00BD4F76" w:rsidP="00BD4F76">
      <w:pPr>
        <w:numPr>
          <w:ilvl w:val="0"/>
          <w:numId w:val="5"/>
        </w:numPr>
        <w:spacing w:after="0" w:line="240" w:lineRule="auto"/>
        <w:textAlignment w:val="center"/>
        <w:rPr>
          <w:rFonts w:ascii="Calibri" w:eastAsia="Times New Roman" w:hAnsi="Calibri" w:cs="Calibri"/>
          <w:kern w:val="0"/>
          <w:lang w:eastAsia="en-GB"/>
          <w14:ligatures w14:val="none"/>
        </w:rPr>
      </w:pPr>
      <w:r w:rsidRPr="00BD4F76">
        <w:rPr>
          <w:rFonts w:ascii="Calibri" w:eastAsia="Times New Roman" w:hAnsi="Calibri" w:cs="Calibri"/>
          <w:kern w:val="0"/>
          <w:lang w:eastAsia="en-GB"/>
          <w14:ligatures w14:val="none"/>
        </w:rPr>
        <w:t>IT and security teams will be responsible for implementing and maintaining the necessary technical, administrative, and physical security controls to protect the organization's information systems and data assets.</w:t>
      </w:r>
    </w:p>
    <w:p w14:paraId="208FF0A7" w14:textId="77777777" w:rsidR="00BD4F76" w:rsidRPr="00BD4F76" w:rsidRDefault="00BD4F76" w:rsidP="00BD4F76">
      <w:pPr>
        <w:spacing w:after="0" w:line="240" w:lineRule="auto"/>
        <w:rPr>
          <w:rFonts w:ascii="Calibri" w:eastAsia="Times New Roman" w:hAnsi="Calibri" w:cs="Calibri"/>
          <w:kern w:val="0"/>
          <w:lang w:eastAsia="en-GB"/>
          <w14:ligatures w14:val="none"/>
        </w:rPr>
      </w:pPr>
      <w:r w:rsidRPr="00BD4F76">
        <w:rPr>
          <w:rFonts w:ascii="Calibri" w:eastAsia="Times New Roman" w:hAnsi="Calibri" w:cs="Calibri"/>
          <w:b/>
          <w:bCs/>
          <w:kern w:val="0"/>
          <w:lang w:eastAsia="en-GB"/>
          <w14:ligatures w14:val="none"/>
        </w:rPr>
        <w:t>5. Continuous Improvement</w:t>
      </w:r>
    </w:p>
    <w:p w14:paraId="4D100199" w14:textId="77777777" w:rsidR="00BD4F76" w:rsidRPr="00BD4F76" w:rsidRDefault="00BD4F76" w:rsidP="00BD4F76">
      <w:pPr>
        <w:spacing w:after="0" w:line="240" w:lineRule="auto"/>
        <w:rPr>
          <w:rFonts w:ascii="Calibri" w:eastAsia="Times New Roman" w:hAnsi="Calibri" w:cs="Calibri"/>
          <w:kern w:val="0"/>
          <w:lang w:eastAsia="en-GB"/>
          <w14:ligatures w14:val="none"/>
        </w:rPr>
      </w:pPr>
      <w:r w:rsidRPr="00BD4F76">
        <w:rPr>
          <w:rFonts w:ascii="Calibri" w:eastAsia="Times New Roman" w:hAnsi="Calibri" w:cs="Calibri"/>
          <w:kern w:val="0"/>
          <w:lang w:eastAsia="en-GB"/>
          <w14:ligatures w14:val="none"/>
        </w:rPr>
        <w:t>5.1. Monitoring and Evaluation:</w:t>
      </w:r>
    </w:p>
    <w:p w14:paraId="7A1A16A2" w14:textId="77777777" w:rsidR="00BD4F76" w:rsidRPr="00BD4F76" w:rsidRDefault="00BD4F76" w:rsidP="00BD4F76">
      <w:pPr>
        <w:numPr>
          <w:ilvl w:val="0"/>
          <w:numId w:val="6"/>
        </w:numPr>
        <w:spacing w:after="0" w:line="240" w:lineRule="auto"/>
        <w:textAlignment w:val="center"/>
        <w:rPr>
          <w:rFonts w:ascii="Calibri" w:eastAsia="Times New Roman" w:hAnsi="Calibri" w:cs="Calibri"/>
          <w:kern w:val="0"/>
          <w:lang w:eastAsia="en-GB"/>
          <w14:ligatures w14:val="none"/>
        </w:rPr>
      </w:pPr>
      <w:r w:rsidRPr="00BD4F76">
        <w:rPr>
          <w:rFonts w:ascii="Calibri" w:eastAsia="Times New Roman" w:hAnsi="Calibri" w:cs="Calibri"/>
          <w:kern w:val="0"/>
          <w:lang w:eastAsia="en-GB"/>
          <w14:ligatures w14:val="none"/>
        </w:rPr>
        <w:t>Continuous monitoring of cybersecurity controls and processes will be conducted to ensure effectiveness and compliance with established policies and standards.</w:t>
      </w:r>
    </w:p>
    <w:p w14:paraId="55E32CB4" w14:textId="77777777" w:rsidR="00BD4F76" w:rsidRPr="00BD4F76" w:rsidRDefault="00BD4F76" w:rsidP="00BD4F76">
      <w:pPr>
        <w:numPr>
          <w:ilvl w:val="0"/>
          <w:numId w:val="6"/>
        </w:numPr>
        <w:spacing w:after="0" w:line="240" w:lineRule="auto"/>
        <w:textAlignment w:val="center"/>
        <w:rPr>
          <w:rFonts w:ascii="Calibri" w:eastAsia="Times New Roman" w:hAnsi="Calibri" w:cs="Calibri"/>
          <w:kern w:val="0"/>
          <w:lang w:eastAsia="en-GB"/>
          <w14:ligatures w14:val="none"/>
        </w:rPr>
      </w:pPr>
      <w:r w:rsidRPr="00BD4F76">
        <w:rPr>
          <w:rFonts w:ascii="Calibri" w:eastAsia="Times New Roman" w:hAnsi="Calibri" w:cs="Calibri"/>
          <w:kern w:val="0"/>
          <w:lang w:eastAsia="en-GB"/>
          <w14:ligatures w14:val="none"/>
        </w:rPr>
        <w:lastRenderedPageBreak/>
        <w:t>Regular evaluations and reviews will be performed to identify areas for improvement and address emerging threats and vulnerabilities.</w:t>
      </w:r>
    </w:p>
    <w:p w14:paraId="0736C5F1" w14:textId="77777777" w:rsidR="00BD4F76" w:rsidRPr="00BD4F76" w:rsidRDefault="00BD4F76" w:rsidP="00BD4F76">
      <w:pPr>
        <w:spacing w:after="0" w:line="240" w:lineRule="auto"/>
        <w:rPr>
          <w:rFonts w:ascii="Calibri" w:eastAsia="Times New Roman" w:hAnsi="Calibri" w:cs="Calibri"/>
          <w:kern w:val="0"/>
          <w:lang w:eastAsia="en-GB"/>
          <w14:ligatures w14:val="none"/>
        </w:rPr>
      </w:pPr>
      <w:r w:rsidRPr="00BD4F76">
        <w:rPr>
          <w:rFonts w:ascii="Calibri" w:eastAsia="Times New Roman" w:hAnsi="Calibri" w:cs="Calibri"/>
          <w:kern w:val="0"/>
          <w:lang w:eastAsia="en-GB"/>
          <w14:ligatures w14:val="none"/>
        </w:rPr>
        <w:t>5.2. Incident Response and Management:</w:t>
      </w:r>
    </w:p>
    <w:p w14:paraId="5B546C24" w14:textId="77777777" w:rsidR="00BD4F76" w:rsidRPr="00BD4F76" w:rsidRDefault="00BD4F76" w:rsidP="00BD4F76">
      <w:pPr>
        <w:numPr>
          <w:ilvl w:val="0"/>
          <w:numId w:val="7"/>
        </w:numPr>
        <w:spacing w:after="0" w:line="240" w:lineRule="auto"/>
        <w:textAlignment w:val="center"/>
        <w:rPr>
          <w:rFonts w:ascii="Calibri" w:eastAsia="Times New Roman" w:hAnsi="Calibri" w:cs="Calibri"/>
          <w:kern w:val="0"/>
          <w:lang w:eastAsia="en-GB"/>
          <w14:ligatures w14:val="none"/>
        </w:rPr>
      </w:pPr>
      <w:r w:rsidRPr="00BD4F76">
        <w:rPr>
          <w:rFonts w:ascii="Calibri" w:eastAsia="Times New Roman" w:hAnsi="Calibri" w:cs="Calibri"/>
          <w:kern w:val="0"/>
          <w:lang w:eastAsia="en-GB"/>
          <w14:ligatures w14:val="none"/>
        </w:rPr>
        <w:t>An incident response plan will be developed and maintained to effectively respond to and mitigate cybersecurity incidents.</w:t>
      </w:r>
    </w:p>
    <w:p w14:paraId="50C586C1" w14:textId="77777777" w:rsidR="00BD4F76" w:rsidRPr="00BD4F76" w:rsidRDefault="00BD4F76" w:rsidP="00BD4F76">
      <w:pPr>
        <w:numPr>
          <w:ilvl w:val="0"/>
          <w:numId w:val="7"/>
        </w:numPr>
        <w:spacing w:after="0" w:line="240" w:lineRule="auto"/>
        <w:textAlignment w:val="center"/>
        <w:rPr>
          <w:rFonts w:ascii="Calibri" w:eastAsia="Times New Roman" w:hAnsi="Calibri" w:cs="Calibri"/>
          <w:kern w:val="0"/>
          <w:lang w:eastAsia="en-GB"/>
          <w14:ligatures w14:val="none"/>
        </w:rPr>
      </w:pPr>
      <w:r w:rsidRPr="00BD4F76">
        <w:rPr>
          <w:rFonts w:ascii="Calibri" w:eastAsia="Times New Roman" w:hAnsi="Calibri" w:cs="Calibri"/>
          <w:kern w:val="0"/>
          <w:lang w:eastAsia="en-GB"/>
          <w14:ligatures w14:val="none"/>
        </w:rPr>
        <w:t>Incident response procedures will be tested through regular tabletop exercises and drills to ensure readiness.</w:t>
      </w:r>
    </w:p>
    <w:p w14:paraId="44CF869C" w14:textId="0D56DBFA" w:rsidR="00BD4F76" w:rsidRPr="00BD4F76" w:rsidRDefault="00BD4F76" w:rsidP="00BD4F76">
      <w:pPr>
        <w:numPr>
          <w:ilvl w:val="0"/>
          <w:numId w:val="7"/>
        </w:numPr>
        <w:spacing w:after="0" w:line="240" w:lineRule="auto"/>
        <w:textAlignment w:val="center"/>
        <w:rPr>
          <w:rFonts w:ascii="Calibri" w:eastAsia="Times New Roman" w:hAnsi="Calibri" w:cs="Calibri"/>
          <w:kern w:val="0"/>
          <w:lang w:eastAsia="en-GB"/>
          <w14:ligatures w14:val="none"/>
        </w:rPr>
      </w:pPr>
      <w:r w:rsidRPr="00BD4F76">
        <w:rPr>
          <w:rFonts w:ascii="Calibri" w:eastAsia="Times New Roman" w:hAnsi="Calibri" w:cs="Calibri"/>
          <w:kern w:val="0"/>
          <w:lang w:eastAsia="en-GB"/>
          <w14:ligatures w14:val="none"/>
        </w:rPr>
        <w:t>A library of playbooks will be readily available to deal with the most common issues and those that have affected us, these will be updated and maintained to ensure the best industry standards.</w:t>
      </w:r>
    </w:p>
    <w:p w14:paraId="686BE91C" w14:textId="77777777" w:rsidR="00BD4F76" w:rsidRPr="00BD4F76" w:rsidRDefault="00BD4F76" w:rsidP="00BD4F76">
      <w:pPr>
        <w:spacing w:after="0" w:line="240" w:lineRule="auto"/>
        <w:rPr>
          <w:rFonts w:ascii="Calibri" w:eastAsia="Times New Roman" w:hAnsi="Calibri" w:cs="Calibri"/>
          <w:kern w:val="0"/>
          <w:lang w:eastAsia="en-GB"/>
          <w14:ligatures w14:val="none"/>
        </w:rPr>
      </w:pPr>
      <w:r w:rsidRPr="00BD4F76">
        <w:rPr>
          <w:rFonts w:ascii="Calibri" w:eastAsia="Times New Roman" w:hAnsi="Calibri" w:cs="Calibri"/>
          <w:b/>
          <w:bCs/>
          <w:kern w:val="0"/>
          <w:lang w:eastAsia="en-GB"/>
          <w14:ligatures w14:val="none"/>
        </w:rPr>
        <w:t>6. Compliance and Enforcement</w:t>
      </w:r>
    </w:p>
    <w:p w14:paraId="0EDABA3B" w14:textId="77777777" w:rsidR="00BD4F76" w:rsidRPr="00BD4F76" w:rsidRDefault="00BD4F76" w:rsidP="00BD4F76">
      <w:pPr>
        <w:spacing w:after="0" w:line="240" w:lineRule="auto"/>
        <w:rPr>
          <w:rFonts w:ascii="Calibri" w:eastAsia="Times New Roman" w:hAnsi="Calibri" w:cs="Calibri"/>
          <w:kern w:val="0"/>
          <w:lang w:eastAsia="en-GB"/>
          <w14:ligatures w14:val="none"/>
        </w:rPr>
      </w:pPr>
      <w:r w:rsidRPr="00BD4F76">
        <w:rPr>
          <w:rFonts w:ascii="Calibri" w:eastAsia="Times New Roman" w:hAnsi="Calibri" w:cs="Calibri"/>
          <w:kern w:val="0"/>
          <w:lang w:eastAsia="en-GB"/>
          <w14:ligatures w14:val="none"/>
        </w:rPr>
        <w:t>6.1. Compliance:</w:t>
      </w:r>
    </w:p>
    <w:p w14:paraId="782721DA" w14:textId="77777777" w:rsidR="00BD4F76" w:rsidRPr="00BD4F76" w:rsidRDefault="00BD4F76" w:rsidP="00BD4F76">
      <w:pPr>
        <w:numPr>
          <w:ilvl w:val="0"/>
          <w:numId w:val="8"/>
        </w:numPr>
        <w:spacing w:after="0" w:line="240" w:lineRule="auto"/>
        <w:textAlignment w:val="center"/>
        <w:rPr>
          <w:rFonts w:ascii="Calibri" w:eastAsia="Times New Roman" w:hAnsi="Calibri" w:cs="Calibri"/>
          <w:kern w:val="0"/>
          <w:lang w:eastAsia="en-GB"/>
          <w14:ligatures w14:val="none"/>
        </w:rPr>
      </w:pPr>
      <w:r w:rsidRPr="00BD4F76">
        <w:rPr>
          <w:rFonts w:ascii="Calibri" w:eastAsia="Times New Roman" w:hAnsi="Calibri" w:cs="Calibri"/>
          <w:kern w:val="0"/>
          <w:lang w:eastAsia="en-GB"/>
          <w14:ligatures w14:val="none"/>
        </w:rPr>
        <w:t>All employees, contractors, and third-party vendors are required to comply with this cybersecurity governance policy and associated procedures.</w:t>
      </w:r>
    </w:p>
    <w:p w14:paraId="104A9FC9" w14:textId="77777777" w:rsidR="00BD4F76" w:rsidRPr="00BD4F76" w:rsidRDefault="00BD4F76" w:rsidP="00BD4F76">
      <w:pPr>
        <w:numPr>
          <w:ilvl w:val="0"/>
          <w:numId w:val="8"/>
        </w:numPr>
        <w:spacing w:after="0" w:line="240" w:lineRule="auto"/>
        <w:textAlignment w:val="center"/>
        <w:rPr>
          <w:rFonts w:ascii="Calibri" w:eastAsia="Times New Roman" w:hAnsi="Calibri" w:cs="Calibri"/>
          <w:kern w:val="0"/>
          <w:lang w:eastAsia="en-GB"/>
          <w14:ligatures w14:val="none"/>
        </w:rPr>
      </w:pPr>
      <w:r w:rsidRPr="00BD4F76">
        <w:rPr>
          <w:rFonts w:ascii="Calibri" w:eastAsia="Times New Roman" w:hAnsi="Calibri" w:cs="Calibri"/>
          <w:kern w:val="0"/>
          <w:lang w:eastAsia="en-GB"/>
          <w14:ligatures w14:val="none"/>
        </w:rPr>
        <w:t>Non-compliance may result in disciplinary action, up to and including termination of employment or contract.</w:t>
      </w:r>
    </w:p>
    <w:p w14:paraId="19E0919A" w14:textId="77777777" w:rsidR="00BD4F76" w:rsidRPr="00BD4F76" w:rsidRDefault="00BD4F76" w:rsidP="00BD4F76">
      <w:pPr>
        <w:spacing w:after="0" w:line="240" w:lineRule="auto"/>
        <w:rPr>
          <w:rFonts w:ascii="Calibri" w:eastAsia="Times New Roman" w:hAnsi="Calibri" w:cs="Calibri"/>
          <w:kern w:val="0"/>
          <w:lang w:eastAsia="en-GB"/>
          <w14:ligatures w14:val="none"/>
        </w:rPr>
      </w:pPr>
      <w:r w:rsidRPr="00BD4F76">
        <w:rPr>
          <w:rFonts w:ascii="Calibri" w:eastAsia="Times New Roman" w:hAnsi="Calibri" w:cs="Calibri"/>
          <w:kern w:val="0"/>
          <w:lang w:eastAsia="en-GB"/>
          <w14:ligatures w14:val="none"/>
        </w:rPr>
        <w:t>6.2. Enforcement:</w:t>
      </w:r>
    </w:p>
    <w:p w14:paraId="573E8188" w14:textId="34390DA9" w:rsidR="00BD4F76" w:rsidRPr="00BD4F76" w:rsidRDefault="00BD4F76" w:rsidP="00BD4F76">
      <w:pPr>
        <w:numPr>
          <w:ilvl w:val="0"/>
          <w:numId w:val="9"/>
        </w:numPr>
        <w:spacing w:after="0" w:line="240" w:lineRule="auto"/>
        <w:textAlignment w:val="center"/>
        <w:rPr>
          <w:rFonts w:ascii="Calibri" w:eastAsia="Times New Roman" w:hAnsi="Calibri" w:cs="Calibri"/>
          <w:kern w:val="0"/>
          <w:lang w:eastAsia="en-GB"/>
          <w14:ligatures w14:val="none"/>
        </w:rPr>
      </w:pPr>
      <w:r w:rsidRPr="00BD4F76">
        <w:rPr>
          <w:rFonts w:ascii="Calibri" w:eastAsia="Times New Roman" w:hAnsi="Calibri" w:cs="Calibri"/>
          <w:kern w:val="0"/>
          <w:lang w:eastAsia="en-GB"/>
          <w14:ligatures w14:val="none"/>
        </w:rPr>
        <w:t>The cybersecurity steering committee</w:t>
      </w:r>
      <w:r w:rsidR="00551018">
        <w:rPr>
          <w:rFonts w:ascii="Calibri" w:eastAsia="Times New Roman" w:hAnsi="Calibri" w:cs="Calibri"/>
          <w:kern w:val="0"/>
          <w:lang w:eastAsia="en-GB"/>
          <w14:ligatures w14:val="none"/>
        </w:rPr>
        <w:t xml:space="preserve"> (TBD)</w:t>
      </w:r>
      <w:r w:rsidRPr="00BD4F76">
        <w:rPr>
          <w:rFonts w:ascii="Calibri" w:eastAsia="Times New Roman" w:hAnsi="Calibri" w:cs="Calibri"/>
          <w:kern w:val="0"/>
          <w:lang w:eastAsia="en-GB"/>
          <w14:ligatures w14:val="none"/>
        </w:rPr>
        <w:t>, in conjunction with HR and legal departments, will be responsible for enforcing this policy and addressing instances of non-compliance.</w:t>
      </w:r>
    </w:p>
    <w:p w14:paraId="13FC2E47" w14:textId="77777777" w:rsidR="00BD4F76" w:rsidRPr="00BD4F76" w:rsidRDefault="00BD4F76" w:rsidP="00BD4F76">
      <w:pPr>
        <w:spacing w:after="0" w:line="240" w:lineRule="auto"/>
        <w:rPr>
          <w:rFonts w:ascii="Calibri" w:eastAsia="Times New Roman" w:hAnsi="Calibri" w:cs="Calibri"/>
          <w:kern w:val="0"/>
          <w:lang w:eastAsia="en-GB"/>
          <w14:ligatures w14:val="none"/>
        </w:rPr>
      </w:pPr>
      <w:r w:rsidRPr="00BD4F76">
        <w:rPr>
          <w:rFonts w:ascii="Calibri" w:eastAsia="Times New Roman" w:hAnsi="Calibri" w:cs="Calibri"/>
          <w:b/>
          <w:bCs/>
          <w:kern w:val="0"/>
          <w:lang w:eastAsia="en-GB"/>
          <w14:ligatures w14:val="none"/>
        </w:rPr>
        <w:t>7. Review and Revision</w:t>
      </w:r>
    </w:p>
    <w:p w14:paraId="4C881489" w14:textId="77777777" w:rsidR="00BD4F76" w:rsidRPr="00BD4F76" w:rsidRDefault="00BD4F76" w:rsidP="00BD4F76">
      <w:pPr>
        <w:spacing w:after="0" w:line="240" w:lineRule="auto"/>
        <w:rPr>
          <w:rFonts w:ascii="Calibri" w:eastAsia="Times New Roman" w:hAnsi="Calibri" w:cs="Calibri"/>
          <w:kern w:val="0"/>
          <w:lang w:eastAsia="en-GB"/>
          <w14:ligatures w14:val="none"/>
        </w:rPr>
      </w:pPr>
      <w:r w:rsidRPr="00BD4F76">
        <w:rPr>
          <w:rFonts w:ascii="Calibri" w:eastAsia="Times New Roman" w:hAnsi="Calibri" w:cs="Calibri"/>
          <w:kern w:val="0"/>
          <w:lang w:eastAsia="en-GB"/>
          <w14:ligatures w14:val="none"/>
        </w:rPr>
        <w:t>7.1. Policy Review:</w:t>
      </w:r>
    </w:p>
    <w:p w14:paraId="1B88B532" w14:textId="77777777" w:rsidR="00BD4F76" w:rsidRPr="00BD4F76" w:rsidRDefault="00BD4F76" w:rsidP="00BD4F76">
      <w:pPr>
        <w:numPr>
          <w:ilvl w:val="0"/>
          <w:numId w:val="10"/>
        </w:numPr>
        <w:spacing w:after="0" w:line="240" w:lineRule="auto"/>
        <w:textAlignment w:val="center"/>
        <w:rPr>
          <w:rFonts w:ascii="Calibri" w:eastAsia="Times New Roman" w:hAnsi="Calibri" w:cs="Calibri"/>
          <w:kern w:val="0"/>
          <w:lang w:eastAsia="en-GB"/>
          <w14:ligatures w14:val="none"/>
        </w:rPr>
      </w:pPr>
      <w:r w:rsidRPr="00BD4F76">
        <w:rPr>
          <w:rFonts w:ascii="Calibri" w:eastAsia="Times New Roman" w:hAnsi="Calibri" w:cs="Calibri"/>
          <w:kern w:val="0"/>
          <w:lang w:eastAsia="en-GB"/>
          <w14:ligatures w14:val="none"/>
        </w:rPr>
        <w:t>This cybersecurity governance policy will be reviewed and updated on an annual basis or as necessary to reflect changes in the organization's risk profile, business operations, or regulatory requirements.</w:t>
      </w:r>
    </w:p>
    <w:p w14:paraId="669C0871" w14:textId="77777777" w:rsidR="00BD4F76" w:rsidRPr="00BD4F76" w:rsidRDefault="00BD4F76" w:rsidP="00BD4F76">
      <w:pPr>
        <w:spacing w:after="0" w:line="240" w:lineRule="auto"/>
        <w:rPr>
          <w:rFonts w:ascii="Calibri" w:eastAsia="Times New Roman" w:hAnsi="Calibri" w:cs="Calibri"/>
          <w:kern w:val="0"/>
          <w:lang w:eastAsia="en-GB"/>
          <w14:ligatures w14:val="none"/>
        </w:rPr>
      </w:pPr>
      <w:r w:rsidRPr="00BD4F76">
        <w:rPr>
          <w:rFonts w:ascii="Calibri" w:eastAsia="Times New Roman" w:hAnsi="Calibri" w:cs="Calibri"/>
          <w:kern w:val="0"/>
          <w:lang w:eastAsia="en-GB"/>
          <w14:ligatures w14:val="none"/>
        </w:rPr>
        <w:t>7.2. Stakeholder Engagement:</w:t>
      </w:r>
    </w:p>
    <w:p w14:paraId="0AFCC99F" w14:textId="77777777" w:rsidR="00BD4F76" w:rsidRPr="00BD4F76" w:rsidRDefault="00BD4F76" w:rsidP="00BD4F76">
      <w:pPr>
        <w:numPr>
          <w:ilvl w:val="0"/>
          <w:numId w:val="11"/>
        </w:numPr>
        <w:spacing w:after="0" w:line="240" w:lineRule="auto"/>
        <w:textAlignment w:val="center"/>
        <w:rPr>
          <w:rFonts w:ascii="Calibri" w:eastAsia="Times New Roman" w:hAnsi="Calibri" w:cs="Calibri"/>
          <w:kern w:val="0"/>
          <w:lang w:eastAsia="en-GB"/>
          <w14:ligatures w14:val="none"/>
        </w:rPr>
      </w:pPr>
      <w:r w:rsidRPr="00BD4F76">
        <w:rPr>
          <w:rFonts w:ascii="Calibri" w:eastAsia="Times New Roman" w:hAnsi="Calibri" w:cs="Calibri"/>
          <w:kern w:val="0"/>
          <w:lang w:eastAsia="en-GB"/>
          <w14:ligatures w14:val="none"/>
        </w:rPr>
        <w:t>Stakeholders from relevant departments will be involved in the review and revision process to ensure alignment with business objectives and priorities.</w:t>
      </w:r>
    </w:p>
    <w:p w14:paraId="1ECF81D3" w14:textId="77777777" w:rsidR="00BD4F76" w:rsidRPr="00BD4F76" w:rsidRDefault="00BD4F76" w:rsidP="00BD4F76">
      <w:pPr>
        <w:spacing w:after="0" w:line="240" w:lineRule="auto"/>
        <w:rPr>
          <w:rFonts w:ascii="Calibri" w:eastAsia="Times New Roman" w:hAnsi="Calibri" w:cs="Calibri"/>
          <w:kern w:val="0"/>
          <w:lang w:eastAsia="en-GB"/>
          <w14:ligatures w14:val="none"/>
        </w:rPr>
      </w:pPr>
      <w:r w:rsidRPr="00BD4F76">
        <w:rPr>
          <w:rFonts w:ascii="Calibri" w:eastAsia="Times New Roman" w:hAnsi="Calibri" w:cs="Calibri"/>
          <w:b/>
          <w:bCs/>
          <w:kern w:val="0"/>
          <w:lang w:eastAsia="en-GB"/>
          <w14:ligatures w14:val="none"/>
        </w:rPr>
        <w:t>8. Document Control</w:t>
      </w:r>
    </w:p>
    <w:p w14:paraId="19B443D0" w14:textId="77777777" w:rsidR="00BD4F76" w:rsidRPr="00BD4F76" w:rsidRDefault="00BD4F76" w:rsidP="00BD4F76">
      <w:pPr>
        <w:spacing w:after="0" w:line="240" w:lineRule="auto"/>
        <w:rPr>
          <w:rFonts w:ascii="Calibri" w:eastAsia="Times New Roman" w:hAnsi="Calibri" w:cs="Calibri"/>
          <w:kern w:val="0"/>
          <w:lang w:eastAsia="en-GB"/>
          <w14:ligatures w14:val="none"/>
        </w:rPr>
      </w:pPr>
      <w:r w:rsidRPr="00BD4F76">
        <w:rPr>
          <w:rFonts w:ascii="Calibri" w:eastAsia="Times New Roman" w:hAnsi="Calibri" w:cs="Calibri"/>
          <w:kern w:val="0"/>
          <w:lang w:eastAsia="en-GB"/>
          <w14:ligatures w14:val="none"/>
        </w:rPr>
        <w:t>8.1. Policy Distribution:</w:t>
      </w:r>
    </w:p>
    <w:p w14:paraId="339A32F8" w14:textId="77777777" w:rsidR="00BD4F76" w:rsidRPr="00BD4F76" w:rsidRDefault="00BD4F76" w:rsidP="00BD4F76">
      <w:pPr>
        <w:numPr>
          <w:ilvl w:val="0"/>
          <w:numId w:val="12"/>
        </w:numPr>
        <w:spacing w:after="0" w:line="240" w:lineRule="auto"/>
        <w:textAlignment w:val="center"/>
        <w:rPr>
          <w:rFonts w:ascii="Calibri" w:eastAsia="Times New Roman" w:hAnsi="Calibri" w:cs="Calibri"/>
          <w:kern w:val="0"/>
          <w:lang w:eastAsia="en-GB"/>
          <w14:ligatures w14:val="none"/>
        </w:rPr>
      </w:pPr>
      <w:r w:rsidRPr="00BD4F76">
        <w:rPr>
          <w:rFonts w:ascii="Calibri" w:eastAsia="Times New Roman" w:hAnsi="Calibri" w:cs="Calibri"/>
          <w:kern w:val="0"/>
          <w:lang w:eastAsia="en-GB"/>
          <w14:ligatures w14:val="none"/>
        </w:rPr>
        <w:t>This cybersecurity governance policy will be distributed to all employees, contractors, and third-party vendors with access to the organization's information systems and data assets.</w:t>
      </w:r>
    </w:p>
    <w:p w14:paraId="3DA2149C" w14:textId="77777777" w:rsidR="00BD4F76" w:rsidRPr="00BD4F76" w:rsidRDefault="00BD4F76" w:rsidP="00BD4F76">
      <w:pPr>
        <w:spacing w:after="0" w:line="240" w:lineRule="auto"/>
        <w:rPr>
          <w:rFonts w:ascii="Calibri" w:eastAsia="Times New Roman" w:hAnsi="Calibri" w:cs="Calibri"/>
          <w:kern w:val="0"/>
          <w:lang w:eastAsia="en-GB"/>
          <w14:ligatures w14:val="none"/>
        </w:rPr>
      </w:pPr>
      <w:r w:rsidRPr="00BD4F76">
        <w:rPr>
          <w:rFonts w:ascii="Calibri" w:eastAsia="Times New Roman" w:hAnsi="Calibri" w:cs="Calibri"/>
          <w:kern w:val="0"/>
          <w:lang w:eastAsia="en-GB"/>
          <w14:ligatures w14:val="none"/>
        </w:rPr>
        <w:t>8.2. Policy Documentation:</w:t>
      </w:r>
    </w:p>
    <w:p w14:paraId="0DFD6736" w14:textId="77777777" w:rsidR="00BD4F76" w:rsidRPr="00BD4F76" w:rsidRDefault="00BD4F76" w:rsidP="00BD4F76">
      <w:pPr>
        <w:numPr>
          <w:ilvl w:val="0"/>
          <w:numId w:val="13"/>
        </w:numPr>
        <w:spacing w:after="0" w:line="240" w:lineRule="auto"/>
        <w:textAlignment w:val="center"/>
        <w:rPr>
          <w:rFonts w:ascii="Calibri" w:eastAsia="Times New Roman" w:hAnsi="Calibri" w:cs="Calibri"/>
          <w:kern w:val="0"/>
          <w:lang w:eastAsia="en-GB"/>
          <w14:ligatures w14:val="none"/>
        </w:rPr>
      </w:pPr>
      <w:r w:rsidRPr="00BD4F76">
        <w:rPr>
          <w:rFonts w:ascii="Calibri" w:eastAsia="Times New Roman" w:hAnsi="Calibri" w:cs="Calibri"/>
          <w:kern w:val="0"/>
          <w:lang w:eastAsia="en-GB"/>
          <w14:ligatures w14:val="none"/>
        </w:rPr>
        <w:t>A record of policy distribution and acknowledgement will be maintained, and employees will be required to acknowledge receipt and understanding of the policy.</w:t>
      </w:r>
    </w:p>
    <w:p w14:paraId="6087D522" w14:textId="77777777" w:rsidR="00151683" w:rsidRDefault="00151683"/>
    <w:p w14:paraId="386E28B1" w14:textId="77777777" w:rsidR="00734C30" w:rsidRDefault="00734C30" w:rsidP="00734C30">
      <w:pPr>
        <w:rPr>
          <w:b/>
          <w:bCs/>
        </w:rPr>
      </w:pPr>
      <w:r w:rsidRPr="00EB1BCC">
        <w:rPr>
          <w:b/>
          <w:bCs/>
        </w:rPr>
        <w:t>Reference Documents</w:t>
      </w:r>
    </w:p>
    <w:tbl>
      <w:tblPr>
        <w:tblStyle w:val="TableGrid"/>
        <w:tblW w:w="0" w:type="auto"/>
        <w:tblLook w:val="04A0" w:firstRow="1" w:lastRow="0" w:firstColumn="1" w:lastColumn="0" w:noHBand="0" w:noVBand="1"/>
      </w:tblPr>
      <w:tblGrid>
        <w:gridCol w:w="4508"/>
        <w:gridCol w:w="4508"/>
      </w:tblGrid>
      <w:tr w:rsidR="00734C30" w14:paraId="1D25E1C9" w14:textId="77777777" w:rsidTr="00F9570D">
        <w:tc>
          <w:tcPr>
            <w:tcW w:w="4508" w:type="dxa"/>
          </w:tcPr>
          <w:p w14:paraId="751BD5EE" w14:textId="77777777" w:rsidR="00734C30" w:rsidRDefault="00734C30" w:rsidP="00F9570D">
            <w:pPr>
              <w:rPr>
                <w:b/>
                <w:bCs/>
              </w:rPr>
            </w:pPr>
          </w:p>
        </w:tc>
        <w:tc>
          <w:tcPr>
            <w:tcW w:w="4508" w:type="dxa"/>
          </w:tcPr>
          <w:p w14:paraId="47EAFE2D" w14:textId="77777777" w:rsidR="00734C30" w:rsidRDefault="00734C30" w:rsidP="00F9570D">
            <w:pPr>
              <w:rPr>
                <w:b/>
                <w:bCs/>
              </w:rPr>
            </w:pPr>
          </w:p>
        </w:tc>
      </w:tr>
      <w:tr w:rsidR="00734C30" w14:paraId="7D5F1C44" w14:textId="77777777" w:rsidTr="00F9570D">
        <w:tc>
          <w:tcPr>
            <w:tcW w:w="4508" w:type="dxa"/>
          </w:tcPr>
          <w:p w14:paraId="5153A2E7" w14:textId="77777777" w:rsidR="00734C30" w:rsidRDefault="00734C30" w:rsidP="00F9570D">
            <w:pPr>
              <w:rPr>
                <w:b/>
                <w:bCs/>
              </w:rPr>
            </w:pPr>
          </w:p>
        </w:tc>
        <w:tc>
          <w:tcPr>
            <w:tcW w:w="4508" w:type="dxa"/>
          </w:tcPr>
          <w:p w14:paraId="109D4B51" w14:textId="77777777" w:rsidR="00734C30" w:rsidRDefault="00734C30" w:rsidP="00F9570D">
            <w:pPr>
              <w:rPr>
                <w:b/>
                <w:bCs/>
              </w:rPr>
            </w:pPr>
          </w:p>
        </w:tc>
      </w:tr>
      <w:tr w:rsidR="00734C30" w14:paraId="0BE3A239" w14:textId="77777777" w:rsidTr="00F9570D">
        <w:tc>
          <w:tcPr>
            <w:tcW w:w="4508" w:type="dxa"/>
          </w:tcPr>
          <w:p w14:paraId="44CC6599" w14:textId="77777777" w:rsidR="00734C30" w:rsidRDefault="00734C30" w:rsidP="00F9570D">
            <w:pPr>
              <w:rPr>
                <w:b/>
                <w:bCs/>
              </w:rPr>
            </w:pPr>
          </w:p>
        </w:tc>
        <w:tc>
          <w:tcPr>
            <w:tcW w:w="4508" w:type="dxa"/>
          </w:tcPr>
          <w:p w14:paraId="70627306" w14:textId="77777777" w:rsidR="00734C30" w:rsidRDefault="00734C30" w:rsidP="00F9570D">
            <w:pPr>
              <w:rPr>
                <w:b/>
                <w:bCs/>
              </w:rPr>
            </w:pPr>
          </w:p>
        </w:tc>
      </w:tr>
      <w:tr w:rsidR="00734C30" w14:paraId="61FC5415" w14:textId="77777777" w:rsidTr="00F9570D">
        <w:tc>
          <w:tcPr>
            <w:tcW w:w="4508" w:type="dxa"/>
          </w:tcPr>
          <w:p w14:paraId="36D30DB2" w14:textId="77777777" w:rsidR="00734C30" w:rsidRDefault="00734C30" w:rsidP="00F9570D">
            <w:pPr>
              <w:rPr>
                <w:b/>
                <w:bCs/>
              </w:rPr>
            </w:pPr>
          </w:p>
        </w:tc>
        <w:tc>
          <w:tcPr>
            <w:tcW w:w="4508" w:type="dxa"/>
          </w:tcPr>
          <w:p w14:paraId="59C126DA" w14:textId="77777777" w:rsidR="00734C30" w:rsidRDefault="00734C30" w:rsidP="00F9570D">
            <w:pPr>
              <w:rPr>
                <w:b/>
                <w:bCs/>
              </w:rPr>
            </w:pPr>
          </w:p>
        </w:tc>
      </w:tr>
      <w:tr w:rsidR="00734C30" w14:paraId="6B91459D" w14:textId="77777777" w:rsidTr="00F9570D">
        <w:tc>
          <w:tcPr>
            <w:tcW w:w="4508" w:type="dxa"/>
          </w:tcPr>
          <w:p w14:paraId="28329022" w14:textId="77777777" w:rsidR="00734C30" w:rsidRDefault="00734C30" w:rsidP="00F9570D">
            <w:pPr>
              <w:rPr>
                <w:b/>
                <w:bCs/>
              </w:rPr>
            </w:pPr>
          </w:p>
        </w:tc>
        <w:tc>
          <w:tcPr>
            <w:tcW w:w="4508" w:type="dxa"/>
          </w:tcPr>
          <w:p w14:paraId="36D02E69" w14:textId="77777777" w:rsidR="00734C30" w:rsidRDefault="00734C30" w:rsidP="00F9570D">
            <w:pPr>
              <w:rPr>
                <w:b/>
                <w:bCs/>
              </w:rPr>
            </w:pPr>
          </w:p>
        </w:tc>
      </w:tr>
      <w:tr w:rsidR="00734C30" w14:paraId="4BC0D628" w14:textId="77777777" w:rsidTr="00F9570D">
        <w:tc>
          <w:tcPr>
            <w:tcW w:w="4508" w:type="dxa"/>
          </w:tcPr>
          <w:p w14:paraId="3F287F36" w14:textId="77777777" w:rsidR="00734C30" w:rsidRDefault="00734C30" w:rsidP="00F9570D">
            <w:pPr>
              <w:rPr>
                <w:b/>
                <w:bCs/>
              </w:rPr>
            </w:pPr>
          </w:p>
        </w:tc>
        <w:tc>
          <w:tcPr>
            <w:tcW w:w="4508" w:type="dxa"/>
          </w:tcPr>
          <w:p w14:paraId="0FA5191B" w14:textId="77777777" w:rsidR="00734C30" w:rsidRDefault="00734C30" w:rsidP="00F9570D">
            <w:pPr>
              <w:rPr>
                <w:b/>
                <w:bCs/>
              </w:rPr>
            </w:pPr>
          </w:p>
        </w:tc>
      </w:tr>
      <w:tr w:rsidR="00734C30" w14:paraId="2D693E19" w14:textId="77777777" w:rsidTr="00F9570D">
        <w:tc>
          <w:tcPr>
            <w:tcW w:w="4508" w:type="dxa"/>
          </w:tcPr>
          <w:p w14:paraId="3FE4A2F5" w14:textId="77777777" w:rsidR="00734C30" w:rsidRDefault="00734C30" w:rsidP="00F9570D">
            <w:pPr>
              <w:rPr>
                <w:b/>
                <w:bCs/>
              </w:rPr>
            </w:pPr>
          </w:p>
        </w:tc>
        <w:tc>
          <w:tcPr>
            <w:tcW w:w="4508" w:type="dxa"/>
          </w:tcPr>
          <w:p w14:paraId="414C7675" w14:textId="77777777" w:rsidR="00734C30" w:rsidRDefault="00734C30" w:rsidP="00F9570D">
            <w:pPr>
              <w:rPr>
                <w:b/>
                <w:bCs/>
              </w:rPr>
            </w:pPr>
          </w:p>
        </w:tc>
      </w:tr>
      <w:tr w:rsidR="00734C30" w14:paraId="3916D73D" w14:textId="77777777" w:rsidTr="00F9570D">
        <w:tc>
          <w:tcPr>
            <w:tcW w:w="4508" w:type="dxa"/>
          </w:tcPr>
          <w:p w14:paraId="39800585" w14:textId="77777777" w:rsidR="00734C30" w:rsidRDefault="00734C30" w:rsidP="00F9570D">
            <w:pPr>
              <w:rPr>
                <w:b/>
                <w:bCs/>
              </w:rPr>
            </w:pPr>
          </w:p>
        </w:tc>
        <w:tc>
          <w:tcPr>
            <w:tcW w:w="4508" w:type="dxa"/>
          </w:tcPr>
          <w:p w14:paraId="7F60A13E" w14:textId="77777777" w:rsidR="00734C30" w:rsidRDefault="00734C30" w:rsidP="00F9570D">
            <w:pPr>
              <w:rPr>
                <w:b/>
                <w:bCs/>
              </w:rPr>
            </w:pPr>
          </w:p>
        </w:tc>
      </w:tr>
    </w:tbl>
    <w:p w14:paraId="3C4C019F" w14:textId="77777777" w:rsidR="00734C30" w:rsidRPr="00EB1BCC" w:rsidRDefault="00734C30" w:rsidP="00734C30">
      <w:pPr>
        <w:rPr>
          <w:b/>
          <w:bCs/>
        </w:rPr>
      </w:pPr>
    </w:p>
    <w:p w14:paraId="32D88B8B" w14:textId="77777777" w:rsidR="00734C30" w:rsidRDefault="00734C30"/>
    <w:sectPr w:rsidR="00734C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7151F"/>
    <w:multiLevelType w:val="multilevel"/>
    <w:tmpl w:val="1B866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947296"/>
    <w:multiLevelType w:val="multilevel"/>
    <w:tmpl w:val="600AD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C5158A"/>
    <w:multiLevelType w:val="multilevel"/>
    <w:tmpl w:val="1B6C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9B3D02"/>
    <w:multiLevelType w:val="multilevel"/>
    <w:tmpl w:val="6DC81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103E35"/>
    <w:multiLevelType w:val="multilevel"/>
    <w:tmpl w:val="5F8E6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7D7CF2"/>
    <w:multiLevelType w:val="multilevel"/>
    <w:tmpl w:val="2678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AA125A"/>
    <w:multiLevelType w:val="multilevel"/>
    <w:tmpl w:val="78667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B40318"/>
    <w:multiLevelType w:val="multilevel"/>
    <w:tmpl w:val="BFFC9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740110"/>
    <w:multiLevelType w:val="multilevel"/>
    <w:tmpl w:val="D70C9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7F1286"/>
    <w:multiLevelType w:val="multilevel"/>
    <w:tmpl w:val="AEDA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E540F7"/>
    <w:multiLevelType w:val="multilevel"/>
    <w:tmpl w:val="2744C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2115982"/>
    <w:multiLevelType w:val="multilevel"/>
    <w:tmpl w:val="52CC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E572C8F"/>
    <w:multiLevelType w:val="multilevel"/>
    <w:tmpl w:val="6BB0A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9"/>
  </w:num>
  <w:num w:numId="3">
    <w:abstractNumId w:val="3"/>
  </w:num>
  <w:num w:numId="4">
    <w:abstractNumId w:val="0"/>
  </w:num>
  <w:num w:numId="5">
    <w:abstractNumId w:val="12"/>
  </w:num>
  <w:num w:numId="6">
    <w:abstractNumId w:val="5"/>
  </w:num>
  <w:num w:numId="7">
    <w:abstractNumId w:val="10"/>
  </w:num>
  <w:num w:numId="8">
    <w:abstractNumId w:val="2"/>
  </w:num>
  <w:num w:numId="9">
    <w:abstractNumId w:val="7"/>
  </w:num>
  <w:num w:numId="10">
    <w:abstractNumId w:val="8"/>
  </w:num>
  <w:num w:numId="11">
    <w:abstractNumId w:val="4"/>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F76"/>
    <w:rsid w:val="000E6E8D"/>
    <w:rsid w:val="00111602"/>
    <w:rsid w:val="00137322"/>
    <w:rsid w:val="00151683"/>
    <w:rsid w:val="003B4E38"/>
    <w:rsid w:val="003F0A9F"/>
    <w:rsid w:val="00551018"/>
    <w:rsid w:val="00667B9C"/>
    <w:rsid w:val="0069100A"/>
    <w:rsid w:val="00734C30"/>
    <w:rsid w:val="008B4F3C"/>
    <w:rsid w:val="00A50C7C"/>
    <w:rsid w:val="00B04B7C"/>
    <w:rsid w:val="00BD4F76"/>
    <w:rsid w:val="00C11A10"/>
    <w:rsid w:val="00EA0846"/>
    <w:rsid w:val="00EB6D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36F54"/>
  <w15:chartTrackingRefBased/>
  <w15:docId w15:val="{A2E70465-4A34-4EBB-BA49-8C3E6416A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4F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4F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4F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4F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4F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4F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4F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4F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4F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F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4F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4F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4F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4F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4F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4F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4F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4F76"/>
    <w:rPr>
      <w:rFonts w:eastAsiaTheme="majorEastAsia" w:cstheme="majorBidi"/>
      <w:color w:val="272727" w:themeColor="text1" w:themeTint="D8"/>
    </w:rPr>
  </w:style>
  <w:style w:type="paragraph" w:styleId="Title">
    <w:name w:val="Title"/>
    <w:basedOn w:val="Normal"/>
    <w:next w:val="Normal"/>
    <w:link w:val="TitleChar"/>
    <w:uiPriority w:val="10"/>
    <w:qFormat/>
    <w:rsid w:val="00BD4F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F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4F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4F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4F76"/>
    <w:pPr>
      <w:spacing w:before="160"/>
      <w:jc w:val="center"/>
    </w:pPr>
    <w:rPr>
      <w:i/>
      <w:iCs/>
      <w:color w:val="404040" w:themeColor="text1" w:themeTint="BF"/>
    </w:rPr>
  </w:style>
  <w:style w:type="character" w:customStyle="1" w:styleId="QuoteChar">
    <w:name w:val="Quote Char"/>
    <w:basedOn w:val="DefaultParagraphFont"/>
    <w:link w:val="Quote"/>
    <w:uiPriority w:val="29"/>
    <w:rsid w:val="00BD4F76"/>
    <w:rPr>
      <w:i/>
      <w:iCs/>
      <w:color w:val="404040" w:themeColor="text1" w:themeTint="BF"/>
    </w:rPr>
  </w:style>
  <w:style w:type="paragraph" w:styleId="ListParagraph">
    <w:name w:val="List Paragraph"/>
    <w:basedOn w:val="Normal"/>
    <w:uiPriority w:val="34"/>
    <w:qFormat/>
    <w:rsid w:val="00BD4F76"/>
    <w:pPr>
      <w:ind w:left="720"/>
      <w:contextualSpacing/>
    </w:pPr>
  </w:style>
  <w:style w:type="character" w:styleId="IntenseEmphasis">
    <w:name w:val="Intense Emphasis"/>
    <w:basedOn w:val="DefaultParagraphFont"/>
    <w:uiPriority w:val="21"/>
    <w:qFormat/>
    <w:rsid w:val="00BD4F76"/>
    <w:rPr>
      <w:i/>
      <w:iCs/>
      <w:color w:val="0F4761" w:themeColor="accent1" w:themeShade="BF"/>
    </w:rPr>
  </w:style>
  <w:style w:type="paragraph" w:styleId="IntenseQuote">
    <w:name w:val="Intense Quote"/>
    <w:basedOn w:val="Normal"/>
    <w:next w:val="Normal"/>
    <w:link w:val="IntenseQuoteChar"/>
    <w:uiPriority w:val="30"/>
    <w:qFormat/>
    <w:rsid w:val="00BD4F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4F76"/>
    <w:rPr>
      <w:i/>
      <w:iCs/>
      <w:color w:val="0F4761" w:themeColor="accent1" w:themeShade="BF"/>
    </w:rPr>
  </w:style>
  <w:style w:type="character" w:styleId="IntenseReference">
    <w:name w:val="Intense Reference"/>
    <w:basedOn w:val="DefaultParagraphFont"/>
    <w:uiPriority w:val="32"/>
    <w:qFormat/>
    <w:rsid w:val="00BD4F76"/>
    <w:rPr>
      <w:b/>
      <w:bCs/>
      <w:smallCaps/>
      <w:color w:val="0F4761" w:themeColor="accent1" w:themeShade="BF"/>
      <w:spacing w:val="5"/>
    </w:rPr>
  </w:style>
  <w:style w:type="paragraph" w:styleId="NormalWeb">
    <w:name w:val="Normal (Web)"/>
    <w:basedOn w:val="Normal"/>
    <w:uiPriority w:val="99"/>
    <w:semiHidden/>
    <w:unhideWhenUsed/>
    <w:rsid w:val="00BD4F76"/>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table" w:styleId="TableGrid">
    <w:name w:val="Table Grid"/>
    <w:basedOn w:val="TableNormal"/>
    <w:uiPriority w:val="39"/>
    <w:rsid w:val="00734C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289316">
      <w:bodyDiv w:val="1"/>
      <w:marLeft w:val="0"/>
      <w:marRight w:val="0"/>
      <w:marTop w:val="0"/>
      <w:marBottom w:val="0"/>
      <w:divBdr>
        <w:top w:val="none" w:sz="0" w:space="0" w:color="auto"/>
        <w:left w:val="none" w:sz="0" w:space="0" w:color="auto"/>
        <w:bottom w:val="none" w:sz="0" w:space="0" w:color="auto"/>
        <w:right w:val="none" w:sz="0" w:space="0" w:color="auto"/>
      </w:divBdr>
      <w:divsChild>
        <w:div w:id="1273439569">
          <w:marLeft w:val="0"/>
          <w:marRight w:val="0"/>
          <w:marTop w:val="0"/>
          <w:marBottom w:val="0"/>
          <w:divBdr>
            <w:top w:val="none" w:sz="0" w:space="0" w:color="auto"/>
            <w:left w:val="none" w:sz="0" w:space="0" w:color="auto"/>
            <w:bottom w:val="none" w:sz="0" w:space="0" w:color="auto"/>
            <w:right w:val="none" w:sz="0" w:space="0" w:color="auto"/>
          </w:divBdr>
          <w:divsChild>
            <w:div w:id="755631800">
              <w:marLeft w:val="0"/>
              <w:marRight w:val="0"/>
              <w:marTop w:val="0"/>
              <w:marBottom w:val="0"/>
              <w:divBdr>
                <w:top w:val="none" w:sz="0" w:space="0" w:color="auto"/>
                <w:left w:val="none" w:sz="0" w:space="0" w:color="auto"/>
                <w:bottom w:val="none" w:sz="0" w:space="0" w:color="auto"/>
                <w:right w:val="none" w:sz="0" w:space="0" w:color="auto"/>
              </w:divBdr>
              <w:divsChild>
                <w:div w:id="16659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6648BD9944704C8741D013A7937511" ma:contentTypeVersion="14" ma:contentTypeDescription="Create a new document." ma:contentTypeScope="" ma:versionID="c3a7585b5ca9ff05a6a1e0df3a7fe739">
  <xsd:schema xmlns:xsd="http://www.w3.org/2001/XMLSchema" xmlns:xs="http://www.w3.org/2001/XMLSchema" xmlns:p="http://schemas.microsoft.com/office/2006/metadata/properties" xmlns:ns2="75d62a02-2533-4405-a517-d6c8f3710deb" xmlns:ns3="a5b1c574-a10f-43ca-a271-3969f5886f9b" targetNamespace="http://schemas.microsoft.com/office/2006/metadata/properties" ma:root="true" ma:fieldsID="82daed5ecb01ab2956cfff9f756b825a" ns2:_="" ns3:_="">
    <xsd:import namespace="75d62a02-2533-4405-a517-d6c8f3710deb"/>
    <xsd:import namespace="a5b1c574-a10f-43ca-a271-3969f5886f9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d62a02-2533-4405-a517-d6c8f3710d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8a26c695-7f0e-42d9-ad5a-9980ff0539d8"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5b1c574-a10f-43ca-a271-3969f5886f9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d68c890e-dcec-4a2a-aee4-35ff8622a6b3}" ma:internalName="TaxCatchAll" ma:showField="CatchAllData" ma:web="a5b1c574-a10f-43ca-a271-3969f5886f9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5d62a02-2533-4405-a517-d6c8f3710deb">
      <Terms xmlns="http://schemas.microsoft.com/office/infopath/2007/PartnerControls"/>
    </lcf76f155ced4ddcb4097134ff3c332f>
    <TaxCatchAll xmlns="a5b1c574-a10f-43ca-a271-3969f5886f9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5F661B0-BF0D-479E-BF0C-47AFB2EDA1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d62a02-2533-4405-a517-d6c8f3710deb"/>
    <ds:schemaRef ds:uri="a5b1c574-a10f-43ca-a271-3969f5886f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5D5B31-AB6F-43D2-849E-3A81B807E1B4}">
  <ds:schemaRefs>
    <ds:schemaRef ds:uri="http://schemas.microsoft.com/office/2006/metadata/properties"/>
    <ds:schemaRef ds:uri="http://schemas.microsoft.com/office/infopath/2007/PartnerControls"/>
    <ds:schemaRef ds:uri="75d62a02-2533-4405-a517-d6c8f3710deb"/>
    <ds:schemaRef ds:uri="a5b1c574-a10f-43ca-a271-3969f5886f9b"/>
  </ds:schemaRefs>
</ds:datastoreItem>
</file>

<file path=customXml/itemProps3.xml><?xml version="1.0" encoding="utf-8"?>
<ds:datastoreItem xmlns:ds="http://schemas.openxmlformats.org/officeDocument/2006/customXml" ds:itemID="{79FA7022-658B-49A9-BD96-A6EDCD38257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718</Words>
  <Characters>4097</Characters>
  <Application>Microsoft Office Word</Application>
  <DocSecurity>0</DocSecurity>
  <Lines>34</Lines>
  <Paragraphs>9</Paragraphs>
  <ScaleCrop>false</ScaleCrop>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Cash</dc:creator>
  <cp:keywords/>
  <dc:description/>
  <cp:lastModifiedBy>Andrew Cash</cp:lastModifiedBy>
  <cp:revision>12</cp:revision>
  <dcterms:created xsi:type="dcterms:W3CDTF">2024-05-13T16:32:00Z</dcterms:created>
  <dcterms:modified xsi:type="dcterms:W3CDTF">2024-06-05T14:46:00Z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0x010100E36648BD9944704C8741D013A7937511</vt:lpwstr>
  </property>
  <property fmtid="{D5CDD505-2E9C-101B-9397-08002B2CF9AE}" pid="3" name="MediaServiceImageTags">
    <vt:lpwstr/>
  </property>
</Properties>
</file>