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b/>
          <w:b/>
          <w:sz w:val="36"/>
          <w:szCs w:val="36"/>
        </w:rPr>
      </w:pPr>
      <w:r>
        <w:rPr>
          <w:b/>
          <w:sz w:val="36"/>
          <w:szCs w:val="36"/>
        </w:rPr>
        <w:t>Plan de SCM</w:t>
      </w:r>
    </w:p>
    <w:p>
      <w:pPr>
        <w:pStyle w:val="Normal"/>
        <w:jc w:val="right"/>
        <w:rPr>
          <w:b/>
          <w:b/>
          <w:sz w:val="36"/>
          <w:szCs w:val="36"/>
        </w:rPr>
      </w:pPr>
      <w:r>
        <w:rPr>
          <w:b/>
          <w:sz w:val="36"/>
          <w:szCs w:val="36"/>
        </w:rPr>
        <w:t>StackCode</w:t>
      </w:r>
    </w:p>
    <w:p>
      <w:pPr>
        <w:pStyle w:val="Normal"/>
        <w:jc w:val="right"/>
        <w:rPr>
          <w:b/>
          <w:b/>
          <w:sz w:val="36"/>
          <w:szCs w:val="36"/>
        </w:rPr>
      </w:pPr>
      <w:r>
        <w:rPr>
          <w:b/>
          <w:sz w:val="36"/>
          <w:szCs w:val="36"/>
        </w:rPr>
        <w:t>Versión 1.0</w:t>
      </w:r>
      <w:r>
        <w:br w:type="page"/>
      </w:r>
    </w:p>
    <w:p>
      <w:pPr>
        <w:pStyle w:val="Normal"/>
        <w:jc w:val="right"/>
        <w:rPr>
          <w:b/>
          <w:b/>
          <w:sz w:val="36"/>
          <w:szCs w:val="36"/>
        </w:rPr>
      </w:pPr>
      <w:r>
        <w:rPr>
          <w:b/>
          <w:sz w:val="36"/>
          <w:szCs w:val="36"/>
        </w:rPr>
        <w:t>Historial de Revisiones</w:t>
      </w:r>
    </w:p>
    <w:p>
      <w:pPr>
        <w:pStyle w:val="Normal"/>
        <w:jc w:val="right"/>
        <w:rPr>
          <w:b/>
          <w:b/>
          <w:sz w:val="36"/>
          <w:szCs w:val="36"/>
        </w:rPr>
      </w:pPr>
      <w:r>
        <w:rPr>
          <w:b/>
          <w:sz w:val="36"/>
          <w:szCs w:val="36"/>
        </w:rPr>
        <w:t xml:space="preserve"> </w:t>
      </w:r>
    </w:p>
    <w:tbl>
      <w:tblPr>
        <w:tblStyle w:val="a"/>
        <w:tblW w:w="8865" w:type="dxa"/>
        <w:jc w:val="left"/>
        <w:tblInd w:w="9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2174"/>
        <w:gridCol w:w="1290"/>
        <w:gridCol w:w="3300"/>
        <w:gridCol w:w="2100"/>
      </w:tblGrid>
      <w:tr>
        <w:trPr>
          <w:trHeight w:val="580" w:hRule="atLeast"/>
        </w:trPr>
        <w:tc>
          <w:tcPr>
            <w:tcW w:w="21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120"/>
              <w:jc w:val="both"/>
              <w:rPr>
                <w:sz w:val="20"/>
                <w:szCs w:val="20"/>
              </w:rPr>
            </w:pPr>
            <w:r>
              <w:rPr>
                <w:sz w:val="20"/>
                <w:szCs w:val="20"/>
              </w:rPr>
              <w:t>Fecha</w:t>
            </w:r>
          </w:p>
        </w:tc>
        <w:tc>
          <w:tcPr>
            <w:tcW w:w="1290" w:type="dxa"/>
            <w:tcBorders>
              <w:top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120"/>
              <w:jc w:val="both"/>
              <w:rPr>
                <w:sz w:val="20"/>
                <w:szCs w:val="20"/>
              </w:rPr>
            </w:pPr>
            <w:r>
              <w:rPr>
                <w:sz w:val="20"/>
                <w:szCs w:val="20"/>
              </w:rPr>
              <w:t>Versión</w:t>
            </w:r>
          </w:p>
        </w:tc>
        <w:tc>
          <w:tcPr>
            <w:tcW w:w="3300" w:type="dxa"/>
            <w:tcBorders>
              <w:top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120"/>
              <w:jc w:val="both"/>
              <w:rPr>
                <w:sz w:val="20"/>
                <w:szCs w:val="20"/>
              </w:rPr>
            </w:pPr>
            <w:r>
              <w:rPr>
                <w:sz w:val="20"/>
                <w:szCs w:val="20"/>
              </w:rPr>
              <w:t>Descripción</w:t>
            </w:r>
          </w:p>
        </w:tc>
        <w:tc>
          <w:tcPr>
            <w:tcW w:w="2100" w:type="dxa"/>
            <w:tcBorders>
              <w:top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120"/>
              <w:jc w:val="both"/>
              <w:rPr>
                <w:sz w:val="20"/>
                <w:szCs w:val="20"/>
              </w:rPr>
            </w:pPr>
            <w:r>
              <w:rPr>
                <w:sz w:val="20"/>
                <w:szCs w:val="20"/>
              </w:rPr>
              <w:t>Autor</w:t>
            </w:r>
          </w:p>
        </w:tc>
      </w:tr>
      <w:tr>
        <w:trPr>
          <w:trHeight w:val="840" w:hRule="atLeast"/>
        </w:trPr>
        <w:tc>
          <w:tcPr>
            <w:tcW w:w="2174"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120"/>
              <w:jc w:val="both"/>
              <w:rPr>
                <w:sz w:val="20"/>
                <w:szCs w:val="20"/>
              </w:rPr>
            </w:pPr>
            <w:r>
              <w:rPr>
                <w:sz w:val="20"/>
                <w:szCs w:val="20"/>
              </w:rPr>
              <w:t>27/04/2018</w:t>
            </w:r>
          </w:p>
        </w:tc>
        <w:tc>
          <w:tcPr>
            <w:tcW w:w="129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120"/>
              <w:jc w:val="both"/>
              <w:rPr>
                <w:sz w:val="20"/>
                <w:szCs w:val="20"/>
              </w:rPr>
            </w:pPr>
            <w:r>
              <w:rPr>
                <w:sz w:val="20"/>
                <w:szCs w:val="20"/>
              </w:rPr>
              <w:t>1.0</w:t>
            </w:r>
          </w:p>
        </w:tc>
        <w:tc>
          <w:tcPr>
            <w:tcW w:w="330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120"/>
              <w:jc w:val="both"/>
              <w:rPr>
                <w:sz w:val="20"/>
                <w:szCs w:val="20"/>
              </w:rPr>
            </w:pPr>
            <w:r>
              <w:rPr>
                <w:sz w:val="20"/>
                <w:szCs w:val="20"/>
              </w:rPr>
              <w:t>Versión preliminar.</w:t>
            </w:r>
          </w:p>
        </w:tc>
        <w:tc>
          <w:tcPr>
            <w:tcW w:w="210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120"/>
              <w:jc w:val="both"/>
              <w:rPr>
                <w:sz w:val="20"/>
                <w:szCs w:val="20"/>
              </w:rPr>
            </w:pPr>
            <w:r>
              <w:rPr>
                <w:sz w:val="20"/>
                <w:szCs w:val="20"/>
              </w:rPr>
              <w:t>Bryan Alferez</w:t>
            </w:r>
          </w:p>
        </w:tc>
      </w:tr>
      <w:tr>
        <w:trPr>
          <w:trHeight w:val="580" w:hRule="atLeast"/>
        </w:trPr>
        <w:tc>
          <w:tcPr>
            <w:tcW w:w="2174"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120"/>
              <w:jc w:val="both"/>
              <w:rPr>
                <w:b/>
                <w:b/>
                <w:sz w:val="36"/>
                <w:szCs w:val="36"/>
              </w:rPr>
            </w:pPr>
            <w:r>
              <w:rPr>
                <w:b/>
                <w:sz w:val="36"/>
                <w:szCs w:val="36"/>
              </w:rPr>
              <w:t xml:space="preserve"> </w:t>
            </w:r>
          </w:p>
        </w:tc>
        <w:tc>
          <w:tcPr>
            <w:tcW w:w="129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120"/>
              <w:jc w:val="both"/>
              <w:rPr>
                <w:b/>
                <w:b/>
                <w:sz w:val="36"/>
                <w:szCs w:val="36"/>
              </w:rPr>
            </w:pPr>
            <w:r>
              <w:rPr>
                <w:b/>
                <w:sz w:val="36"/>
                <w:szCs w:val="36"/>
              </w:rPr>
              <w:t xml:space="preserve"> </w:t>
            </w:r>
          </w:p>
        </w:tc>
        <w:tc>
          <w:tcPr>
            <w:tcW w:w="330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120"/>
              <w:jc w:val="both"/>
              <w:rPr>
                <w:b/>
                <w:b/>
                <w:sz w:val="36"/>
                <w:szCs w:val="36"/>
              </w:rPr>
            </w:pPr>
            <w:r>
              <w:rPr>
                <w:b/>
                <w:sz w:val="36"/>
                <w:szCs w:val="36"/>
              </w:rPr>
              <w:t xml:space="preserve"> </w:t>
            </w:r>
          </w:p>
        </w:tc>
        <w:tc>
          <w:tcPr>
            <w:tcW w:w="210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120"/>
              <w:jc w:val="both"/>
              <w:rPr>
                <w:b/>
                <w:b/>
                <w:sz w:val="36"/>
                <w:szCs w:val="36"/>
              </w:rPr>
            </w:pPr>
            <w:r>
              <w:rPr>
                <w:b/>
                <w:sz w:val="36"/>
                <w:szCs w:val="36"/>
              </w:rPr>
              <w:t xml:space="preserve"> </w:t>
            </w:r>
          </w:p>
        </w:tc>
      </w:tr>
      <w:tr>
        <w:trPr>
          <w:trHeight w:val="580" w:hRule="atLeast"/>
        </w:trPr>
        <w:tc>
          <w:tcPr>
            <w:tcW w:w="2174"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120"/>
              <w:jc w:val="both"/>
              <w:rPr>
                <w:b/>
                <w:b/>
                <w:sz w:val="36"/>
                <w:szCs w:val="36"/>
              </w:rPr>
            </w:pPr>
            <w:r>
              <w:rPr>
                <w:b/>
                <w:sz w:val="36"/>
                <w:szCs w:val="36"/>
              </w:rPr>
              <w:t xml:space="preserve"> </w:t>
            </w:r>
          </w:p>
        </w:tc>
        <w:tc>
          <w:tcPr>
            <w:tcW w:w="129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120"/>
              <w:jc w:val="both"/>
              <w:rPr>
                <w:b/>
                <w:b/>
                <w:sz w:val="36"/>
                <w:szCs w:val="36"/>
              </w:rPr>
            </w:pPr>
            <w:r>
              <w:rPr>
                <w:b/>
                <w:sz w:val="36"/>
                <w:szCs w:val="36"/>
              </w:rPr>
              <w:t xml:space="preserve"> </w:t>
            </w:r>
          </w:p>
        </w:tc>
        <w:tc>
          <w:tcPr>
            <w:tcW w:w="330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120"/>
              <w:jc w:val="both"/>
              <w:rPr>
                <w:b/>
                <w:b/>
                <w:sz w:val="36"/>
                <w:szCs w:val="36"/>
              </w:rPr>
            </w:pPr>
            <w:r>
              <w:rPr>
                <w:b/>
                <w:sz w:val="36"/>
                <w:szCs w:val="36"/>
              </w:rPr>
              <w:t xml:space="preserve"> </w:t>
            </w:r>
          </w:p>
        </w:tc>
        <w:tc>
          <w:tcPr>
            <w:tcW w:w="210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120"/>
              <w:jc w:val="both"/>
              <w:rPr>
                <w:b/>
                <w:b/>
                <w:sz w:val="36"/>
                <w:szCs w:val="36"/>
              </w:rPr>
            </w:pPr>
            <w:r>
              <w:rPr>
                <w:b/>
                <w:sz w:val="36"/>
                <w:szCs w:val="36"/>
              </w:rPr>
              <w:t xml:space="preserve"> </w:t>
            </w:r>
          </w:p>
        </w:tc>
      </w:tr>
      <w:tr>
        <w:trPr>
          <w:trHeight w:val="580" w:hRule="atLeast"/>
        </w:trPr>
        <w:tc>
          <w:tcPr>
            <w:tcW w:w="2174"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120"/>
              <w:jc w:val="both"/>
              <w:rPr>
                <w:b/>
                <w:b/>
                <w:sz w:val="36"/>
                <w:szCs w:val="36"/>
              </w:rPr>
            </w:pPr>
            <w:r>
              <w:rPr>
                <w:b/>
                <w:sz w:val="36"/>
                <w:szCs w:val="36"/>
              </w:rPr>
              <w:t xml:space="preserve"> </w:t>
            </w:r>
          </w:p>
        </w:tc>
        <w:tc>
          <w:tcPr>
            <w:tcW w:w="129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120"/>
              <w:jc w:val="both"/>
              <w:rPr>
                <w:b/>
                <w:b/>
                <w:sz w:val="36"/>
                <w:szCs w:val="36"/>
              </w:rPr>
            </w:pPr>
            <w:r>
              <w:rPr>
                <w:b/>
                <w:sz w:val="36"/>
                <w:szCs w:val="36"/>
              </w:rPr>
              <w:t xml:space="preserve"> </w:t>
            </w:r>
          </w:p>
        </w:tc>
        <w:tc>
          <w:tcPr>
            <w:tcW w:w="330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120"/>
              <w:jc w:val="both"/>
              <w:rPr>
                <w:b/>
                <w:b/>
                <w:sz w:val="36"/>
                <w:szCs w:val="36"/>
              </w:rPr>
            </w:pPr>
            <w:r>
              <w:rPr>
                <w:b/>
                <w:sz w:val="36"/>
                <w:szCs w:val="36"/>
              </w:rPr>
              <w:t xml:space="preserve"> </w:t>
            </w:r>
          </w:p>
        </w:tc>
        <w:tc>
          <w:tcPr>
            <w:tcW w:w="210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120"/>
              <w:jc w:val="both"/>
              <w:rPr>
                <w:b/>
                <w:b/>
                <w:sz w:val="36"/>
                <w:szCs w:val="36"/>
              </w:rPr>
            </w:pPr>
            <w:r>
              <w:rPr>
                <w:b/>
                <w:sz w:val="36"/>
                <w:szCs w:val="36"/>
              </w:rPr>
              <w:t xml:space="preserve"> </w:t>
            </w:r>
          </w:p>
        </w:tc>
      </w:tr>
      <w:tr>
        <w:trPr>
          <w:trHeight w:val="580" w:hRule="atLeast"/>
        </w:trPr>
        <w:tc>
          <w:tcPr>
            <w:tcW w:w="2174"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120"/>
              <w:jc w:val="both"/>
              <w:rPr>
                <w:b/>
                <w:b/>
                <w:sz w:val="36"/>
                <w:szCs w:val="36"/>
              </w:rPr>
            </w:pPr>
            <w:r>
              <w:rPr>
                <w:b/>
                <w:sz w:val="36"/>
                <w:szCs w:val="36"/>
              </w:rPr>
              <w:t xml:space="preserve"> </w:t>
            </w:r>
          </w:p>
        </w:tc>
        <w:tc>
          <w:tcPr>
            <w:tcW w:w="129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120"/>
              <w:jc w:val="both"/>
              <w:rPr>
                <w:b/>
                <w:b/>
                <w:sz w:val="36"/>
                <w:szCs w:val="36"/>
              </w:rPr>
            </w:pPr>
            <w:r>
              <w:rPr>
                <w:b/>
                <w:sz w:val="36"/>
                <w:szCs w:val="36"/>
              </w:rPr>
              <w:t xml:space="preserve"> </w:t>
            </w:r>
          </w:p>
        </w:tc>
        <w:tc>
          <w:tcPr>
            <w:tcW w:w="330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120"/>
              <w:jc w:val="both"/>
              <w:rPr>
                <w:b/>
                <w:b/>
                <w:sz w:val="36"/>
                <w:szCs w:val="36"/>
              </w:rPr>
            </w:pPr>
            <w:r>
              <w:rPr>
                <w:b/>
                <w:sz w:val="36"/>
                <w:szCs w:val="36"/>
              </w:rPr>
              <w:t xml:space="preserve"> </w:t>
            </w:r>
          </w:p>
        </w:tc>
        <w:tc>
          <w:tcPr>
            <w:tcW w:w="210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120"/>
              <w:jc w:val="both"/>
              <w:rPr>
                <w:b/>
                <w:b/>
                <w:sz w:val="36"/>
                <w:szCs w:val="36"/>
              </w:rPr>
            </w:pPr>
            <w:r>
              <w:rPr>
                <w:b/>
                <w:sz w:val="36"/>
                <w:szCs w:val="36"/>
              </w:rPr>
              <w:t xml:space="preserve"> </w:t>
            </w:r>
          </w:p>
        </w:tc>
      </w:tr>
      <w:tr>
        <w:trPr>
          <w:trHeight w:val="580" w:hRule="atLeast"/>
        </w:trPr>
        <w:tc>
          <w:tcPr>
            <w:tcW w:w="2174"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120"/>
              <w:jc w:val="both"/>
              <w:rPr>
                <w:b/>
                <w:b/>
                <w:sz w:val="36"/>
                <w:szCs w:val="36"/>
              </w:rPr>
            </w:pPr>
            <w:r>
              <w:rPr>
                <w:b/>
                <w:sz w:val="36"/>
                <w:szCs w:val="36"/>
              </w:rPr>
              <w:t xml:space="preserve"> </w:t>
            </w:r>
          </w:p>
        </w:tc>
        <w:tc>
          <w:tcPr>
            <w:tcW w:w="129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120"/>
              <w:jc w:val="both"/>
              <w:rPr>
                <w:b/>
                <w:b/>
                <w:sz w:val="36"/>
                <w:szCs w:val="36"/>
              </w:rPr>
            </w:pPr>
            <w:r>
              <w:rPr>
                <w:b/>
                <w:sz w:val="36"/>
                <w:szCs w:val="36"/>
              </w:rPr>
              <w:t xml:space="preserve"> </w:t>
            </w:r>
          </w:p>
        </w:tc>
        <w:tc>
          <w:tcPr>
            <w:tcW w:w="330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120"/>
              <w:jc w:val="both"/>
              <w:rPr>
                <w:b/>
                <w:b/>
                <w:sz w:val="36"/>
                <w:szCs w:val="36"/>
              </w:rPr>
            </w:pPr>
            <w:r>
              <w:rPr>
                <w:b/>
                <w:sz w:val="36"/>
                <w:szCs w:val="36"/>
              </w:rPr>
              <w:t xml:space="preserve"> </w:t>
            </w:r>
          </w:p>
        </w:tc>
        <w:tc>
          <w:tcPr>
            <w:tcW w:w="210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120"/>
              <w:jc w:val="both"/>
              <w:rPr>
                <w:b/>
                <w:b/>
                <w:sz w:val="36"/>
                <w:szCs w:val="36"/>
              </w:rPr>
            </w:pPr>
            <w:r>
              <w:rPr>
                <w:b/>
                <w:sz w:val="36"/>
                <w:szCs w:val="36"/>
              </w:rPr>
              <w:t xml:space="preserve"> </w:t>
            </w:r>
          </w:p>
        </w:tc>
      </w:tr>
      <w:tr>
        <w:trPr>
          <w:trHeight w:val="580" w:hRule="atLeast"/>
        </w:trPr>
        <w:tc>
          <w:tcPr>
            <w:tcW w:w="2174"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120"/>
              <w:jc w:val="both"/>
              <w:rPr>
                <w:b/>
                <w:b/>
                <w:sz w:val="36"/>
                <w:szCs w:val="36"/>
              </w:rPr>
            </w:pPr>
            <w:r>
              <w:rPr>
                <w:b/>
                <w:sz w:val="36"/>
                <w:szCs w:val="36"/>
              </w:rPr>
              <w:t xml:space="preserve"> </w:t>
            </w:r>
          </w:p>
        </w:tc>
        <w:tc>
          <w:tcPr>
            <w:tcW w:w="129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120"/>
              <w:jc w:val="both"/>
              <w:rPr>
                <w:b/>
                <w:b/>
                <w:sz w:val="36"/>
                <w:szCs w:val="36"/>
              </w:rPr>
            </w:pPr>
            <w:r>
              <w:rPr>
                <w:b/>
                <w:sz w:val="36"/>
                <w:szCs w:val="36"/>
              </w:rPr>
              <w:t xml:space="preserve"> </w:t>
            </w:r>
          </w:p>
        </w:tc>
        <w:tc>
          <w:tcPr>
            <w:tcW w:w="330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120"/>
              <w:jc w:val="both"/>
              <w:rPr>
                <w:b/>
                <w:b/>
                <w:sz w:val="36"/>
                <w:szCs w:val="36"/>
              </w:rPr>
            </w:pPr>
            <w:r>
              <w:rPr>
                <w:b/>
                <w:sz w:val="36"/>
                <w:szCs w:val="36"/>
              </w:rPr>
              <w:t xml:space="preserve"> </w:t>
            </w:r>
          </w:p>
        </w:tc>
        <w:tc>
          <w:tcPr>
            <w:tcW w:w="210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120"/>
              <w:jc w:val="both"/>
              <w:rPr>
                <w:b/>
                <w:b/>
                <w:sz w:val="36"/>
                <w:szCs w:val="36"/>
              </w:rPr>
            </w:pPr>
            <w:r>
              <w:rPr>
                <w:b/>
                <w:sz w:val="36"/>
                <w:szCs w:val="36"/>
              </w:rPr>
              <w:t xml:space="preserve"> </w:t>
            </w:r>
          </w:p>
        </w:tc>
      </w:tr>
    </w:tbl>
    <w:p>
      <w:pPr>
        <w:pStyle w:val="Normal"/>
        <w:jc w:val="both"/>
        <w:rPr>
          <w:b/>
          <w:b/>
          <w:sz w:val="36"/>
          <w:szCs w:val="36"/>
        </w:rPr>
      </w:pPr>
      <w:r>
        <w:rPr>
          <w:b/>
          <w:sz w:val="36"/>
          <w:szCs w:val="36"/>
        </w:rPr>
        <w:t xml:space="preserve"> </w:t>
      </w:r>
    </w:p>
    <w:p>
      <w:pPr>
        <w:pStyle w:val="Normal"/>
        <w:jc w:val="right"/>
        <w:rPr>
          <w:b/>
          <w:b/>
          <w:sz w:val="36"/>
          <w:szCs w:val="36"/>
        </w:rPr>
      </w:pPr>
      <w:r>
        <w:rPr>
          <w:b/>
          <w:sz w:val="36"/>
          <w:szCs w:val="36"/>
        </w:rPr>
      </w:r>
    </w:p>
    <w:p>
      <w:pPr>
        <w:pStyle w:val="Normal"/>
        <w:jc w:val="right"/>
        <w:rPr>
          <w:b/>
          <w:b/>
          <w:sz w:val="36"/>
          <w:szCs w:val="36"/>
        </w:rPr>
      </w:pPr>
      <w:r>
        <w:rPr>
          <w:b/>
          <w:sz w:val="36"/>
          <w:szCs w:val="36"/>
        </w:rPr>
        <w:t xml:space="preserve"> </w:t>
      </w:r>
    </w:p>
    <w:p>
      <w:pPr>
        <w:pStyle w:val="Normal"/>
        <w:jc w:val="right"/>
        <w:rPr>
          <w:b/>
          <w:b/>
          <w:sz w:val="36"/>
          <w:szCs w:val="36"/>
        </w:rPr>
      </w:pPr>
      <w:r>
        <w:rPr>
          <w:b/>
          <w:sz w:val="36"/>
          <w:szCs w:val="36"/>
        </w:rPr>
      </w:r>
    </w:p>
    <w:p>
      <w:pPr>
        <w:pStyle w:val="Normal"/>
        <w:rPr/>
      </w:pPr>
      <w:r>
        <w:rPr/>
      </w:r>
      <w:r>
        <w:br w:type="page"/>
      </w:r>
    </w:p>
    <w:p>
      <w:pPr>
        <w:pStyle w:val="Normal"/>
        <w:jc w:val="right"/>
        <w:rPr>
          <w:b/>
          <w:b/>
          <w:sz w:val="36"/>
          <w:szCs w:val="36"/>
        </w:rPr>
      </w:pPr>
      <w:r>
        <w:rPr>
          <w:b/>
          <w:sz w:val="36"/>
          <w:szCs w:val="36"/>
        </w:rPr>
        <w:t>Tabla de Contenidos</w:t>
      </w:r>
    </w:p>
    <w:p>
      <w:pPr>
        <w:pStyle w:val="Normal"/>
        <w:numPr>
          <w:ilvl w:val="0"/>
          <w:numId w:val="1"/>
        </w:numPr>
        <w:spacing w:before="0" w:after="0"/>
        <w:contextualSpacing/>
        <w:rPr>
          <w:b/>
          <w:b/>
        </w:rPr>
      </w:pPr>
      <w:r>
        <w:rPr>
          <w:b/>
        </w:rPr>
        <w:t>Introducción</w:t>
      </w:r>
    </w:p>
    <w:p>
      <w:pPr>
        <w:pStyle w:val="Normal"/>
        <w:rPr>
          <w:b/>
          <w:b/>
        </w:rPr>
      </w:pPr>
      <w:r>
        <w:rPr>
          <w:b/>
        </w:rPr>
      </w:r>
    </w:p>
    <w:p>
      <w:pPr>
        <w:pStyle w:val="Normal"/>
        <w:numPr>
          <w:ilvl w:val="0"/>
          <w:numId w:val="1"/>
        </w:numPr>
        <w:spacing w:before="0" w:after="0"/>
        <w:contextualSpacing/>
        <w:rPr>
          <w:b/>
          <w:b/>
        </w:rPr>
      </w:pPr>
      <w:r>
        <w:rPr>
          <w:b/>
        </w:rPr>
        <w:t>Gestión de la SCM</w:t>
      </w:r>
    </w:p>
    <w:p>
      <w:pPr>
        <w:pStyle w:val="Normal"/>
        <w:numPr>
          <w:ilvl w:val="1"/>
          <w:numId w:val="1"/>
        </w:numPr>
        <w:spacing w:before="120" w:after="0"/>
        <w:contextualSpacing/>
        <w:rPr/>
      </w:pPr>
      <w:r>
        <w:rPr/>
        <w:t>Organización</w:t>
      </w:r>
    </w:p>
    <w:p>
      <w:pPr>
        <w:pStyle w:val="Normal"/>
        <w:numPr>
          <w:ilvl w:val="1"/>
          <w:numId w:val="1"/>
        </w:numPr>
        <w:spacing w:before="120" w:after="0"/>
        <w:contextualSpacing/>
        <w:rPr/>
      </w:pPr>
      <w:r>
        <w:rPr/>
        <w:t>Roles y responsabilidades</w:t>
      </w:r>
    </w:p>
    <w:p>
      <w:pPr>
        <w:pStyle w:val="Normal"/>
        <w:numPr>
          <w:ilvl w:val="1"/>
          <w:numId w:val="1"/>
        </w:numPr>
        <w:spacing w:before="120" w:after="0"/>
        <w:contextualSpacing/>
        <w:rPr/>
      </w:pPr>
      <w:r>
        <w:rPr/>
        <w:t>Políticas, Directrices y Procedimientos</w:t>
      </w:r>
    </w:p>
    <w:p>
      <w:pPr>
        <w:pStyle w:val="Normal"/>
        <w:numPr>
          <w:ilvl w:val="1"/>
          <w:numId w:val="1"/>
        </w:numPr>
        <w:spacing w:before="120" w:after="0"/>
        <w:contextualSpacing/>
        <w:rPr/>
      </w:pPr>
      <w:r>
        <w:rPr/>
        <w:t>Herramientas, entorno e Infraestructura</w:t>
      </w:r>
    </w:p>
    <w:p>
      <w:pPr>
        <w:pStyle w:val="Normal"/>
        <w:numPr>
          <w:ilvl w:val="1"/>
          <w:numId w:val="1"/>
        </w:numPr>
        <w:spacing w:before="120" w:after="0"/>
        <w:contextualSpacing/>
        <w:rPr/>
      </w:pPr>
      <w:r>
        <w:rPr/>
        <w:t>Calendario</w:t>
      </w:r>
    </w:p>
    <w:p>
      <w:pPr>
        <w:pStyle w:val="Normal"/>
        <w:spacing w:before="120" w:after="0"/>
        <w:ind w:left="720" w:hanging="0"/>
        <w:rPr/>
      </w:pPr>
      <w:r>
        <w:rPr/>
      </w:r>
    </w:p>
    <w:p>
      <w:pPr>
        <w:pStyle w:val="Normal"/>
        <w:numPr>
          <w:ilvl w:val="0"/>
          <w:numId w:val="1"/>
        </w:numPr>
        <w:spacing w:before="120" w:after="0"/>
        <w:contextualSpacing/>
        <w:rPr>
          <w:b/>
          <w:b/>
        </w:rPr>
      </w:pPr>
      <w:r>
        <w:rPr>
          <w:b/>
        </w:rPr>
        <w:t>Actividades de la SCM (04/05/18)</w:t>
      </w:r>
    </w:p>
    <w:p>
      <w:pPr>
        <w:pStyle w:val="Normal"/>
        <w:numPr>
          <w:ilvl w:val="1"/>
          <w:numId w:val="1"/>
        </w:numPr>
        <w:spacing w:before="120" w:after="0"/>
        <w:contextualSpacing/>
        <w:rPr>
          <w:b/>
          <w:b/>
        </w:rPr>
      </w:pPr>
      <w:r>
        <w:rPr>
          <w:b/>
        </w:rPr>
        <w:t>Identificación</w:t>
      </w:r>
    </w:p>
    <w:p>
      <w:pPr>
        <w:pStyle w:val="Normal"/>
        <w:numPr>
          <w:ilvl w:val="2"/>
          <w:numId w:val="1"/>
        </w:numPr>
        <w:spacing w:before="120" w:after="0"/>
        <w:contextualSpacing/>
        <w:rPr/>
      </w:pPr>
      <w:r>
        <w:rPr/>
        <w:t>Lista de clasificación de CI</w:t>
      </w:r>
    </w:p>
    <w:p>
      <w:pPr>
        <w:pStyle w:val="Normal"/>
        <w:numPr>
          <w:ilvl w:val="2"/>
          <w:numId w:val="1"/>
        </w:numPr>
        <w:spacing w:before="120" w:after="0"/>
        <w:contextualSpacing/>
        <w:rPr/>
      </w:pPr>
      <w:r>
        <w:rPr/>
        <w:t>Definición de la Nomenclatura de ítem</w:t>
      </w:r>
    </w:p>
    <w:p>
      <w:pPr>
        <w:pStyle w:val="Normal"/>
        <w:numPr>
          <w:ilvl w:val="2"/>
          <w:numId w:val="1"/>
        </w:numPr>
        <w:spacing w:before="120" w:after="0"/>
        <w:contextualSpacing/>
        <w:rPr/>
      </w:pPr>
      <w:r>
        <w:rPr/>
        <w:t>Lista de ítem con la nomenclatura</w:t>
      </w:r>
    </w:p>
    <w:p>
      <w:pPr>
        <w:pStyle w:val="Normal"/>
        <w:numPr>
          <w:ilvl w:val="1"/>
          <w:numId w:val="1"/>
        </w:numPr>
        <w:spacing w:before="120" w:after="0"/>
        <w:contextualSpacing/>
        <w:rPr>
          <w:b/>
          <w:b/>
        </w:rPr>
      </w:pPr>
      <w:r>
        <w:rPr>
          <w:b/>
        </w:rPr>
        <w:t>Control</w:t>
      </w:r>
    </w:p>
    <w:p>
      <w:pPr>
        <w:pStyle w:val="Normal"/>
        <w:numPr>
          <w:ilvl w:val="2"/>
          <w:numId w:val="1"/>
        </w:numPr>
        <w:spacing w:before="120" w:after="0"/>
        <w:contextualSpacing/>
        <w:rPr/>
      </w:pPr>
      <w:r>
        <w:rPr/>
        <w:t>Definición de Líneas Base</w:t>
      </w:r>
    </w:p>
    <w:p>
      <w:pPr>
        <w:pStyle w:val="Normal"/>
        <w:numPr>
          <w:ilvl w:val="2"/>
          <w:numId w:val="1"/>
        </w:numPr>
        <w:spacing w:before="120" w:after="0"/>
        <w:contextualSpacing/>
        <w:rPr/>
      </w:pPr>
      <w:r>
        <w:rPr/>
        <w:t>Definición de la estructura de las librerías</w:t>
      </w:r>
    </w:p>
    <w:p>
      <w:pPr>
        <w:pStyle w:val="Normal"/>
        <w:numPr>
          <w:ilvl w:val="2"/>
          <w:numId w:val="1"/>
        </w:numPr>
        <w:spacing w:before="120" w:after="0"/>
        <w:contextualSpacing/>
        <w:rPr/>
      </w:pPr>
      <w:r>
        <w:rPr/>
        <w:t>Ejemplos de Formatos de solicitudes de Cambio (1c/u)</w:t>
      </w:r>
    </w:p>
    <w:p>
      <w:pPr>
        <w:pStyle w:val="Normal"/>
        <w:numPr>
          <w:ilvl w:val="2"/>
          <w:numId w:val="1"/>
        </w:numPr>
        <w:spacing w:before="120" w:after="0"/>
        <w:contextualSpacing/>
        <w:rPr/>
      </w:pPr>
      <w:r>
        <w:rPr/>
        <w:t>Plan de Gestión de Cambios</w:t>
      </w:r>
    </w:p>
    <w:p>
      <w:pPr>
        <w:pStyle w:val="Normal"/>
        <w:numPr>
          <w:ilvl w:val="1"/>
          <w:numId w:val="1"/>
        </w:numPr>
        <w:spacing w:before="120" w:after="0"/>
        <w:contextualSpacing/>
        <w:rPr>
          <w:b/>
          <w:b/>
        </w:rPr>
      </w:pPr>
      <w:r>
        <w:rPr>
          <w:b/>
        </w:rPr>
        <w:t>Estado</w:t>
      </w:r>
    </w:p>
    <w:p>
      <w:pPr>
        <w:pStyle w:val="Normal"/>
        <w:numPr>
          <w:ilvl w:val="2"/>
          <w:numId w:val="1"/>
        </w:numPr>
        <w:spacing w:before="120" w:after="0"/>
        <w:contextualSpacing/>
        <w:rPr/>
      </w:pPr>
      <w:r>
        <w:rPr/>
        <w:t>Definición de Reportes para el Estado( Gestor - 6)</w:t>
      </w:r>
    </w:p>
    <w:p>
      <w:pPr>
        <w:pStyle w:val="Normal"/>
        <w:numPr>
          <w:ilvl w:val="2"/>
          <w:numId w:val="1"/>
        </w:numPr>
        <w:spacing w:before="120" w:after="0"/>
        <w:contextualSpacing/>
        <w:rPr/>
      </w:pPr>
      <w:r>
        <w:rPr/>
        <w:t>Definición de Reportes para el Estado( Jefe de PY - 4 )</w:t>
      </w:r>
    </w:p>
    <w:p>
      <w:pPr>
        <w:pStyle w:val="Normal"/>
        <w:numPr>
          <w:ilvl w:val="2"/>
          <w:numId w:val="1"/>
        </w:numPr>
        <w:spacing w:before="120" w:after="0"/>
        <w:contextualSpacing/>
        <w:rPr/>
      </w:pPr>
      <w:r>
        <w:rPr/>
        <w:t>Definición de Reportes para el Estado( Desarrollador- 3 )</w:t>
      </w:r>
    </w:p>
    <w:p>
      <w:pPr>
        <w:pStyle w:val="Normal"/>
        <w:numPr>
          <w:ilvl w:val="1"/>
          <w:numId w:val="1"/>
        </w:numPr>
        <w:spacing w:before="120" w:after="0"/>
        <w:contextualSpacing/>
        <w:rPr>
          <w:b/>
          <w:b/>
        </w:rPr>
      </w:pPr>
      <w:r>
        <w:rPr>
          <w:b/>
        </w:rPr>
        <w:t>Auditoría</w:t>
      </w:r>
    </w:p>
    <w:p>
      <w:pPr>
        <w:pStyle w:val="Normal"/>
        <w:numPr>
          <w:ilvl w:val="2"/>
          <w:numId w:val="1"/>
        </w:numPr>
        <w:spacing w:before="120" w:after="0"/>
        <w:contextualSpacing/>
        <w:rPr/>
      </w:pPr>
      <w:r>
        <w:rPr/>
        <w:t>Reportes de Auditorias (10)</w:t>
      </w:r>
    </w:p>
    <w:p>
      <w:pPr>
        <w:pStyle w:val="Normal"/>
        <w:numPr>
          <w:ilvl w:val="1"/>
          <w:numId w:val="1"/>
        </w:numPr>
        <w:spacing w:before="120" w:after="0"/>
        <w:contextualSpacing/>
        <w:rPr>
          <w:b/>
          <w:b/>
        </w:rPr>
      </w:pPr>
      <w:r>
        <w:rPr>
          <w:b/>
        </w:rPr>
        <w:t>Entrega y Gestión de Release</w:t>
      </w:r>
    </w:p>
    <w:p>
      <w:pPr>
        <w:pStyle w:val="Normal"/>
        <w:rPr/>
      </w:pPr>
      <w:r>
        <w:rPr/>
      </w:r>
      <w:r>
        <w:br w:type="page"/>
      </w:r>
    </w:p>
    <w:p>
      <w:pPr>
        <w:pStyle w:val="Normal"/>
        <w:numPr>
          <w:ilvl w:val="0"/>
          <w:numId w:val="2"/>
        </w:numPr>
        <w:spacing w:before="0" w:after="0"/>
        <w:contextualSpacing/>
        <w:rPr>
          <w:b/>
          <w:b/>
          <w:sz w:val="28"/>
          <w:szCs w:val="28"/>
        </w:rPr>
      </w:pPr>
      <w:r>
        <w:rPr>
          <w:b/>
          <w:sz w:val="28"/>
          <w:szCs w:val="28"/>
        </w:rPr>
        <w:t>Introducción</w:t>
      </w:r>
    </w:p>
    <w:p>
      <w:pPr>
        <w:pStyle w:val="Normal"/>
        <w:ind w:left="720" w:hanging="0"/>
        <w:rPr/>
      </w:pPr>
      <w:r>
        <w:rPr/>
      </w:r>
    </w:p>
    <w:p>
      <w:pPr>
        <w:pStyle w:val="Normal"/>
        <w:ind w:left="720" w:firstLine="720"/>
        <w:rPr/>
      </w:pPr>
      <w:r>
        <w:rPr/>
        <w:t>Este documento tiene como propósito definir las actividades de gestión de configuración de software que se llevarán a cabo durante todo el proceso de desarrollo de los proyectos de la organización StackCode.</w:t>
      </w:r>
    </w:p>
    <w:p>
      <w:pPr>
        <w:pStyle w:val="Normal"/>
        <w:ind w:left="720" w:firstLine="720"/>
        <w:rPr/>
      </w:pPr>
      <w:r>
        <w:rPr/>
        <w:t>El objetivo de este documento será de mantener bajo control los cambios en la configuración mediante el manejo de versiones, ramas, roles y responsabilidades, políticas, herramientas y actividades de control de cambios, etc.</w:t>
      </w:r>
    </w:p>
    <w:p>
      <w:pPr>
        <w:pStyle w:val="Normal"/>
        <w:ind w:left="720" w:hanging="0"/>
        <w:rPr>
          <w:u w:val="none"/>
        </w:rPr>
      </w:pPr>
      <w:r>
        <w:rPr/>
        <w:tab/>
      </w:r>
    </w:p>
    <w:p>
      <w:pPr>
        <w:pStyle w:val="Normal"/>
        <w:numPr>
          <w:ilvl w:val="0"/>
          <w:numId w:val="2"/>
        </w:numPr>
        <w:spacing w:before="0" w:after="0"/>
        <w:contextualSpacing/>
        <w:rPr>
          <w:b/>
          <w:b/>
          <w:sz w:val="28"/>
          <w:szCs w:val="28"/>
        </w:rPr>
      </w:pPr>
      <w:r>
        <w:rPr>
          <w:b/>
          <w:sz w:val="28"/>
          <w:szCs w:val="28"/>
        </w:rPr>
        <w:t>Gestión de la SCM</w:t>
      </w:r>
    </w:p>
    <w:p>
      <w:pPr>
        <w:pStyle w:val="Normal"/>
        <w:spacing w:before="120" w:after="0"/>
        <w:ind w:left="1440" w:hanging="0"/>
        <w:contextualSpacing/>
        <w:rPr>
          <w:b/>
          <w:b/>
          <w:sz w:val="24"/>
          <w:szCs w:val="24"/>
        </w:rPr>
      </w:pPr>
      <w:r>
        <w:rPr>
          <w:b/>
          <w:sz w:val="24"/>
          <w:szCs w:val="24"/>
        </w:rPr>
      </w:r>
    </w:p>
    <w:p>
      <w:pPr>
        <w:pStyle w:val="Normal"/>
        <w:numPr>
          <w:ilvl w:val="1"/>
          <w:numId w:val="2"/>
        </w:numPr>
        <w:spacing w:before="120" w:after="0"/>
        <w:contextualSpacing/>
        <w:rPr>
          <w:b/>
          <w:b/>
          <w:sz w:val="24"/>
          <w:szCs w:val="24"/>
        </w:rPr>
      </w:pPr>
      <w:r>
        <w:rPr>
          <w:b/>
          <w:sz w:val="24"/>
          <w:szCs w:val="24"/>
        </w:rPr>
        <w:t>Organización</w:t>
      </w:r>
    </w:p>
    <w:p>
      <w:pPr>
        <w:pStyle w:val="Normal"/>
        <w:spacing w:before="120" w:after="0"/>
        <w:ind w:left="1440" w:hanging="0"/>
        <w:rPr/>
      </w:pPr>
      <w:r>
        <w:rPr/>
      </w:r>
    </w:p>
    <w:p>
      <w:pPr>
        <w:pStyle w:val="Normal"/>
        <w:spacing w:before="120" w:after="0"/>
        <w:contextualSpacing/>
        <w:rPr>
          <w:b/>
          <w:b/>
          <w:sz w:val="24"/>
          <w:szCs w:val="24"/>
        </w:rPr>
      </w:pPr>
      <w:r>
        <w:rPr/>
        <w:drawing>
          <wp:anchor behindDoc="0" distT="0" distB="0" distL="0" distR="0" simplePos="0" locked="0" layoutInCell="1" allowOverlap="1" relativeHeight="3">
            <wp:simplePos x="0" y="0"/>
            <wp:positionH relativeFrom="column">
              <wp:posOffset>-419100</wp:posOffset>
            </wp:positionH>
            <wp:positionV relativeFrom="paragraph">
              <wp:posOffset>34925</wp:posOffset>
            </wp:positionV>
            <wp:extent cx="6909435" cy="5181600"/>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909435" cy="5181600"/>
                    </a:xfrm>
                    <a:prstGeom prst="rect">
                      <a:avLst/>
                    </a:prstGeom>
                  </pic:spPr>
                </pic:pic>
              </a:graphicData>
            </a:graphic>
          </wp:anchor>
        </w:drawing>
      </w:r>
    </w:p>
    <w:p>
      <w:pPr>
        <w:pStyle w:val="Normal"/>
        <w:spacing w:before="120" w:after="0"/>
        <w:contextualSpacing/>
        <w:rPr>
          <w:b/>
          <w:b/>
          <w:sz w:val="24"/>
          <w:szCs w:val="24"/>
        </w:rPr>
      </w:pPr>
      <w:r>
        <w:rPr/>
      </w:r>
    </w:p>
    <w:p>
      <w:pPr>
        <w:pStyle w:val="Normal"/>
        <w:spacing w:before="120" w:after="0"/>
        <w:contextualSpacing/>
        <w:rPr>
          <w:b/>
          <w:b/>
          <w:sz w:val="24"/>
          <w:szCs w:val="24"/>
        </w:rPr>
      </w:pPr>
      <w:r>
        <w:rPr/>
      </w:r>
    </w:p>
    <w:p>
      <w:pPr>
        <w:pStyle w:val="Normal"/>
        <w:numPr>
          <w:ilvl w:val="1"/>
          <w:numId w:val="2"/>
        </w:numPr>
        <w:spacing w:before="120" w:after="0"/>
        <w:contextualSpacing/>
        <w:rPr>
          <w:b/>
          <w:b/>
        </w:rPr>
      </w:pPr>
      <w:r>
        <w:rPr>
          <w:b/>
          <w:sz w:val="24"/>
          <w:szCs w:val="24"/>
        </w:rPr>
        <w:t>Roles y responsabilidades</w:t>
      </w:r>
    </w:p>
    <w:p>
      <w:pPr>
        <w:pStyle w:val="Normal"/>
        <w:spacing w:lineRule="auto" w:line="240"/>
        <w:ind w:left="360" w:hanging="0"/>
        <w:rPr>
          <w:rFonts w:ascii="Times New Roman" w:hAnsi="Times New Roman" w:eastAsia="Times New Roman" w:cs="Times New Roman"/>
          <w:sz w:val="24"/>
          <w:szCs w:val="24"/>
        </w:rPr>
      </w:pPr>
      <w:bookmarkStart w:id="0" w:name="_GoBack"/>
      <w:bookmarkStart w:id="1" w:name="_GoBack"/>
      <w:bookmarkEnd w:id="1"/>
      <w:r>
        <w:rPr>
          <w:rFonts w:eastAsia="Times New Roman" w:cs="Times New Roman" w:ascii="Times New Roman" w:hAnsi="Times New Roman"/>
          <w:sz w:val="24"/>
          <w:szCs w:val="24"/>
        </w:rPr>
      </w:r>
    </w:p>
    <w:tbl>
      <w:tblPr>
        <w:tblW w:w="8420" w:type="dxa"/>
        <w:jc w:val="left"/>
        <w:tblInd w:w="89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noVBand="1" w:noHBand="0" w:lastColumn="0" w:firstColumn="1" w:lastRow="0" w:firstRow="1"/>
      </w:tblPr>
      <w:tblGrid>
        <w:gridCol w:w="1679"/>
        <w:gridCol w:w="6740"/>
      </w:tblGrid>
      <w:tr>
        <w:trPr/>
        <w:tc>
          <w:tcPr>
            <w:tcW w:w="1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rFonts w:ascii="Times New Roman" w:hAnsi="Times New Roman" w:eastAsia="Times New Roman" w:cs="Times New Roman"/>
                <w:sz w:val="24"/>
                <w:szCs w:val="24"/>
              </w:rPr>
            </w:pPr>
            <w:r>
              <w:rPr>
                <w:rFonts w:eastAsia="Times New Roman"/>
                <w:color w:val="000000"/>
              </w:rPr>
              <w:t>Roles</w:t>
            </w:r>
          </w:p>
        </w:tc>
        <w:tc>
          <w:tcPr>
            <w:tcW w:w="6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rFonts w:ascii="Times New Roman" w:hAnsi="Times New Roman" w:eastAsia="Times New Roman" w:cs="Times New Roman"/>
                <w:sz w:val="24"/>
                <w:szCs w:val="24"/>
              </w:rPr>
            </w:pPr>
            <w:r>
              <w:rPr>
                <w:rFonts w:eastAsia="Times New Roman"/>
                <w:color w:val="000000"/>
              </w:rPr>
              <w:t>Responsabilidades</w:t>
            </w:r>
          </w:p>
        </w:tc>
      </w:tr>
      <w:tr>
        <w:trPr/>
        <w:tc>
          <w:tcPr>
            <w:tcW w:w="1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rFonts w:ascii="Times New Roman" w:hAnsi="Times New Roman" w:eastAsia="Times New Roman" w:cs="Times New Roman"/>
                <w:sz w:val="24"/>
                <w:szCs w:val="24"/>
              </w:rPr>
            </w:pPr>
            <w:r>
              <w:rPr>
                <w:rFonts w:eastAsia="Times New Roman"/>
                <w:color w:val="000000"/>
              </w:rPr>
              <w:t>Gerente General</w:t>
            </w:r>
          </w:p>
        </w:tc>
        <w:tc>
          <w:tcPr>
            <w:tcW w:w="6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rFonts w:ascii="Times New Roman" w:hAnsi="Times New Roman" w:eastAsia="Times New Roman" w:cs="Times New Roman"/>
                <w:sz w:val="24"/>
                <w:szCs w:val="24"/>
              </w:rPr>
            </w:pPr>
            <w:r>
              <w:rPr>
                <w:rFonts w:eastAsia="Times New Roman"/>
                <w:color w:val="000000"/>
              </w:rPr>
              <w:t>Establecer un control de cambios para los proyectos de acuerdo a las políticas de la organización.</w:t>
            </w:r>
          </w:p>
          <w:p>
            <w:pPr>
              <w:pStyle w:val="Normal"/>
              <w:spacing w:lineRule="auto" w:line="240"/>
              <w:rPr>
                <w:rFonts w:ascii="Times New Roman" w:hAnsi="Times New Roman" w:eastAsia="Times New Roman" w:cs="Times New Roman"/>
                <w:sz w:val="24"/>
                <w:szCs w:val="24"/>
              </w:rPr>
            </w:pPr>
            <w:r>
              <w:rPr>
                <w:rFonts w:eastAsia="Times New Roman"/>
                <w:color w:val="000000"/>
              </w:rPr>
              <w:t>Monitorear actividades de SCM.</w:t>
            </w:r>
          </w:p>
          <w:p>
            <w:pPr>
              <w:pStyle w:val="Normal"/>
              <w:spacing w:lineRule="auto" w:line="240"/>
              <w:rPr>
                <w:rFonts w:ascii="Times New Roman" w:hAnsi="Times New Roman" w:eastAsia="Times New Roman" w:cs="Times New Roman"/>
                <w:sz w:val="24"/>
                <w:szCs w:val="24"/>
              </w:rPr>
            </w:pPr>
            <w:r>
              <w:rPr>
                <w:rFonts w:eastAsia="Times New Roman"/>
                <w:color w:val="000000"/>
              </w:rPr>
              <w:t>Resolver conflictos.</w:t>
            </w:r>
          </w:p>
        </w:tc>
      </w:tr>
      <w:tr>
        <w:trPr/>
        <w:tc>
          <w:tcPr>
            <w:tcW w:w="1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rFonts w:ascii="Times New Roman" w:hAnsi="Times New Roman" w:eastAsia="Times New Roman" w:cs="Times New Roman"/>
                <w:sz w:val="24"/>
                <w:szCs w:val="24"/>
              </w:rPr>
            </w:pPr>
            <w:r>
              <w:rPr>
                <w:rFonts w:eastAsia="Times New Roman"/>
                <w:color w:val="000000"/>
              </w:rPr>
              <w:t>Jefes de proyectos</w:t>
            </w:r>
          </w:p>
        </w:tc>
        <w:tc>
          <w:tcPr>
            <w:tcW w:w="6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rFonts w:ascii="Times New Roman" w:hAnsi="Times New Roman" w:eastAsia="Times New Roman" w:cs="Times New Roman"/>
                <w:sz w:val="24"/>
                <w:szCs w:val="24"/>
              </w:rPr>
            </w:pPr>
            <w:r>
              <w:rPr>
                <w:rFonts w:eastAsia="Times New Roman"/>
                <w:color w:val="000000"/>
              </w:rPr>
              <w:t>Supervisar el funcionamiento de la Gestión de la Configuración</w:t>
            </w:r>
          </w:p>
        </w:tc>
      </w:tr>
      <w:tr>
        <w:trPr/>
        <w:tc>
          <w:tcPr>
            <w:tcW w:w="1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rFonts w:ascii="Times New Roman" w:hAnsi="Times New Roman" w:eastAsia="Times New Roman" w:cs="Times New Roman"/>
                <w:sz w:val="24"/>
                <w:szCs w:val="24"/>
              </w:rPr>
            </w:pPr>
            <w:r>
              <w:rPr>
                <w:rFonts w:eastAsia="Times New Roman"/>
                <w:color w:val="000000"/>
              </w:rPr>
              <w:t>Contratista/ Vendedor</w:t>
            </w:r>
          </w:p>
        </w:tc>
        <w:tc>
          <w:tcPr>
            <w:tcW w:w="6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rFonts w:ascii="Times New Roman" w:hAnsi="Times New Roman" w:eastAsia="Times New Roman" w:cs="Times New Roman"/>
                <w:sz w:val="24"/>
                <w:szCs w:val="24"/>
              </w:rPr>
            </w:pPr>
            <w:r>
              <w:rPr>
                <w:rFonts w:eastAsia="Times New Roman"/>
                <w:color w:val="000000"/>
              </w:rPr>
              <w:t>Identifica los IC y las actualizaciones del CI, los envía a CMB.</w:t>
            </w:r>
          </w:p>
          <w:p>
            <w:pPr>
              <w:pStyle w:val="Normal"/>
              <w:spacing w:lineRule="auto" w:line="240"/>
              <w:rPr>
                <w:rFonts w:ascii="Times New Roman" w:hAnsi="Times New Roman" w:eastAsia="Times New Roman" w:cs="Times New Roman"/>
                <w:sz w:val="24"/>
                <w:szCs w:val="24"/>
              </w:rPr>
            </w:pPr>
            <w:r>
              <w:rPr>
                <w:rFonts w:eastAsia="Times New Roman"/>
                <w:color w:val="000000"/>
              </w:rPr>
              <w:t>Participa en el proceso de control de configuraciones.</w:t>
            </w:r>
          </w:p>
          <w:p>
            <w:pPr>
              <w:pStyle w:val="Normal"/>
              <w:spacing w:lineRule="auto" w:line="240"/>
              <w:rPr>
                <w:rFonts w:ascii="Times New Roman" w:hAnsi="Times New Roman" w:eastAsia="Times New Roman" w:cs="Times New Roman"/>
                <w:sz w:val="24"/>
                <w:szCs w:val="24"/>
              </w:rPr>
            </w:pPr>
            <w:r>
              <w:rPr>
                <w:rFonts w:eastAsia="Times New Roman"/>
                <w:color w:val="000000"/>
              </w:rPr>
              <w:t>Cumple con los requisitos de CMP</w:t>
            </w:r>
          </w:p>
        </w:tc>
      </w:tr>
      <w:tr>
        <w:trPr>
          <w:trHeight w:val="520" w:hRule="atLeast"/>
        </w:trPr>
        <w:tc>
          <w:tcPr>
            <w:tcW w:w="1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rFonts w:ascii="Times New Roman" w:hAnsi="Times New Roman" w:eastAsia="Times New Roman" w:cs="Times New Roman"/>
                <w:sz w:val="24"/>
                <w:szCs w:val="24"/>
              </w:rPr>
            </w:pPr>
            <w:r>
              <w:rPr>
                <w:rFonts w:eastAsia="Times New Roman"/>
                <w:color w:val="000000"/>
              </w:rPr>
              <w:t>Bibliotecario</w:t>
            </w:r>
          </w:p>
        </w:tc>
        <w:tc>
          <w:tcPr>
            <w:tcW w:w="6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rFonts w:ascii="Times New Roman" w:hAnsi="Times New Roman" w:eastAsia="Times New Roman" w:cs="Times New Roman"/>
                <w:sz w:val="24"/>
                <w:szCs w:val="24"/>
              </w:rPr>
            </w:pPr>
            <w:r>
              <w:rPr>
                <w:rFonts w:eastAsia="Times New Roman"/>
                <w:color w:val="000000"/>
              </w:rPr>
              <w:t>Mantine código controlado, documentación y requisitos.</w:t>
            </w:r>
          </w:p>
          <w:p>
            <w:pPr>
              <w:pStyle w:val="Normal"/>
              <w:spacing w:lineRule="auto" w:line="240"/>
              <w:rPr>
                <w:rFonts w:ascii="Times New Roman" w:hAnsi="Times New Roman" w:eastAsia="Times New Roman" w:cs="Times New Roman"/>
                <w:sz w:val="24"/>
                <w:szCs w:val="24"/>
              </w:rPr>
            </w:pPr>
            <w:r>
              <w:rPr>
                <w:rFonts w:eastAsia="Times New Roman"/>
                <w:color w:val="000000"/>
              </w:rPr>
              <w:t>Mantiene copias de la documentación del sistema.</w:t>
            </w:r>
          </w:p>
          <w:p>
            <w:pPr>
              <w:pStyle w:val="Normal"/>
              <w:spacing w:lineRule="auto" w:line="240"/>
              <w:rPr>
                <w:rFonts w:ascii="Times New Roman" w:hAnsi="Times New Roman" w:eastAsia="Times New Roman" w:cs="Times New Roman"/>
                <w:sz w:val="24"/>
                <w:szCs w:val="24"/>
              </w:rPr>
            </w:pPr>
            <w:r>
              <w:rPr>
                <w:rFonts w:eastAsia="Times New Roman"/>
                <w:color w:val="000000"/>
              </w:rPr>
              <w:t>Organiza lanzamientos del sistema junto con CM representante.</w:t>
            </w:r>
          </w:p>
          <w:p>
            <w:pPr>
              <w:pStyle w:val="Normal"/>
              <w:spacing w:lineRule="auto" w:line="240"/>
              <w:rPr>
                <w:rFonts w:ascii="Times New Roman" w:hAnsi="Times New Roman" w:eastAsia="Times New Roman" w:cs="Times New Roman"/>
                <w:sz w:val="24"/>
                <w:szCs w:val="24"/>
              </w:rPr>
            </w:pPr>
            <w:r>
              <w:rPr>
                <w:rFonts w:eastAsia="Times New Roman"/>
                <w:color w:val="000000"/>
              </w:rPr>
              <w:t>Mantiene listas de distribución para cambios/ publicaciones de documentos informados</w:t>
            </w:r>
          </w:p>
        </w:tc>
      </w:tr>
      <w:tr>
        <w:trPr>
          <w:trHeight w:val="460" w:hRule="atLeast"/>
        </w:trPr>
        <w:tc>
          <w:tcPr>
            <w:tcW w:w="1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rFonts w:ascii="Times New Roman" w:hAnsi="Times New Roman" w:eastAsia="Times New Roman" w:cs="Times New Roman"/>
                <w:sz w:val="24"/>
                <w:szCs w:val="24"/>
              </w:rPr>
            </w:pPr>
            <w:r>
              <w:rPr>
                <w:rFonts w:eastAsia="Times New Roman"/>
                <w:color w:val="000000"/>
              </w:rPr>
              <w:t>Equipo de Desarrollo</w:t>
            </w:r>
          </w:p>
        </w:tc>
        <w:tc>
          <w:tcPr>
            <w:tcW w:w="6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rFonts w:ascii="Times New Roman" w:hAnsi="Times New Roman" w:eastAsia="Times New Roman" w:cs="Times New Roman"/>
                <w:sz w:val="24"/>
                <w:szCs w:val="24"/>
              </w:rPr>
            </w:pPr>
            <w:r>
              <w:rPr>
                <w:rFonts w:eastAsia="Times New Roman"/>
                <w:color w:val="000000"/>
              </w:rPr>
              <w:t>Aborda diversos aspectos del desarrollo, incluidos documentos, código, entrenamiento, COTS y hardware.</w:t>
            </w:r>
          </w:p>
          <w:p>
            <w:pPr>
              <w:pStyle w:val="Normal"/>
              <w:spacing w:lineRule="auto" w:line="240"/>
              <w:rPr>
                <w:rFonts w:ascii="Times New Roman" w:hAnsi="Times New Roman" w:eastAsia="Times New Roman" w:cs="Times New Roman"/>
                <w:sz w:val="24"/>
                <w:szCs w:val="24"/>
              </w:rPr>
            </w:pPr>
            <w:r>
              <w:rPr>
                <w:rFonts w:eastAsia="Times New Roman"/>
                <w:color w:val="000000"/>
              </w:rPr>
              <w:t>Identifica las actualizaciones y modificaciones de CIs y CI, envía actualizaciones de línea base.</w:t>
            </w:r>
          </w:p>
          <w:p>
            <w:pPr>
              <w:pStyle w:val="Normal"/>
              <w:spacing w:lineRule="auto" w:line="240"/>
              <w:rPr>
                <w:rFonts w:ascii="Times New Roman" w:hAnsi="Times New Roman" w:eastAsia="Times New Roman" w:cs="Times New Roman"/>
                <w:sz w:val="24"/>
                <w:szCs w:val="24"/>
              </w:rPr>
            </w:pPr>
            <w:r>
              <w:rPr>
                <w:rFonts w:eastAsia="Times New Roman"/>
                <w:color w:val="000000"/>
              </w:rPr>
              <w:t>Participa en el proceso de control de configuraciones</w:t>
            </w:r>
          </w:p>
        </w:tc>
      </w:tr>
      <w:tr>
        <w:trPr/>
        <w:tc>
          <w:tcPr>
            <w:tcW w:w="1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rFonts w:ascii="Times New Roman" w:hAnsi="Times New Roman" w:eastAsia="Times New Roman" w:cs="Times New Roman"/>
                <w:sz w:val="24"/>
                <w:szCs w:val="24"/>
              </w:rPr>
            </w:pPr>
            <w:r>
              <w:rPr>
                <w:rFonts w:eastAsia="Times New Roman"/>
                <w:color w:val="000000"/>
              </w:rPr>
              <w:t>Gestor de Configuración</w:t>
            </w:r>
          </w:p>
        </w:tc>
        <w:tc>
          <w:tcPr>
            <w:tcW w:w="6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rFonts w:ascii="Times New Roman" w:hAnsi="Times New Roman" w:eastAsia="Times New Roman" w:cs="Times New Roman"/>
                <w:sz w:val="24"/>
                <w:szCs w:val="24"/>
              </w:rPr>
            </w:pPr>
            <w:r>
              <w:rPr>
                <w:rFonts w:eastAsia="Times New Roman"/>
                <w:color w:val="000000"/>
              </w:rPr>
              <w:t>Gestionar la planificación, identificación, control, seguimiento y auditoría de todos los elementos de configuración en la base de datos de configuración.</w:t>
            </w:r>
          </w:p>
          <w:p>
            <w:pPr>
              <w:pStyle w:val="Normal"/>
              <w:spacing w:lineRule="auto" w:line="240"/>
              <w:rPr>
                <w:rFonts w:ascii="Times New Roman" w:hAnsi="Times New Roman" w:eastAsia="Times New Roman" w:cs="Times New Roman"/>
                <w:sz w:val="24"/>
                <w:szCs w:val="24"/>
              </w:rPr>
            </w:pPr>
            <w:r>
              <w:rPr>
                <w:rFonts w:eastAsia="Times New Roman"/>
                <w:color w:val="000000"/>
              </w:rPr>
              <w:t>Desarrollar el plan de gestión de configuración.</w:t>
            </w:r>
          </w:p>
          <w:p>
            <w:pPr>
              <w:pStyle w:val="Normal"/>
              <w:spacing w:lineRule="auto" w:line="240"/>
              <w:rPr>
                <w:rFonts w:ascii="Times New Roman" w:hAnsi="Times New Roman" w:eastAsia="Times New Roman" w:cs="Times New Roman"/>
                <w:sz w:val="24"/>
                <w:szCs w:val="24"/>
              </w:rPr>
            </w:pPr>
            <w:r>
              <w:rPr>
                <w:rFonts w:eastAsia="Times New Roman"/>
                <w:color w:val="000000"/>
              </w:rPr>
              <w:t>Monitorear y reportar los cambios no autorizados sobre los elementos de configuración.</w:t>
            </w:r>
          </w:p>
          <w:p>
            <w:pPr>
              <w:pStyle w:val="Normal"/>
              <w:spacing w:lineRule="auto" w:line="240"/>
              <w:rPr>
                <w:rFonts w:ascii="Times New Roman" w:hAnsi="Times New Roman" w:eastAsia="Times New Roman" w:cs="Times New Roman"/>
                <w:sz w:val="24"/>
                <w:szCs w:val="24"/>
              </w:rPr>
            </w:pPr>
            <w:r>
              <w:rPr>
                <w:rFonts w:eastAsia="Times New Roman"/>
                <w:color w:val="000000"/>
              </w:rPr>
              <w:t>Asegurar la consistencia e integridad de los datos de la base de datos de configuración a través de la ejecución de procedimientos de verificación y auditoría.</w:t>
            </w:r>
          </w:p>
          <w:p>
            <w:pPr>
              <w:pStyle w:val="Normal"/>
              <w:spacing w:lineRule="auto" w:line="240"/>
              <w:rPr>
                <w:rFonts w:ascii="Times New Roman" w:hAnsi="Times New Roman" w:eastAsia="Times New Roman" w:cs="Times New Roman"/>
                <w:sz w:val="24"/>
                <w:szCs w:val="24"/>
              </w:rPr>
            </w:pPr>
            <w:r>
              <w:rPr>
                <w:rFonts w:eastAsia="Times New Roman"/>
                <w:color w:val="000000"/>
              </w:rPr>
              <w:t>Liderar las actividades de evaluación del proceso: revisar tipos de elementos de configuración, relaciones, atributos y valores asociados, estructura de la base de datos, derechos de acceso.</w:t>
            </w:r>
          </w:p>
          <w:p>
            <w:pPr>
              <w:pStyle w:val="Normal"/>
              <w:spacing w:lineRule="auto" w:line="240"/>
              <w:rPr>
                <w:rFonts w:ascii="Times New Roman" w:hAnsi="Times New Roman" w:eastAsia="Times New Roman" w:cs="Times New Roman"/>
                <w:sz w:val="24"/>
                <w:szCs w:val="24"/>
              </w:rPr>
            </w:pPr>
            <w:r>
              <w:rPr>
                <w:rFonts w:eastAsia="Times New Roman"/>
                <w:color w:val="000000"/>
              </w:rPr>
              <w:t>Aprobar cambios estructurales en la base de datos de configuración.</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rFonts w:ascii="Times New Roman" w:hAnsi="Times New Roman" w:eastAsia="Times New Roman" w:cs="Times New Roman"/>
                <w:sz w:val="24"/>
                <w:szCs w:val="24"/>
              </w:rPr>
            </w:pPr>
            <w:r>
              <w:rPr>
                <w:rFonts w:eastAsia="Times New Roman"/>
                <w:color w:val="000000"/>
              </w:rPr>
              <w:t>Inspector de Aseguramiento de Calidad</w:t>
            </w:r>
          </w:p>
        </w:tc>
        <w:tc>
          <w:tcPr>
            <w:tcW w:w="6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rFonts w:ascii="Times New Roman" w:hAnsi="Times New Roman" w:eastAsia="Times New Roman" w:cs="Times New Roman"/>
                <w:sz w:val="24"/>
                <w:szCs w:val="24"/>
              </w:rPr>
            </w:pPr>
            <w:r>
              <w:rPr>
                <w:rFonts w:eastAsia="Times New Roman"/>
                <w:color w:val="000000"/>
              </w:rPr>
              <w:t>Auditar la Gestión de la Configuración.</w:t>
            </w:r>
          </w:p>
        </w:tc>
      </w:tr>
      <w:tr>
        <w:trPr/>
        <w:tc>
          <w:tcPr>
            <w:tcW w:w="1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rFonts w:ascii="Times New Roman" w:hAnsi="Times New Roman" w:eastAsia="Times New Roman" w:cs="Times New Roman"/>
                <w:sz w:val="24"/>
                <w:szCs w:val="24"/>
              </w:rPr>
            </w:pPr>
            <w:r>
              <w:rPr>
                <w:rFonts w:eastAsia="Times New Roman"/>
                <w:color w:val="000000"/>
              </w:rPr>
              <w:t>Gestor de Cambio</w:t>
            </w:r>
          </w:p>
        </w:tc>
        <w:tc>
          <w:tcPr>
            <w:tcW w:w="6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rFonts w:ascii="Times New Roman" w:hAnsi="Times New Roman" w:eastAsia="Times New Roman" w:cs="Times New Roman"/>
                <w:sz w:val="24"/>
                <w:szCs w:val="24"/>
              </w:rPr>
            </w:pPr>
            <w:r>
              <w:rPr>
                <w:rFonts w:eastAsia="Times New Roman"/>
                <w:color w:val="000000"/>
              </w:rPr>
              <w:t>Evaluar el impacto y riesgo de los cambios.</w:t>
            </w:r>
          </w:p>
          <w:p>
            <w:pPr>
              <w:pStyle w:val="Normal"/>
              <w:spacing w:lineRule="auto" w:line="240"/>
              <w:rPr>
                <w:rFonts w:ascii="Times New Roman" w:hAnsi="Times New Roman" w:eastAsia="Times New Roman" w:cs="Times New Roman"/>
                <w:sz w:val="24"/>
                <w:szCs w:val="24"/>
              </w:rPr>
            </w:pPr>
            <w:r>
              <w:rPr>
                <w:rFonts w:eastAsia="Times New Roman"/>
                <w:color w:val="000000"/>
              </w:rPr>
              <w:t>Asegurar que los responsables de los elementos de configuración actualizan los históricos de estos elementos con los cambios implementados.</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before="120" w:after="0"/>
        <w:ind w:left="1440" w:hanging="0"/>
        <w:rPr/>
      </w:pPr>
      <w:r>
        <w:rPr/>
      </w:r>
    </w:p>
    <w:p>
      <w:pPr>
        <w:pStyle w:val="Normal"/>
        <w:spacing w:before="120" w:after="0"/>
        <w:ind w:left="1440" w:hanging="0"/>
        <w:rPr/>
      </w:pPr>
      <w:r>
        <w:rPr/>
      </w:r>
    </w:p>
    <w:p>
      <w:pPr>
        <w:pStyle w:val="Normal"/>
        <w:numPr>
          <w:ilvl w:val="1"/>
          <w:numId w:val="2"/>
        </w:numPr>
        <w:spacing w:before="120" w:after="0"/>
        <w:contextualSpacing/>
        <w:rPr>
          <w:b/>
          <w:b/>
          <w:sz w:val="24"/>
          <w:szCs w:val="24"/>
        </w:rPr>
      </w:pPr>
      <w:r>
        <w:rPr>
          <w:b/>
          <w:sz w:val="24"/>
          <w:szCs w:val="24"/>
        </w:rPr>
        <w:t>Políticas, Directrices y Procedimientos</w:t>
      </w:r>
    </w:p>
    <w:p>
      <w:pPr>
        <w:pStyle w:val="Normal"/>
        <w:spacing w:before="120" w:after="0"/>
        <w:ind w:left="1440" w:hanging="0"/>
        <w:contextualSpacing/>
        <w:rPr>
          <w:b/>
          <w:b/>
          <w:sz w:val="24"/>
          <w:szCs w:val="24"/>
        </w:rPr>
      </w:pPr>
      <w:r>
        <w:rPr>
          <w:color w:val="000000"/>
        </w:rPr>
        <w:t>La política de la gestión de configuraciones es proporcionar servicios de administración de la configuración para el proyecto de acuerdo a los requisitos y las directrices del DOE actual, tal como se define en el plan y los procedimientos asociados.</w:t>
      </w:r>
    </w:p>
    <w:p>
      <w:pPr>
        <w:pStyle w:val="Normal"/>
        <w:numPr>
          <w:ilvl w:val="2"/>
          <w:numId w:val="2"/>
        </w:numPr>
        <w:spacing w:before="120" w:after="0"/>
        <w:contextualSpacing/>
        <w:rPr>
          <w:b/>
          <w:b/>
          <w:sz w:val="24"/>
          <w:szCs w:val="24"/>
        </w:rPr>
      </w:pPr>
      <w:r>
        <w:rPr>
          <w:b/>
          <w:bCs/>
          <w:color w:val="000000"/>
        </w:rPr>
        <w:t>Políticas de configuración de código fuente y documentación de usuario</w:t>
      </w:r>
    </w:p>
    <w:p>
      <w:pPr>
        <w:pStyle w:val="NormalWeb"/>
        <w:numPr>
          <w:ilvl w:val="0"/>
          <w:numId w:val="3"/>
        </w:numPr>
        <w:spacing w:beforeAutospacing="0" w:before="120" w:afterAutospacing="0" w:after="0"/>
        <w:ind w:left="2880" w:hanging="360"/>
        <w:textAlignment w:val="baseline"/>
        <w:rPr>
          <w:rFonts w:ascii="Arial" w:hAnsi="Arial" w:cs="Arial"/>
          <w:color w:val="000000"/>
        </w:rPr>
      </w:pPr>
      <w:r>
        <w:rPr>
          <w:rFonts w:cs="Arial" w:ascii="Arial" w:hAnsi="Arial"/>
          <w:color w:val="000000"/>
        </w:rPr>
        <w:t>Trabajar la rama como un todo</w:t>
      </w:r>
    </w:p>
    <w:p>
      <w:pPr>
        <w:pStyle w:val="NormalWeb"/>
        <w:numPr>
          <w:ilvl w:val="0"/>
          <w:numId w:val="3"/>
        </w:numPr>
        <w:spacing w:beforeAutospacing="0" w:before="0" w:afterAutospacing="0" w:after="0"/>
        <w:ind w:left="2880" w:hanging="360"/>
        <w:textAlignment w:val="baseline"/>
        <w:rPr>
          <w:rFonts w:ascii="Arial" w:hAnsi="Arial" w:cs="Arial"/>
          <w:color w:val="000000"/>
        </w:rPr>
      </w:pPr>
      <w:r>
        <w:rPr>
          <w:rFonts w:cs="Arial" w:ascii="Arial" w:hAnsi="Arial"/>
          <w:color w:val="000000"/>
        </w:rPr>
        <w:t>Registrar bueno comentarios con los comandos de subversion.</w:t>
      </w:r>
    </w:p>
    <w:p>
      <w:pPr>
        <w:pStyle w:val="NormalWeb"/>
        <w:numPr>
          <w:ilvl w:val="0"/>
          <w:numId w:val="3"/>
        </w:numPr>
        <w:spacing w:beforeAutospacing="0" w:before="0" w:afterAutospacing="0" w:after="0"/>
        <w:ind w:left="2880" w:hanging="360"/>
        <w:textAlignment w:val="baseline"/>
        <w:rPr>
          <w:rFonts w:ascii="Arial" w:hAnsi="Arial" w:cs="Arial"/>
          <w:color w:val="000000"/>
        </w:rPr>
      </w:pPr>
      <w:r>
        <w:rPr>
          <w:rFonts w:cs="Arial" w:ascii="Arial" w:hAnsi="Arial"/>
          <w:color w:val="000000"/>
        </w:rPr>
        <w:t>Durante el desarrollo, se recomienda hacer commits frecuentes para hacer visible los cambios a los otros desarrolladores de la misma rama.</w:t>
      </w:r>
    </w:p>
    <w:p>
      <w:pPr>
        <w:pStyle w:val="NormalWeb"/>
        <w:numPr>
          <w:ilvl w:val="0"/>
          <w:numId w:val="3"/>
        </w:numPr>
        <w:spacing w:beforeAutospacing="0" w:before="0" w:afterAutospacing="0" w:after="0"/>
        <w:ind w:left="2880" w:hanging="360"/>
        <w:textAlignment w:val="baseline"/>
        <w:rPr>
          <w:rFonts w:ascii="Arial" w:hAnsi="Arial" w:cs="Arial"/>
          <w:color w:val="000000"/>
        </w:rPr>
      </w:pPr>
      <w:r>
        <w:rPr>
          <w:rFonts w:cs="Arial" w:ascii="Arial" w:hAnsi="Arial"/>
          <w:color w:val="000000"/>
        </w:rPr>
        <w:t>El comentario de los commits debe indicar la naturaleza del cambio que se está registrando.</w:t>
      </w:r>
    </w:p>
    <w:p>
      <w:pPr>
        <w:pStyle w:val="NormalWeb"/>
        <w:numPr>
          <w:ilvl w:val="0"/>
          <w:numId w:val="3"/>
        </w:numPr>
        <w:spacing w:beforeAutospacing="0" w:before="0" w:afterAutospacing="0" w:after="0"/>
        <w:ind w:left="2880" w:hanging="360"/>
        <w:textAlignment w:val="baseline"/>
        <w:rPr>
          <w:rFonts w:ascii="Arial" w:hAnsi="Arial" w:cs="Arial"/>
          <w:color w:val="000000"/>
        </w:rPr>
      </w:pPr>
      <w:r>
        <w:rPr>
          <w:rFonts w:cs="Arial" w:ascii="Arial" w:hAnsi="Arial"/>
          <w:color w:val="000000"/>
        </w:rPr>
        <w:t>Minimizar conflictos al momento de la integración de las ramas con la rama master.</w:t>
      </w:r>
    </w:p>
    <w:p>
      <w:pPr>
        <w:pStyle w:val="NormalWeb"/>
        <w:numPr>
          <w:ilvl w:val="0"/>
          <w:numId w:val="3"/>
        </w:numPr>
        <w:spacing w:beforeAutospacing="0" w:before="0" w:afterAutospacing="0" w:after="0"/>
        <w:ind w:left="2880" w:hanging="360"/>
        <w:textAlignment w:val="baseline"/>
        <w:rPr>
          <w:rFonts w:ascii="Arial" w:hAnsi="Arial" w:cs="Arial"/>
          <w:color w:val="000000"/>
        </w:rPr>
      </w:pPr>
      <w:r>
        <w:rPr>
          <w:rFonts w:cs="Arial" w:ascii="Arial" w:hAnsi="Arial"/>
          <w:color w:val="000000"/>
        </w:rPr>
        <w:t>Después de cada integración, el Gestor de configuración debe avisar a todos los desarrolladores que actualicen sus ramas integrando la rama master a sus respectivas ramas.</w:t>
      </w:r>
    </w:p>
    <w:p>
      <w:pPr>
        <w:pStyle w:val="NormalWeb"/>
        <w:numPr>
          <w:ilvl w:val="0"/>
          <w:numId w:val="3"/>
        </w:numPr>
        <w:spacing w:beforeAutospacing="0" w:before="0" w:afterAutospacing="0" w:after="0"/>
        <w:ind w:left="2880" w:hanging="360"/>
        <w:textAlignment w:val="baseline"/>
        <w:rPr>
          <w:rFonts w:ascii="Arial" w:hAnsi="Arial" w:cs="Arial"/>
          <w:color w:val="000000"/>
        </w:rPr>
      </w:pPr>
      <w:r>
        <w:rPr>
          <w:rFonts w:cs="Arial" w:ascii="Arial" w:hAnsi="Arial"/>
          <w:color w:val="000000"/>
        </w:rPr>
        <w:t>Para cada integración el Gestor de configuración debe obtener los log de cada integración, y agregarle cómo se resolvieron los conflictos, si es que los hubo. Posteriormente envía este log al responsable de esta rama para que confirme si fue correcta la resolución de conflictos.</w:t>
      </w:r>
    </w:p>
    <w:p>
      <w:pPr>
        <w:pStyle w:val="NormalWeb"/>
        <w:numPr>
          <w:ilvl w:val="0"/>
          <w:numId w:val="3"/>
        </w:numPr>
        <w:spacing w:beforeAutospacing="0" w:before="120" w:afterAutospacing="0" w:after="0"/>
        <w:ind w:left="2880" w:hanging="360"/>
        <w:textAlignment w:val="baseline"/>
        <w:rPr>
          <w:rFonts w:ascii="Arial" w:hAnsi="Arial" w:cs="Arial"/>
          <w:color w:val="000000"/>
        </w:rPr>
      </w:pPr>
      <w:r>
        <w:rPr>
          <w:rFonts w:cs="Arial" w:ascii="Arial" w:hAnsi="Arial"/>
          <w:color w:val="000000"/>
        </w:rPr>
        <w:t>El Gestor de configuración no debe integrar varias ramas a la rama master de forma secuencial, sino que permita después de cada integración que los desarrolladores actualicen sus ramas antes de proceder con la siguiente integración de otra rama a la rama master.</w:t>
      </w:r>
    </w:p>
    <w:p>
      <w:pPr>
        <w:pStyle w:val="Normal"/>
        <w:spacing w:before="120" w:after="0"/>
        <w:ind w:left="2160" w:hanging="0"/>
        <w:contextualSpacing/>
        <w:rPr>
          <w:b/>
          <w:b/>
          <w:sz w:val="24"/>
          <w:szCs w:val="24"/>
        </w:rPr>
      </w:pPr>
      <w:r>
        <w:rPr>
          <w:b/>
          <w:sz w:val="24"/>
          <w:szCs w:val="24"/>
        </w:rPr>
      </w:r>
    </w:p>
    <w:p>
      <w:pPr>
        <w:pStyle w:val="Normal"/>
        <w:numPr>
          <w:ilvl w:val="2"/>
          <w:numId w:val="2"/>
        </w:numPr>
        <w:spacing w:before="120" w:after="0"/>
        <w:contextualSpacing/>
        <w:rPr>
          <w:b/>
          <w:b/>
          <w:sz w:val="24"/>
          <w:szCs w:val="24"/>
        </w:rPr>
      </w:pPr>
      <w:r>
        <w:rPr>
          <w:b/>
          <w:bCs/>
          <w:color w:val="000000"/>
        </w:rPr>
        <w:t>Políticas de Repositorio</w:t>
      </w:r>
    </w:p>
    <w:p>
      <w:pPr>
        <w:pStyle w:val="Normal"/>
        <w:numPr>
          <w:ilvl w:val="0"/>
          <w:numId w:val="4"/>
        </w:numPr>
        <w:spacing w:lineRule="auto" w:line="240" w:before="120" w:after="0"/>
        <w:ind w:left="2880" w:hanging="360"/>
        <w:textAlignment w:val="baseline"/>
        <w:rPr>
          <w:rFonts w:eastAsia="Times New Roman"/>
          <w:color w:val="000000"/>
          <w:sz w:val="24"/>
          <w:szCs w:val="24"/>
        </w:rPr>
      </w:pPr>
      <w:r>
        <w:rPr>
          <w:rFonts w:eastAsia="Times New Roman"/>
          <w:color w:val="000000"/>
          <w:sz w:val="24"/>
          <w:szCs w:val="24"/>
        </w:rPr>
        <w:t>Los documentos en su versión de inspección y revisión continua se mantienen en el directorio del sistema de control de versiones.</w:t>
      </w:r>
    </w:p>
    <w:p>
      <w:pPr>
        <w:pStyle w:val="Normal"/>
        <w:numPr>
          <w:ilvl w:val="0"/>
          <w:numId w:val="4"/>
        </w:numPr>
        <w:spacing w:lineRule="auto" w:line="240"/>
        <w:ind w:left="2880" w:hanging="360"/>
        <w:textAlignment w:val="baseline"/>
        <w:rPr>
          <w:rFonts w:eastAsia="Times New Roman"/>
          <w:color w:val="000000"/>
          <w:sz w:val="24"/>
          <w:szCs w:val="24"/>
        </w:rPr>
      </w:pPr>
      <w:r>
        <w:rPr>
          <w:rFonts w:eastAsia="Times New Roman"/>
          <w:color w:val="000000"/>
          <w:sz w:val="24"/>
          <w:szCs w:val="24"/>
        </w:rPr>
        <w:t>Los documentos relacionados a la calidad del software que hayan sido revisados y aprobados por el área de calidad de software deben ser almacenados en el directorio respectivo al cliente. El área de calidad es quien tiene los documentos en su formato de edición, ya que cualquier cambio deberán ser manejados a través del área.</w:t>
      </w:r>
    </w:p>
    <w:p>
      <w:pPr>
        <w:pStyle w:val="Normal"/>
        <w:numPr>
          <w:ilvl w:val="0"/>
          <w:numId w:val="4"/>
        </w:numPr>
        <w:spacing w:lineRule="auto" w:line="240"/>
        <w:ind w:left="2880" w:hanging="360"/>
        <w:textAlignment w:val="baseline"/>
        <w:rPr>
          <w:rFonts w:eastAsia="Times New Roman"/>
          <w:color w:val="000000"/>
          <w:sz w:val="24"/>
          <w:szCs w:val="24"/>
        </w:rPr>
      </w:pPr>
      <w:r>
        <w:rPr>
          <w:rFonts w:eastAsia="Times New Roman"/>
          <w:color w:val="000000"/>
          <w:sz w:val="24"/>
          <w:szCs w:val="24"/>
        </w:rPr>
        <w:t>Los documentos relacionados al área de ingeniería y de gestión de proyecto estarán almacenados en las carpetas respectivas de proyecto en el sistema de gestión de documentos, los documentos que necesiten ser protegidos por la criticidad de la información serán manejados por el Jefe de proyecto, que decidirá qué documentos pueden o no ser editados.</w:t>
      </w:r>
    </w:p>
    <w:p>
      <w:pPr>
        <w:pStyle w:val="Normal"/>
        <w:numPr>
          <w:ilvl w:val="0"/>
          <w:numId w:val="4"/>
        </w:numPr>
        <w:spacing w:lineRule="auto" w:line="240"/>
        <w:ind w:left="2880" w:hanging="360"/>
        <w:textAlignment w:val="baseline"/>
        <w:rPr>
          <w:rFonts w:eastAsia="Times New Roman"/>
          <w:color w:val="000000"/>
          <w:sz w:val="24"/>
          <w:szCs w:val="24"/>
        </w:rPr>
      </w:pPr>
      <w:r>
        <w:rPr>
          <w:rFonts w:eastAsia="Times New Roman"/>
          <w:color w:val="000000"/>
          <w:sz w:val="24"/>
          <w:szCs w:val="24"/>
        </w:rPr>
        <w:t>Se debe tener una rama en SVN por cada cliente, con el fin de conservar la copia de seguridad de documentación, configuración y código fuente de cada cliente.</w:t>
      </w:r>
    </w:p>
    <w:p>
      <w:pPr>
        <w:pStyle w:val="Normal"/>
        <w:numPr>
          <w:ilvl w:val="0"/>
          <w:numId w:val="4"/>
        </w:numPr>
        <w:spacing w:lineRule="auto" w:line="240" w:before="120" w:after="0"/>
        <w:ind w:left="2880" w:hanging="360"/>
        <w:textAlignment w:val="baseline"/>
        <w:rPr>
          <w:rFonts w:eastAsia="Times New Roman"/>
          <w:color w:val="000000"/>
          <w:sz w:val="24"/>
          <w:szCs w:val="24"/>
        </w:rPr>
      </w:pPr>
      <w:r>
        <w:rPr>
          <w:rFonts w:eastAsia="Times New Roman"/>
          <w:color w:val="000000"/>
          <w:sz w:val="24"/>
          <w:szCs w:val="24"/>
        </w:rPr>
        <w:t xml:space="preserve">En el sistema de gestión de documentos deben ir los documentos relacionados a planes, diseños y reportes de pruebas. </w:t>
      </w:r>
    </w:p>
    <w:p>
      <w:pPr>
        <w:pStyle w:val="Normal"/>
        <w:spacing w:before="120" w:after="0"/>
        <w:ind w:left="2160" w:hanging="0"/>
        <w:contextualSpacing/>
        <w:rPr>
          <w:b/>
          <w:b/>
          <w:sz w:val="24"/>
          <w:szCs w:val="24"/>
        </w:rPr>
      </w:pPr>
      <w:r>
        <w:rPr>
          <w:b/>
          <w:sz w:val="24"/>
          <w:szCs w:val="24"/>
        </w:rPr>
      </w:r>
    </w:p>
    <w:p>
      <w:pPr>
        <w:pStyle w:val="Normal"/>
        <w:numPr>
          <w:ilvl w:val="2"/>
          <w:numId w:val="2"/>
        </w:numPr>
        <w:spacing w:before="120" w:after="0"/>
        <w:contextualSpacing/>
        <w:rPr>
          <w:b/>
          <w:b/>
          <w:sz w:val="24"/>
          <w:szCs w:val="24"/>
        </w:rPr>
      </w:pPr>
      <w:r>
        <w:rPr>
          <w:b/>
          <w:bCs/>
          <w:color w:val="000000"/>
        </w:rPr>
        <w:t>Políticas de Manejo de Línea Base</w:t>
      </w:r>
    </w:p>
    <w:p>
      <w:pPr>
        <w:pStyle w:val="Normal"/>
        <w:numPr>
          <w:ilvl w:val="0"/>
          <w:numId w:val="5"/>
        </w:numPr>
        <w:spacing w:lineRule="auto" w:line="240" w:before="120" w:after="0"/>
        <w:ind w:left="2880" w:hanging="360"/>
        <w:textAlignment w:val="baseline"/>
        <w:rPr>
          <w:rFonts w:eastAsia="Times New Roman"/>
          <w:color w:val="000000"/>
          <w:sz w:val="24"/>
          <w:szCs w:val="24"/>
        </w:rPr>
      </w:pPr>
      <w:r>
        <w:rPr>
          <w:rFonts w:eastAsia="Times New Roman"/>
          <w:color w:val="000000"/>
          <w:sz w:val="24"/>
          <w:szCs w:val="24"/>
        </w:rPr>
        <w:t>Los defectos deben ser corregidos en ambiente de desarrollo y los manuales deben actualizarse concorde a las correcciones.</w:t>
      </w:r>
    </w:p>
    <w:p>
      <w:pPr>
        <w:pStyle w:val="Normal"/>
        <w:numPr>
          <w:ilvl w:val="0"/>
          <w:numId w:val="5"/>
        </w:numPr>
        <w:spacing w:lineRule="auto" w:line="240"/>
        <w:ind w:left="2880" w:hanging="360"/>
        <w:textAlignment w:val="baseline"/>
        <w:rPr>
          <w:rFonts w:eastAsia="Times New Roman"/>
          <w:color w:val="000000"/>
          <w:sz w:val="24"/>
          <w:szCs w:val="24"/>
        </w:rPr>
      </w:pPr>
      <w:r>
        <w:rPr>
          <w:rFonts w:eastAsia="Times New Roman"/>
          <w:color w:val="000000"/>
          <w:sz w:val="24"/>
          <w:szCs w:val="24"/>
        </w:rPr>
        <w:t>El release autorizado es la rama del cliente.</w:t>
      </w:r>
    </w:p>
    <w:p>
      <w:pPr>
        <w:pStyle w:val="Normal"/>
        <w:numPr>
          <w:ilvl w:val="0"/>
          <w:numId w:val="5"/>
        </w:numPr>
        <w:spacing w:lineRule="auto" w:line="240" w:before="120" w:after="0"/>
        <w:ind w:left="2880" w:hanging="360"/>
        <w:textAlignment w:val="baseline"/>
        <w:rPr>
          <w:rFonts w:eastAsia="Times New Roman"/>
          <w:color w:val="000000"/>
          <w:sz w:val="24"/>
          <w:szCs w:val="24"/>
        </w:rPr>
      </w:pPr>
      <w:r>
        <w:rPr>
          <w:rFonts w:eastAsia="Times New Roman"/>
          <w:color w:val="000000"/>
          <w:sz w:val="24"/>
          <w:szCs w:val="24"/>
        </w:rPr>
        <w:t>El release definitivo para que el proyecto pase a producción debe ser solicitado por el Jefe de Proyecto al Gestor de Configuración.</w:t>
      </w:r>
    </w:p>
    <w:p>
      <w:pPr>
        <w:pStyle w:val="Normal"/>
        <w:spacing w:before="120" w:after="0"/>
        <w:ind w:left="2160" w:hanging="0"/>
        <w:contextualSpacing/>
        <w:rPr>
          <w:b/>
          <w:b/>
          <w:sz w:val="24"/>
          <w:szCs w:val="24"/>
        </w:rPr>
      </w:pPr>
      <w:r>
        <w:rPr>
          <w:b/>
          <w:sz w:val="24"/>
          <w:szCs w:val="24"/>
        </w:rPr>
      </w:r>
    </w:p>
    <w:p>
      <w:pPr>
        <w:pStyle w:val="Normal"/>
        <w:spacing w:before="120" w:after="0"/>
        <w:ind w:left="720" w:hanging="0"/>
        <w:rPr/>
      </w:pPr>
      <w:r>
        <w:rPr/>
      </w:r>
    </w:p>
    <w:p>
      <w:pPr>
        <w:pStyle w:val="Normal"/>
        <w:spacing w:before="120" w:after="0"/>
        <w:ind w:left="720" w:hanging="0"/>
        <w:rPr/>
      </w:pPr>
      <w:r>
        <w:rPr/>
      </w:r>
    </w:p>
    <w:p>
      <w:pPr>
        <w:pStyle w:val="Normal"/>
        <w:numPr>
          <w:ilvl w:val="1"/>
          <w:numId w:val="2"/>
        </w:numPr>
        <w:spacing w:before="120" w:after="0"/>
        <w:contextualSpacing/>
        <w:rPr>
          <w:b/>
          <w:b/>
        </w:rPr>
      </w:pPr>
      <w:r>
        <w:rPr>
          <w:b/>
          <w:sz w:val="24"/>
          <w:szCs w:val="24"/>
        </w:rPr>
        <w:t>Herramientas, entorno e Infraestructura</w:t>
      </w:r>
    </w:p>
    <w:p>
      <w:pPr>
        <w:pStyle w:val="ListParagraph"/>
        <w:spacing w:before="120" w:after="0"/>
        <w:ind w:left="1440" w:hanging="0"/>
        <w:contextualSpacing/>
        <w:rPr/>
      </w:pPr>
      <w:r>
        <w:rPr/>
        <w:t xml:space="preserve">Durante el proceso de gestión de configuración se utilizará la herramienta git para el control de versiones del producto. Su propósito es llevar registros de los cambios y coordinar el trabajo que varias personas realizan sobre archivos compartidos. </w:t>
      </w:r>
    </w:p>
    <w:p>
      <w:pPr>
        <w:pStyle w:val="ListParagraph"/>
        <w:spacing w:before="120" w:after="0"/>
        <w:ind w:left="1440" w:hanging="0"/>
        <w:contextualSpacing/>
        <w:rPr/>
      </w:pPr>
      <w:r>
        <w:rPr/>
      </w:r>
    </w:p>
    <w:p>
      <w:pPr>
        <w:pStyle w:val="ListParagraph"/>
        <w:ind w:left="1440" w:hanging="0"/>
        <w:rPr>
          <w:b/>
          <w:b/>
        </w:rPr>
      </w:pPr>
      <w:r>
        <w:rPr/>
        <w:drawing>
          <wp:inline distT="0" distB="0" distL="0" distR="0">
            <wp:extent cx="4498975" cy="202374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4498975" cy="2023745"/>
                    </a:xfrm>
                    <a:prstGeom prst="rect">
                      <a:avLst/>
                    </a:prstGeom>
                  </pic:spPr>
                </pic:pic>
              </a:graphicData>
            </a:graphic>
          </wp:inline>
        </w:drawing>
      </w:r>
    </w:p>
    <w:p>
      <w:pPr>
        <w:pStyle w:val="Normal"/>
        <w:numPr>
          <w:ilvl w:val="1"/>
          <w:numId w:val="2"/>
        </w:numPr>
        <w:spacing w:before="120" w:after="0"/>
        <w:contextualSpacing/>
        <w:rPr>
          <w:b/>
          <w:b/>
        </w:rPr>
      </w:pPr>
      <w:r>
        <w:rPr>
          <w:b/>
        </w:rPr>
      </w:r>
    </w:p>
    <w:p>
      <w:pPr>
        <w:pStyle w:val="Normal"/>
        <w:numPr>
          <w:ilvl w:val="1"/>
          <w:numId w:val="2"/>
        </w:numPr>
        <w:spacing w:before="120" w:after="0"/>
        <w:contextualSpacing/>
        <w:rPr>
          <w:b/>
          <w:b/>
        </w:rPr>
      </w:pPr>
      <w:r>
        <w:rPr>
          <w:b/>
          <w:sz w:val="24"/>
          <w:szCs w:val="24"/>
        </w:rPr>
        <w:t>Calendario</w:t>
      </w:r>
    </w:p>
    <w:p>
      <w:pPr>
        <w:pStyle w:val="Normal"/>
        <w:spacing w:before="120" w:after="0"/>
        <w:ind w:left="720" w:hanging="0"/>
        <w:rPr/>
      </w:pPr>
      <w:r>
        <w:rPr>
          <w:b/>
        </w:rPr>
        <w:tab/>
      </w:r>
    </w:p>
    <w:sectPr>
      <w:headerReference w:type="default" r:id="rId4"/>
      <w:footerReference w:type="default" r:id="rId5"/>
      <w:type w:val="nextPage"/>
      <w:pgSz w:w="11906" w:h="16838"/>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Style w:val="a3"/>
      <w:tblW w:w="9029"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firstRow="0" w:lastRow="0" w:firstColumn="0" w:lastColumn="0"/>
    </w:tblPr>
    <w:tblGrid>
      <w:gridCol w:w="3009"/>
      <w:gridCol w:w="3010"/>
      <w:gridCol w:w="3010"/>
    </w:tblGrid>
    <w:tr>
      <w:trPr/>
      <w:tc>
        <w:tcPr>
          <w:tcW w:w="3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pPr>
          <w:r>
            <w:rPr/>
            <w:t>Confidencial</w:t>
          </w:r>
        </w:p>
      </w:tc>
      <w:tc>
        <w:tcPr>
          <w:tcW w:w="30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pPr>
          <w:r>
            <w:rPr/>
          </w:r>
        </w:p>
      </w:tc>
      <w:tc>
        <w:tcPr>
          <w:tcW w:w="30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pPr>
          <w:r>
            <w:rPr/>
            <w:fldChar w:fldCharType="begin"/>
          </w:r>
          <w:r>
            <w:instrText> PAGE </w:instrText>
          </w:r>
          <w:r>
            <w:fldChar w:fldCharType="separate"/>
          </w:r>
          <w:r>
            <w:t>8</w:t>
          </w:r>
          <w: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Style w:val="a2"/>
      <w:tblW w:w="9029"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4514"/>
      <w:gridCol w:w="4514"/>
    </w:tblGrid>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pPr>
          <w:r>
            <w:rPr/>
            <w:t>StackCode</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pPr>
          <w:r>
            <w:rPr/>
            <w:t>Versión: 1</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t>Plan de SCM</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pPr>
          <w:r>
            <w:rPr/>
            <w:t>Fecha: 27/04/2018</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pPr>
          <w:r>
            <w:rPr/>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rPr/>
          </w:pPr>
          <w:r>
            <w:rPr/>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ind w:left="720" w:hanging="360"/>
      </w:pPr>
      <w:rPr>
        <w:u w:val="none"/>
        <w:b/>
      </w:rPr>
    </w:lvl>
    <w:lvl w:ilvl="1">
      <w:start w:val="1"/>
      <w:numFmt w:val="decimal"/>
      <w:lvlText w:val="%1.%2."/>
      <w:lvlJc w:val="right"/>
      <w:pPr>
        <w:ind w:left="1440" w:hanging="360"/>
      </w:pPr>
      <w:rPr>
        <w:u w:val="none"/>
        <w:b/>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sz w:val="28"/>
        <w:u w:val="none"/>
        <w:b/>
      </w:rPr>
    </w:lvl>
    <w:lvl w:ilvl="1">
      <w:start w:val="1"/>
      <w:numFmt w:val="decimal"/>
      <w:lvlText w:val="%1.%2."/>
      <w:lvlJc w:val="right"/>
      <w:pPr>
        <w:ind w:left="1440" w:hanging="360"/>
      </w:pPr>
      <w:rPr>
        <w:sz w:val="24"/>
        <w:u w:val="none"/>
        <w:b/>
      </w:rPr>
    </w:lvl>
    <w:lvl w:ilvl="2">
      <w:start w:val="1"/>
      <w:numFmt w:val="decimal"/>
      <w:lvlText w:val="%1.%2.%3."/>
      <w:lvlJc w:val="right"/>
      <w:pPr>
        <w:ind w:left="2160" w:hanging="360"/>
      </w:pPr>
      <w:rPr>
        <w:sz w:val="24"/>
        <w:u w:val="none"/>
        <w:b/>
        <w:rFonts w:eastAsia="Arial" w:cs="Arial"/>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PE" w:eastAsia="es-P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sz w:val="22"/>
      <w:szCs w:val="22"/>
      <w:lang w:val="es-PE" w:eastAsia="es-PE" w:bidi="ar-SA"/>
    </w:rPr>
  </w:style>
  <w:style w:type="paragraph" w:styleId="Encabezado1">
    <w:name w:val="Heading 1"/>
    <w:basedOn w:val="Normal"/>
    <w:next w:val="Normal"/>
    <w:qFormat/>
    <w:pPr>
      <w:keepNext/>
      <w:keepLines/>
      <w:spacing w:before="400" w:after="120"/>
      <w:outlineLvl w:val="0"/>
    </w:pPr>
    <w:rPr>
      <w:sz w:val="40"/>
      <w:szCs w:val="40"/>
    </w:rPr>
  </w:style>
  <w:style w:type="paragraph" w:styleId="Encabezado2">
    <w:name w:val="Heading 2"/>
    <w:basedOn w:val="Normal"/>
    <w:next w:val="Normal"/>
    <w:qFormat/>
    <w:pPr>
      <w:keepNext/>
      <w:keepLines/>
      <w:spacing w:before="360" w:after="120"/>
      <w:outlineLvl w:val="1"/>
    </w:pPr>
    <w:rPr>
      <w:sz w:val="32"/>
      <w:szCs w:val="32"/>
    </w:rPr>
  </w:style>
  <w:style w:type="paragraph" w:styleId="Encabezado3">
    <w:name w:val="Heading 3"/>
    <w:basedOn w:val="Normal"/>
    <w:next w:val="Normal"/>
    <w:qFormat/>
    <w:pPr>
      <w:keepNext/>
      <w:keepLines/>
      <w:spacing w:before="320" w:after="80"/>
      <w:outlineLvl w:val="2"/>
    </w:pPr>
    <w:rPr>
      <w:color w:val="434343"/>
      <w:sz w:val="28"/>
      <w:szCs w:val="28"/>
    </w:rPr>
  </w:style>
  <w:style w:type="paragraph" w:styleId="Encabezado4">
    <w:name w:val="Heading 4"/>
    <w:basedOn w:val="Normal"/>
    <w:next w:val="Normal"/>
    <w:qFormat/>
    <w:pPr>
      <w:keepNext/>
      <w:keepLines/>
      <w:spacing w:before="280" w:after="80"/>
      <w:outlineLvl w:val="3"/>
    </w:pPr>
    <w:rPr>
      <w:color w:val="666666"/>
      <w:sz w:val="24"/>
      <w:szCs w:val="24"/>
    </w:rPr>
  </w:style>
  <w:style w:type="paragraph" w:styleId="Encabezado5">
    <w:name w:val="Heading 5"/>
    <w:basedOn w:val="Normal"/>
    <w:next w:val="Normal"/>
    <w:qFormat/>
    <w:pPr>
      <w:keepNext/>
      <w:keepLines/>
      <w:spacing w:before="240" w:after="80"/>
      <w:outlineLvl w:val="4"/>
    </w:pPr>
    <w:rPr>
      <w:color w:val="666666"/>
    </w:rPr>
  </w:style>
  <w:style w:type="paragraph" w:styleId="Encabezado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b/>
      <w:u w:val="none"/>
    </w:rPr>
  </w:style>
  <w:style w:type="character" w:styleId="ListLabel2">
    <w:name w:val="ListLabel 2"/>
    <w:qFormat/>
    <w:rPr>
      <w:b/>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sz w:val="28"/>
      <w:u w:val="none"/>
    </w:rPr>
  </w:style>
  <w:style w:type="character" w:styleId="ListLabel11">
    <w:name w:val="ListLabel 11"/>
    <w:qFormat/>
    <w:rPr>
      <w:b/>
      <w:sz w:val="24"/>
      <w:u w:val="none"/>
    </w:rPr>
  </w:style>
  <w:style w:type="character" w:styleId="ListLabel12">
    <w:name w:val="ListLabel 12"/>
    <w:qFormat/>
    <w:rPr>
      <w:rFonts w:eastAsia="Arial" w:cs="Arial"/>
      <w:b/>
      <w:sz w:val="24"/>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Arial" w:hAnsi="Arial"/>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4"/>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4"/>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itle"/>
    <w:basedOn w:val="Normal"/>
    <w:next w:val="Normal"/>
    <w:qFormat/>
    <w:pPr>
      <w:keepNext/>
      <w:keepLines/>
      <w:spacing w:before="0" w:after="60"/>
    </w:pPr>
    <w:rPr>
      <w:sz w:val="52"/>
      <w:szCs w:val="52"/>
    </w:rPr>
  </w:style>
  <w:style w:type="paragraph" w:styleId="Subttulo">
    <w:name w:val="Subtitle"/>
    <w:basedOn w:val="Normal"/>
    <w:next w:val="Normal"/>
    <w:qFormat/>
    <w:pPr>
      <w:keepNext/>
      <w:keepLines/>
      <w:spacing w:before="0" w:after="320"/>
    </w:pPr>
    <w:rPr>
      <w:color w:val="666666"/>
      <w:sz w:val="30"/>
      <w:szCs w:val="30"/>
    </w:rPr>
  </w:style>
  <w:style w:type="paragraph" w:styleId="ListParagraph">
    <w:name w:val="List Paragraph"/>
    <w:basedOn w:val="Normal"/>
    <w:uiPriority w:val="34"/>
    <w:qFormat/>
    <w:rsid w:val="00332b7f"/>
    <w:pPr>
      <w:spacing w:before="0" w:after="0"/>
      <w:ind w:left="720" w:hanging="0"/>
      <w:contextualSpacing/>
    </w:pPr>
    <w:rPr/>
  </w:style>
  <w:style w:type="paragraph" w:styleId="NormalWeb">
    <w:name w:val="Normal (Web)"/>
    <w:basedOn w:val="Normal"/>
    <w:uiPriority w:val="99"/>
    <w:semiHidden/>
    <w:unhideWhenUsed/>
    <w:qFormat/>
    <w:rsid w:val="00774e1f"/>
    <w:pPr>
      <w:spacing w:lineRule="auto" w:line="240" w:beforeAutospacing="1" w:afterAutospacing="1"/>
    </w:pPr>
    <w:rPr>
      <w:rFonts w:ascii="Times New Roman" w:hAnsi="Times New Roman" w:eastAsia="Times New Roman" w:cs="Times New Roman"/>
      <w:sz w:val="24"/>
      <w:szCs w:val="24"/>
    </w:rPr>
  </w:style>
  <w:style w:type="paragraph" w:styleId="Encabezamiento">
    <w:name w:val="Header"/>
    <w:basedOn w:val="Normal"/>
    <w:pPr/>
    <w:rPr/>
  </w:style>
  <w:style w:type="paragraph" w:styleId="Piedepgina">
    <w:name w:val="Footer"/>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LibreOffice/5.1.6.2$Linux_X86_64 LibreOffice_project/10m0$Build-2</Application>
  <Pages>8</Pages>
  <Words>1056</Words>
  <Characters>5833</Characters>
  <CharactersWithSpaces>6763</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2018-04-27T07:31:00Z</dcterms:created>
  <dc:creator/>
  <dc:description/>
  <dc:language>es-PE</dc:language>
  <cp:lastModifiedBy/>
  <dcterms:modified xsi:type="dcterms:W3CDTF">2018-04-27T09:38:25Z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