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RPr="00C00046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Autor</w:t>
            </w:r>
          </w:p>
        </w:tc>
      </w:tr>
      <w:tr w:rsidR="00A44A6E" w:rsidRPr="00C00046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Atria Casiano</w:t>
            </w:r>
          </w:p>
        </w:tc>
        <w:bookmarkStart w:id="0" w:name="_GoBack"/>
        <w:bookmarkEnd w:id="0"/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B64E0C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A44A6E" w:rsidRDefault="0090428A" w:rsidP="00B64E0C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lastRenderedPageBreak/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A44A6E" w:rsidP="000D2537">
      <w:pPr>
        <w:spacing w:before="120"/>
        <w:ind w:left="1440"/>
        <w:contextualSpacing/>
        <w:rPr>
          <w:b/>
        </w:rPr>
      </w:pPr>
    </w:p>
    <w:p w:rsidR="00A44A6E" w:rsidRPr="00F75168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 w:rsidR="00F75168" w:rsidRPr="00F75168" w:rsidRDefault="00F75168" w:rsidP="00F75168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2189"/>
        <w:gridCol w:w="2707"/>
        <w:gridCol w:w="1259"/>
      </w:tblGrid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Definir la Introducción y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Identificación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b/>
          <w:bCs/>
          <w:color w:val="000000"/>
        </w:rPr>
        <w:t xml:space="preserve">Tabla 04. </w:t>
      </w:r>
      <w:r w:rsidRPr="00F75168">
        <w:rPr>
          <w:rFonts w:eastAsia="Times New Roman"/>
          <w:color w:val="000000"/>
        </w:rPr>
        <w:t>Calendario de Actividades</w:t>
      </w: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F75168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 w:rsidR="00D941AE" w:rsidRDefault="00D941AE" w:rsidP="00D941AE">
      <w:pPr>
        <w:spacing w:before="120"/>
        <w:ind w:left="216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5</w:t>
      </w:r>
      <w:r>
        <w:rPr>
          <w:b/>
        </w:rPr>
        <w:t xml:space="preserve">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lastRenderedPageBreak/>
        <w:t>Tabla 0</w:t>
      </w:r>
      <w:r w:rsidR="00F75168">
        <w:rPr>
          <w:b/>
        </w:rPr>
        <w:t>6</w:t>
      </w:r>
      <w:r>
        <w:rPr>
          <w:b/>
        </w:rPr>
        <w:t xml:space="preserve">. </w:t>
      </w:r>
      <w:r>
        <w:t>Nomenclatura de ítems de evolución para toda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7</w:t>
      </w:r>
      <w:r>
        <w:rPr>
          <w:b/>
        </w:rPr>
        <w:t xml:space="preserve">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8</w:t>
      </w:r>
      <w:r>
        <w:rPr>
          <w:b/>
        </w:rPr>
        <w:t xml:space="preserve">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sectPr w:rsidR="00D941AE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88C" w:rsidRDefault="00CD588C">
      <w:pPr>
        <w:spacing w:line="240" w:lineRule="auto"/>
      </w:pPr>
      <w:r>
        <w:separator/>
      </w:r>
    </w:p>
  </w:endnote>
  <w:endnote w:type="continuationSeparator" w:id="0">
    <w:p w:rsidR="00CD588C" w:rsidRDefault="00CD5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00046">
            <w:rPr>
              <w:noProof/>
            </w:rPr>
            <w:t>1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88C" w:rsidRDefault="00CD588C">
      <w:pPr>
        <w:spacing w:line="240" w:lineRule="auto"/>
      </w:pPr>
      <w:r>
        <w:separator/>
      </w:r>
    </w:p>
  </w:footnote>
  <w:footnote w:type="continuationSeparator" w:id="0">
    <w:p w:rsidR="00CD588C" w:rsidRDefault="00CD5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B9103B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15ADB"/>
    <w:rsid w:val="000D2537"/>
    <w:rsid w:val="00200674"/>
    <w:rsid w:val="00307E9E"/>
    <w:rsid w:val="006D72D3"/>
    <w:rsid w:val="0090428A"/>
    <w:rsid w:val="00A44A6E"/>
    <w:rsid w:val="00B64E0C"/>
    <w:rsid w:val="00C00046"/>
    <w:rsid w:val="00CD588C"/>
    <w:rsid w:val="00D941AE"/>
    <w:rsid w:val="00ED1304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1279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15</cp:revision>
  <dcterms:created xsi:type="dcterms:W3CDTF">2018-04-27T07:31:00Z</dcterms:created>
  <dcterms:modified xsi:type="dcterms:W3CDTF">2018-05-04T15:52:00Z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