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CXMS Sports Editorial Overview</w:t>
      </w:r>
    </w:p>
    <w:p>
      <w:pPr>
        <w:spacing w:after="140"/>
      </w:pPr>
      <w:r>
        <w:rPr>
          <w:b/>
          <w:color w:val="2F5597"/>
          <w:sz w:val="21"/>
        </w:rPr>
        <w:t>A structured editorial workspace for creating, reviewing and publishing sports stat sheets</w:t>
      </w:r>
      <w:r>
        <w:rPr>
          <w:sz w:val="17"/>
        </w:rPr>
        <w:t xml:space="preserve">   |   Product overview 10 September 2026</w:t>
      </w:r>
    </w:p>
    <w:p>
      <w:pPr>
        <w:spacing w:after="140"/>
      </w:pPr>
      <w:r>
        <w:rPr>
          <w:b/>
        </w:rPr>
        <w:t xml:space="preserve">Purpose  </w:t>
      </w:r>
      <w:r>
        <w:t>CXMS brings controlled event data, collaborative editorial work, entity linking, review controls and FIS-ready output into one role-based process. It gives AMP a clear operational view while protecting work from conflicting edits and unsafe publication.</w:t>
      </w:r>
    </w:p>
    <w:p>
      <w:pPr>
        <w:spacing w:after="60"/>
      </w:pPr>
      <w:r>
        <w:rPr>
          <w:rFonts w:ascii="Aptos Display" w:hAnsi="Aptos Display"/>
          <w:b/>
          <w:sz w:val="25"/>
        </w:rPr>
        <w:t>The process it enables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c>
          <w:tcPr>
            <w:tcW w:type="dxa" w:w="3848"/>
            <w:shd w:fill="17365D"/>
            <w:tcBorders>
              <w:top w:val="single" w:sz="7" w:color="FFFFFF"/>
              <w:left w:val="single" w:sz="7" w:color="FFFFFF"/>
              <w:bottom w:val="single" w:sz="7" w:color="FFFFFF"/>
              <w:right w:val="single" w:sz="7" w:color="FFFFFF"/>
              <w:insideH w:val="single" w:sz="7" w:color="FFFFFF"/>
              <w:insideV w:val="single" w:sz="7" w:color="FFFFFF"/>
            </w:tcBorders>
            <w:tcMar>
              <w:top w:w="95" w:type="dxa"/>
              <w:start w:w="125" w:type="dxa"/>
              <w:bottom w:w="95" w:type="dxa"/>
              <w:end w:w="12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  In Progress</w:t>
            </w:r>
          </w:p>
          <w:p>
            <w:pPr>
              <w:spacing w:after="20"/>
              <w:jc w:val="center"/>
            </w:pPr>
            <w:r>
              <w:rPr>
                <w:b/>
                <w:color w:val="DDF3F0"/>
                <w:sz w:val="17"/>
              </w:rPr>
              <w:t>Researcher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6"/>
              </w:rPr>
              <w:t>Write, format and link assigned content</w:t>
            </w:r>
          </w:p>
        </w:tc>
        <w:tc>
          <w:tcPr>
            <w:tcW w:type="dxa" w:w="3848"/>
            <w:shd w:fill="2F5597"/>
            <w:tcBorders>
              <w:top w:val="single" w:sz="7" w:color="FFFFFF"/>
              <w:left w:val="single" w:sz="7" w:color="FFFFFF"/>
              <w:bottom w:val="single" w:sz="7" w:color="FFFFFF"/>
              <w:right w:val="single" w:sz="7" w:color="FFFFFF"/>
              <w:insideH w:val="single" w:sz="7" w:color="FFFFFF"/>
              <w:insideV w:val="single" w:sz="7" w:color="FFFFFF"/>
            </w:tcBorders>
            <w:tcMar>
              <w:top w:w="95" w:type="dxa"/>
              <w:start w:w="125" w:type="dxa"/>
              <w:bottom w:w="95" w:type="dxa"/>
              <w:end w:w="12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2  In Sub Edit</w:t>
            </w:r>
          </w:p>
          <w:p>
            <w:pPr>
              <w:spacing w:after="20"/>
              <w:jc w:val="center"/>
            </w:pPr>
            <w:r>
              <w:rPr>
                <w:b/>
                <w:color w:val="DDF3F0"/>
                <w:sz w:val="17"/>
              </w:rPr>
              <w:t>Sub-editor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6"/>
              </w:rPr>
              <w:t>Review, edit, check and accept each block</w:t>
            </w:r>
          </w:p>
        </w:tc>
        <w:tc>
          <w:tcPr>
            <w:tcW w:type="dxa" w:w="3848"/>
            <w:shd w:fill="17365D"/>
            <w:tcBorders>
              <w:top w:val="single" w:sz="7" w:color="FFFFFF"/>
              <w:left w:val="single" w:sz="7" w:color="FFFFFF"/>
              <w:bottom w:val="single" w:sz="7" w:color="FFFFFF"/>
              <w:right w:val="single" w:sz="7" w:color="FFFFFF"/>
              <w:insideH w:val="single" w:sz="7" w:color="FFFFFF"/>
              <w:insideV w:val="single" w:sz="7" w:color="FFFFFF"/>
            </w:tcBorders>
            <w:tcMar>
              <w:top w:w="95" w:type="dxa"/>
              <w:start w:w="125" w:type="dxa"/>
              <w:bottom w:w="95" w:type="dxa"/>
              <w:end w:w="12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3  Awaiting FIS Review</w:t>
            </w:r>
          </w:p>
          <w:p>
            <w:pPr>
              <w:spacing w:after="20"/>
              <w:jc w:val="center"/>
            </w:pPr>
            <w:r>
              <w:rPr>
                <w:b/>
                <w:color w:val="DDF3F0"/>
                <w:sz w:val="17"/>
              </w:rPr>
              <w:t>FIS Specialist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6"/>
              </w:rPr>
              <w:t>Validate preview and structured output</w:t>
            </w:r>
          </w:p>
        </w:tc>
        <w:tc>
          <w:tcPr>
            <w:tcW w:type="dxa" w:w="3848"/>
            <w:shd w:fill="2F5597"/>
            <w:tcBorders>
              <w:top w:val="single" w:sz="7" w:color="FFFFFF"/>
              <w:left w:val="single" w:sz="7" w:color="FFFFFF"/>
              <w:bottom w:val="single" w:sz="7" w:color="FFFFFF"/>
              <w:right w:val="single" w:sz="7" w:color="FFFFFF"/>
              <w:insideH w:val="single" w:sz="7" w:color="FFFFFF"/>
              <w:insideV w:val="single" w:sz="7" w:color="FFFFFF"/>
            </w:tcBorders>
            <w:tcMar>
              <w:top w:w="95" w:type="dxa"/>
              <w:start w:w="125" w:type="dxa"/>
              <w:bottom w:w="95" w:type="dxa"/>
              <w:end w:w="12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4  Published FIS</w:t>
            </w:r>
          </w:p>
          <w:p>
            <w:pPr>
              <w:spacing w:after="20"/>
              <w:jc w:val="center"/>
            </w:pPr>
            <w:r>
              <w:rPr>
                <w:b/>
                <w:color w:val="DDF3F0"/>
                <w:sz w:val="17"/>
              </w:rPr>
              <w:t>FIS Specialist or Supervisor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6"/>
              </w:rPr>
              <w:t>Publish through the authorised FIS boundary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c>
          <w:tcPr>
            <w:tcW w:type="dxa" w:w="7697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000000"/>
                <w:sz w:val="24"/>
              </w:rPr>
              <w:t>Key functionality</w:t>
            </w:r>
          </w:p>
          <w:p>
            <w:pPr>
              <w:pStyle w:val="ListBullet"/>
              <w:spacing w:after="40"/>
              <w:ind w:left="259" w:hanging="173"/>
            </w:pPr>
            <w:r>
              <w:t>Controlled stat-sheet creation using local calendar and event data</w:t>
            </w:r>
          </w:p>
          <w:p>
            <w:pPr>
              <w:pStyle w:val="ListBullet"/>
              <w:spacing w:after="40"/>
              <w:ind w:left="259" w:hanging="173"/>
            </w:pPr>
            <w:r>
              <w:t>Rich-text statistics and sub-headings with formatting, ordering and working notes</w:t>
            </w:r>
          </w:p>
          <w:p>
            <w:pPr>
              <w:pStyle w:val="ListBullet"/>
              <w:spacing w:after="40"/>
              <w:ind w:left="259" w:hanging="173"/>
            </w:pPr>
            <w:r>
              <w:t>Athlete and entity autocomplete, range-based links and publication link checking</w:t>
            </w:r>
          </w:p>
          <w:p>
            <w:pPr>
              <w:pStyle w:val="ListBullet"/>
              <w:spacing w:after="40"/>
              <w:ind w:left="259" w:hanging="173"/>
            </w:pPr>
            <w:r>
              <w:t>Role-based queues, filtering, sorting, allocation and status tracking</w:t>
            </w:r>
          </w:p>
          <w:p>
            <w:pPr>
              <w:pStyle w:val="ListBullet"/>
              <w:spacing w:after="40"/>
              <w:ind w:left="259" w:hanging="173"/>
            </w:pPr>
            <w:r>
              <w:t>Publication preview, FIS JSON validation, publishing and controlled withdrawal</w:t>
            </w:r>
          </w:p>
        </w:tc>
        <w:tc>
          <w:tcPr>
            <w:tcW w:type="dxa" w:w="7697"/>
            <w:shd w:fill="DDF3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000000"/>
                <w:sz w:val="24"/>
              </w:rPr>
              <w:t>Who uses it</w:t>
            </w:r>
          </w:p>
          <w:p>
            <w:pPr>
              <w:pStyle w:val="ListBullet"/>
              <w:spacing w:after="40"/>
              <w:ind w:left="259" w:hanging="173"/>
            </w:pPr>
            <w:r>
              <w:t>Researchers prepare their assigned sheets and submit them for sub-edit</w:t>
            </w:r>
          </w:p>
          <w:p>
            <w:pPr>
              <w:pStyle w:val="ListBullet"/>
              <w:spacing w:after="40"/>
              <w:ind w:left="259" w:hanging="173"/>
            </w:pPr>
            <w:r>
              <w:t>Sub-editors review any sheet, accept content, return work and approve it</w:t>
            </w:r>
          </w:p>
          <w:p>
            <w:pPr>
              <w:pStyle w:val="ListBullet"/>
              <w:spacing w:after="40"/>
              <w:ind w:left="259" w:hanging="173"/>
            </w:pPr>
            <w:r>
              <w:t>FIS Specialists share the final review queue and perform authorised publication</w:t>
            </w:r>
          </w:p>
          <w:p>
            <w:pPr>
              <w:pStyle w:val="ListBullet"/>
              <w:spacing w:after="40"/>
              <w:ind w:left="259" w:hanging="173"/>
            </w:pPr>
            <w:r>
              <w:t>Supervisors create sheets, manage users and catalogues, resolve locks and oversee delivery</w:t>
            </w:r>
          </w:p>
          <w:p>
            <w:pPr>
              <w:pStyle w:val="ListBullet"/>
              <w:spacing w:after="40"/>
              <w:ind w:left="259" w:hanging="173"/>
            </w:pPr>
            <w:r>
              <w:t>AMP management can monitor workload, exceptions and progress through Beta dashboards</w:t>
            </w:r>
          </w:p>
        </w:tc>
      </w:tr>
      <w:tr>
        <w:tc>
          <w:tcPr>
            <w:tcW w:type="dxa" w:w="7697"/>
            <w:shd w:fill="DDF3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000000"/>
                <w:sz w:val="24"/>
              </w:rPr>
              <w:t>Technology foundation</w:t>
            </w:r>
          </w:p>
          <w:p>
            <w:pPr>
              <w:pStyle w:val="ListBullet"/>
              <w:spacing w:after="40"/>
              <w:ind w:left="259" w:hanging="173"/>
            </w:pPr>
            <w:r>
              <w:t>Python and Flask application with server-rendered HTML, CSS and JavaScript</w:t>
            </w:r>
          </w:p>
          <w:p>
            <w:pPr>
              <w:pStyle w:val="ListBullet"/>
              <w:spacing w:after="40"/>
              <w:ind w:left="259" w:hanging="173"/>
            </w:pPr>
            <w:r>
              <w:t>Supabase and PostgreSQL for structured data, atomic locks, sequences and audit records</w:t>
            </w:r>
          </w:p>
          <w:p>
            <w:pPr>
              <w:pStyle w:val="ListBullet"/>
              <w:spacing w:after="40"/>
              <w:ind w:left="259" w:hanging="173"/>
            </w:pPr>
            <w:r>
              <w:t>JWT-based workspace authentication and server-enforced role permissions</w:t>
            </w:r>
          </w:p>
          <w:p>
            <w:pPr>
              <w:pStyle w:val="ListBullet"/>
              <w:spacing w:after="40"/>
              <w:ind w:left="259" w:hanging="173"/>
            </w:pPr>
            <w:r>
              <w:t>Heroku application runtime with Gunicorn</w:t>
            </w:r>
          </w:p>
          <w:p>
            <w:pPr>
              <w:pStyle w:val="ListBullet"/>
              <w:spacing w:after="40"/>
              <w:ind w:left="259" w:hanging="173"/>
            </w:pPr>
            <w:r>
              <w:t>Separated local catalogue, FIS General API and Media Stat Sheets publication boundaries</w:t>
            </w:r>
          </w:p>
        </w:tc>
        <w:tc>
          <w:tcPr>
            <w:tcW w:type="dxa" w:w="7697"/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000000"/>
                <w:sz w:val="24"/>
              </w:rPr>
              <w:t>Operational safeguards and value</w:t>
            </w:r>
          </w:p>
          <w:p>
            <w:pPr>
              <w:pStyle w:val="ListBullet"/>
              <w:spacing w:after="40"/>
              <w:ind w:left="259" w:hanging="173"/>
            </w:pPr>
            <w:r>
              <w:t>One active editor per sheet with heartbeat renewal and 60-minute inactivity expiry</w:t>
            </w:r>
          </w:p>
          <w:p>
            <w:pPr>
              <w:pStyle w:val="ListBullet"/>
              <w:spacing w:after="40"/>
              <w:ind w:left="259" w:hanging="173"/>
            </w:pPr>
            <w:r>
              <w:t>Token and version checks prevent stale browser tabs from overwriting newer work</w:t>
            </w:r>
          </w:p>
          <w:p>
            <w:pPr>
              <w:pStyle w:val="ListBullet"/>
              <w:spacing w:after="40"/>
              <w:ind w:left="259" w:hanging="173"/>
            </w:pPr>
            <w:r>
              <w:t>Controlled Client Event IDs, structured validation and deliberate publication actions</w:t>
            </w:r>
          </w:p>
          <w:p>
            <w:pPr>
              <w:pStyle w:val="ListBullet"/>
              <w:spacing w:after="40"/>
              <w:ind w:left="259" w:hanging="173"/>
            </w:pPr>
            <w:r>
              <w:t>Readable locked views, Supervisor force takeover and retained workflow history</w:t>
            </w:r>
          </w:p>
          <w:p>
            <w:pPr>
              <w:pStyle w:val="ListBullet"/>
              <w:spacing w:after="40"/>
              <w:ind w:left="259" w:hanging="173"/>
            </w:pPr>
            <w:r>
              <w:t>A reusable platform capable of supporting additional sports and clients in future phases</w:t>
            </w:r>
          </w:p>
        </w:tc>
      </w:tr>
    </w:tbl>
    <w:p>
      <w:pPr>
        <w:spacing w:after="0"/>
      </w:pPr>
    </w:p>
    <w:p>
      <w:pPr>
        <w:spacing w:before="60" w:after="0"/>
        <w:jc w:val="center"/>
      </w:pPr>
      <w:r>
        <w:rPr>
          <w:b/>
          <w:color w:val="237A57"/>
        </w:rPr>
        <w:t xml:space="preserve">Current delivery boundary  </w:t>
      </w:r>
      <w:r>
        <w:t>The workflow and mock publication path are available now. Live FIS publication remains conditional on authorised endpoints, credentials, scopes and production configuration.</w:t>
      </w:r>
    </w:p>
    <w:sectPr w:rsidR="00FC693F" w:rsidRPr="0006063C" w:rsidSect="00034616">
      <w:footerReference w:type="default" r:id="rId9"/>
      <w:pgSz w:w="16834" w:h="11909" w:orient="landscape"/>
      <w:pgMar w:top="619" w:right="720" w:bottom="547" w:left="720" w:header="720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A5A5A"/>
        <w:sz w:val="15"/>
      </w:rPr>
      <w:t>CXMS Sports Editorial  |  One-page overview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color w:val="1F2A3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CXMS Sports Editorial Overview</dc:title>
  <dc:subject>One-page product overview</dc:subject>
  <dc:creator>CXMS</dc:creator>
  <cp:keywords/>
  <dc:description>Current product overview prepared from the Sports Editorial Workspace implementation.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