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spacing w:val="0"/>
          <w:kern w:val="2"/>
          <w:sz w:val="24"/>
          <w:szCs w:val="24"/>
        </w:rPr>
        <w:id w:val="1830863187"/>
        <w:docPartObj>
          <w:docPartGallery w:val="Table of Contents"/>
          <w:docPartUnique/>
        </w:docPartObj>
      </w:sdtPr>
      <w:sdtEndPr>
        <w:rPr>
          <w:b/>
          <w:bCs/>
          <w:noProof/>
        </w:rPr>
      </w:sdtEndPr>
      <w:sdtContent>
        <w:p w14:paraId="1823847F" w14:textId="13AF8680" w:rsidR="00303293" w:rsidRPr="009C43FC" w:rsidRDefault="00EB3491" w:rsidP="00303293">
          <w:pPr>
            <w:pStyle w:val="Title"/>
            <w:rPr>
              <w:rFonts w:ascii="Times New Roman" w:hAnsi="Times New Roman" w:cs="Times New Roman"/>
              <w:b/>
              <w:bCs/>
              <w:sz w:val="28"/>
              <w:szCs w:val="28"/>
            </w:rPr>
          </w:pPr>
          <w:r w:rsidRPr="009C43FC">
            <w:rPr>
              <w:rFonts w:ascii="Times New Roman" w:hAnsi="Times New Roman" w:cs="Times New Roman"/>
              <w:b/>
              <w:bCs/>
              <w:sz w:val="28"/>
              <w:szCs w:val="28"/>
            </w:rPr>
            <w:t xml:space="preserve">Rule of Law: Theoretical </w:t>
          </w:r>
          <w:r w:rsidR="009C43FC" w:rsidRPr="009C43FC">
            <w:rPr>
              <w:rFonts w:ascii="Times New Roman" w:hAnsi="Times New Roman" w:cs="Times New Roman"/>
              <w:b/>
              <w:bCs/>
              <w:sz w:val="28"/>
              <w:szCs w:val="28"/>
            </w:rPr>
            <w:t>Projection</w:t>
          </w:r>
          <w:r w:rsidRPr="009C43FC">
            <w:rPr>
              <w:rFonts w:ascii="Times New Roman" w:hAnsi="Times New Roman" w:cs="Times New Roman"/>
              <w:b/>
              <w:bCs/>
              <w:sz w:val="28"/>
              <w:szCs w:val="28"/>
            </w:rPr>
            <w:t xml:space="preserve"> and Practical Applications in</w:t>
          </w:r>
          <w:r w:rsidR="00235916">
            <w:rPr>
              <w:rFonts w:ascii="Times New Roman" w:hAnsi="Times New Roman" w:cs="Times New Roman"/>
              <w:b/>
              <w:bCs/>
              <w:sz w:val="28"/>
              <w:szCs w:val="28"/>
            </w:rPr>
            <w:t xml:space="preserve"> UK</w:t>
          </w:r>
          <w:r w:rsidRPr="009C43FC">
            <w:rPr>
              <w:rFonts w:ascii="Times New Roman" w:hAnsi="Times New Roman" w:cs="Times New Roman"/>
              <w:b/>
              <w:bCs/>
              <w:sz w:val="28"/>
              <w:szCs w:val="28"/>
            </w:rPr>
            <w:t xml:space="preserve"> Legislation</w:t>
          </w:r>
        </w:p>
        <w:p w14:paraId="5CF92C5E" w14:textId="4883F343" w:rsidR="00F42DBF" w:rsidRDefault="00C62A8E">
          <w:pPr>
            <w:pStyle w:val="TOC1"/>
            <w:tabs>
              <w:tab w:val="right" w:leader="dot" w:pos="9016"/>
            </w:tabs>
            <w:rPr>
              <w:b w:val="0"/>
              <w:bCs w:val="0"/>
              <w:i w:val="0"/>
              <w:iCs w:val="0"/>
              <w:noProof/>
            </w:rPr>
          </w:pPr>
          <w:r w:rsidRPr="00E3792C">
            <w:rPr>
              <w:rFonts w:ascii="Times New Roman" w:hAnsi="Times New Roman" w:cs="Times New Roman"/>
              <w:b w:val="0"/>
              <w:bCs w:val="0"/>
              <w:i w:val="0"/>
              <w:iCs w:val="0"/>
            </w:rPr>
            <w:fldChar w:fldCharType="begin"/>
          </w:r>
          <w:r w:rsidRPr="00E3792C">
            <w:rPr>
              <w:rFonts w:ascii="Times New Roman" w:hAnsi="Times New Roman" w:cs="Times New Roman"/>
              <w:b w:val="0"/>
              <w:bCs w:val="0"/>
              <w:i w:val="0"/>
              <w:iCs w:val="0"/>
            </w:rPr>
            <w:instrText xml:space="preserve"> TOC \o "1-3" \h \z \u </w:instrText>
          </w:r>
          <w:r w:rsidRPr="00E3792C">
            <w:rPr>
              <w:rFonts w:ascii="Times New Roman" w:hAnsi="Times New Roman" w:cs="Times New Roman"/>
              <w:b w:val="0"/>
              <w:bCs w:val="0"/>
              <w:i w:val="0"/>
              <w:iCs w:val="0"/>
            </w:rPr>
            <w:fldChar w:fldCharType="separate"/>
          </w:r>
          <w:hyperlink w:anchor="_Toc187166826" w:history="1">
            <w:r w:rsidR="00F42DBF" w:rsidRPr="002876E0">
              <w:rPr>
                <w:rStyle w:val="Hyperlink"/>
                <w:rFonts w:ascii="Times New Roman" w:hAnsi="Times New Roman" w:cs="Times New Roman"/>
                <w:noProof/>
              </w:rPr>
              <w:t>Introduction</w:t>
            </w:r>
            <w:r w:rsidR="00F42DBF">
              <w:rPr>
                <w:noProof/>
                <w:webHidden/>
              </w:rPr>
              <w:tab/>
            </w:r>
            <w:r w:rsidR="00F42DBF">
              <w:rPr>
                <w:noProof/>
                <w:webHidden/>
              </w:rPr>
              <w:fldChar w:fldCharType="begin"/>
            </w:r>
            <w:r w:rsidR="00F42DBF">
              <w:rPr>
                <w:noProof/>
                <w:webHidden/>
              </w:rPr>
              <w:instrText xml:space="preserve"> PAGEREF _Toc187166826 \h </w:instrText>
            </w:r>
            <w:r w:rsidR="00F42DBF">
              <w:rPr>
                <w:noProof/>
                <w:webHidden/>
              </w:rPr>
            </w:r>
            <w:r w:rsidR="00F42DBF">
              <w:rPr>
                <w:noProof/>
                <w:webHidden/>
              </w:rPr>
              <w:fldChar w:fldCharType="separate"/>
            </w:r>
            <w:r w:rsidR="00F42DBF">
              <w:rPr>
                <w:noProof/>
                <w:webHidden/>
              </w:rPr>
              <w:t>1</w:t>
            </w:r>
            <w:r w:rsidR="00F42DBF">
              <w:rPr>
                <w:noProof/>
                <w:webHidden/>
              </w:rPr>
              <w:fldChar w:fldCharType="end"/>
            </w:r>
          </w:hyperlink>
        </w:p>
        <w:p w14:paraId="5E27E7A4" w14:textId="6A981054" w:rsidR="00F42DBF" w:rsidRDefault="00F42DBF">
          <w:pPr>
            <w:pStyle w:val="TOC1"/>
            <w:tabs>
              <w:tab w:val="right" w:leader="dot" w:pos="9016"/>
            </w:tabs>
            <w:rPr>
              <w:b w:val="0"/>
              <w:bCs w:val="0"/>
              <w:i w:val="0"/>
              <w:iCs w:val="0"/>
              <w:noProof/>
            </w:rPr>
          </w:pPr>
          <w:hyperlink w:anchor="_Toc187166827" w:history="1">
            <w:r w:rsidRPr="002876E0">
              <w:rPr>
                <w:rStyle w:val="Hyperlink"/>
                <w:rFonts w:ascii="Times New Roman" w:hAnsi="Times New Roman" w:cs="Times New Roman"/>
                <w:noProof/>
              </w:rPr>
              <w:t>Comparison</w:t>
            </w:r>
            <w:r>
              <w:rPr>
                <w:noProof/>
                <w:webHidden/>
              </w:rPr>
              <w:tab/>
            </w:r>
            <w:r>
              <w:rPr>
                <w:noProof/>
                <w:webHidden/>
              </w:rPr>
              <w:fldChar w:fldCharType="begin"/>
            </w:r>
            <w:r>
              <w:rPr>
                <w:noProof/>
                <w:webHidden/>
              </w:rPr>
              <w:instrText xml:space="preserve"> PAGEREF _Toc187166827 \h </w:instrText>
            </w:r>
            <w:r>
              <w:rPr>
                <w:noProof/>
                <w:webHidden/>
              </w:rPr>
            </w:r>
            <w:r>
              <w:rPr>
                <w:noProof/>
                <w:webHidden/>
              </w:rPr>
              <w:fldChar w:fldCharType="separate"/>
            </w:r>
            <w:r>
              <w:rPr>
                <w:noProof/>
                <w:webHidden/>
              </w:rPr>
              <w:t>1</w:t>
            </w:r>
            <w:r>
              <w:rPr>
                <w:noProof/>
                <w:webHidden/>
              </w:rPr>
              <w:fldChar w:fldCharType="end"/>
            </w:r>
          </w:hyperlink>
        </w:p>
        <w:p w14:paraId="3BEE6215" w14:textId="20384E38" w:rsidR="00F42DBF" w:rsidRDefault="00F42DBF">
          <w:pPr>
            <w:pStyle w:val="TOC2"/>
            <w:tabs>
              <w:tab w:val="right" w:leader="dot" w:pos="9016"/>
            </w:tabs>
            <w:rPr>
              <w:b w:val="0"/>
              <w:bCs w:val="0"/>
              <w:noProof/>
              <w:sz w:val="24"/>
              <w:szCs w:val="24"/>
            </w:rPr>
          </w:pPr>
          <w:hyperlink w:anchor="_Toc187166828" w:history="1">
            <w:r w:rsidRPr="002876E0">
              <w:rPr>
                <w:rStyle w:val="Hyperlink"/>
                <w:rFonts w:ascii="Times New Roman" w:hAnsi="Times New Roman" w:cs="Times New Roman"/>
                <w:i/>
                <w:iCs/>
                <w:noProof/>
              </w:rPr>
              <w:t>The King’s Speech and the Rule of Law</w:t>
            </w:r>
            <w:r>
              <w:rPr>
                <w:noProof/>
                <w:webHidden/>
              </w:rPr>
              <w:tab/>
            </w:r>
            <w:r>
              <w:rPr>
                <w:noProof/>
                <w:webHidden/>
              </w:rPr>
              <w:fldChar w:fldCharType="begin"/>
            </w:r>
            <w:r>
              <w:rPr>
                <w:noProof/>
                <w:webHidden/>
              </w:rPr>
              <w:instrText xml:space="preserve"> PAGEREF _Toc187166828 \h </w:instrText>
            </w:r>
            <w:r>
              <w:rPr>
                <w:noProof/>
                <w:webHidden/>
              </w:rPr>
            </w:r>
            <w:r>
              <w:rPr>
                <w:noProof/>
                <w:webHidden/>
              </w:rPr>
              <w:fldChar w:fldCharType="separate"/>
            </w:r>
            <w:r>
              <w:rPr>
                <w:noProof/>
                <w:webHidden/>
              </w:rPr>
              <w:t>1</w:t>
            </w:r>
            <w:r>
              <w:rPr>
                <w:noProof/>
                <w:webHidden/>
              </w:rPr>
              <w:fldChar w:fldCharType="end"/>
            </w:r>
          </w:hyperlink>
        </w:p>
        <w:p w14:paraId="4335A1DC" w14:textId="265C1D7D" w:rsidR="00F42DBF" w:rsidRDefault="00F42DBF">
          <w:pPr>
            <w:pStyle w:val="TOC2"/>
            <w:tabs>
              <w:tab w:val="right" w:leader="dot" w:pos="9016"/>
            </w:tabs>
            <w:rPr>
              <w:b w:val="0"/>
              <w:bCs w:val="0"/>
              <w:noProof/>
              <w:sz w:val="24"/>
              <w:szCs w:val="24"/>
            </w:rPr>
          </w:pPr>
          <w:hyperlink w:anchor="_Toc187166829" w:history="1">
            <w:r w:rsidRPr="002876E0">
              <w:rPr>
                <w:rStyle w:val="Hyperlink"/>
                <w:rFonts w:ascii="Times New Roman" w:hAnsi="Times New Roman" w:cs="Times New Roman"/>
                <w:i/>
                <w:iCs/>
                <w:noProof/>
              </w:rPr>
              <w:t>Ghaidan v Godin-Mendoza</w:t>
            </w:r>
            <w:r w:rsidRPr="002876E0">
              <w:rPr>
                <w:rStyle w:val="Hyperlink"/>
                <w:rFonts w:ascii="Times New Roman" w:hAnsi="Times New Roman" w:cs="Times New Roman"/>
                <w:noProof/>
              </w:rPr>
              <w:t xml:space="preserve"> [2004] UKHL 30</w:t>
            </w:r>
            <w:r>
              <w:rPr>
                <w:noProof/>
                <w:webHidden/>
              </w:rPr>
              <w:tab/>
            </w:r>
            <w:r>
              <w:rPr>
                <w:noProof/>
                <w:webHidden/>
              </w:rPr>
              <w:fldChar w:fldCharType="begin"/>
            </w:r>
            <w:r>
              <w:rPr>
                <w:noProof/>
                <w:webHidden/>
              </w:rPr>
              <w:instrText xml:space="preserve"> PAGEREF _Toc187166829 \h </w:instrText>
            </w:r>
            <w:r>
              <w:rPr>
                <w:noProof/>
                <w:webHidden/>
              </w:rPr>
            </w:r>
            <w:r>
              <w:rPr>
                <w:noProof/>
                <w:webHidden/>
              </w:rPr>
              <w:fldChar w:fldCharType="separate"/>
            </w:r>
            <w:r>
              <w:rPr>
                <w:noProof/>
                <w:webHidden/>
              </w:rPr>
              <w:t>2</w:t>
            </w:r>
            <w:r>
              <w:rPr>
                <w:noProof/>
                <w:webHidden/>
              </w:rPr>
              <w:fldChar w:fldCharType="end"/>
            </w:r>
          </w:hyperlink>
        </w:p>
        <w:p w14:paraId="7B8F53C7" w14:textId="3D3B97A9" w:rsidR="00F42DBF" w:rsidRDefault="00F42DBF">
          <w:pPr>
            <w:pStyle w:val="TOC1"/>
            <w:tabs>
              <w:tab w:val="right" w:leader="dot" w:pos="9016"/>
            </w:tabs>
            <w:rPr>
              <w:b w:val="0"/>
              <w:bCs w:val="0"/>
              <w:i w:val="0"/>
              <w:iCs w:val="0"/>
              <w:noProof/>
            </w:rPr>
          </w:pPr>
          <w:hyperlink w:anchor="_Toc187166830" w:history="1">
            <w:r w:rsidRPr="002876E0">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_Toc187166830 \h </w:instrText>
            </w:r>
            <w:r>
              <w:rPr>
                <w:noProof/>
                <w:webHidden/>
              </w:rPr>
            </w:r>
            <w:r>
              <w:rPr>
                <w:noProof/>
                <w:webHidden/>
              </w:rPr>
              <w:fldChar w:fldCharType="separate"/>
            </w:r>
            <w:r>
              <w:rPr>
                <w:noProof/>
                <w:webHidden/>
              </w:rPr>
              <w:t>3</w:t>
            </w:r>
            <w:r>
              <w:rPr>
                <w:noProof/>
                <w:webHidden/>
              </w:rPr>
              <w:fldChar w:fldCharType="end"/>
            </w:r>
          </w:hyperlink>
        </w:p>
        <w:p w14:paraId="448DF7D9" w14:textId="3400BFAD" w:rsidR="00F42DBF" w:rsidRDefault="00F42DBF">
          <w:pPr>
            <w:pStyle w:val="TOC1"/>
            <w:tabs>
              <w:tab w:val="right" w:leader="dot" w:pos="9016"/>
            </w:tabs>
            <w:rPr>
              <w:b w:val="0"/>
              <w:bCs w:val="0"/>
              <w:i w:val="0"/>
              <w:iCs w:val="0"/>
              <w:noProof/>
            </w:rPr>
          </w:pPr>
          <w:hyperlink w:anchor="_Toc187166831" w:history="1">
            <w:r w:rsidRPr="002876E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_Toc187166831 \h </w:instrText>
            </w:r>
            <w:r>
              <w:rPr>
                <w:noProof/>
                <w:webHidden/>
              </w:rPr>
            </w:r>
            <w:r>
              <w:rPr>
                <w:noProof/>
                <w:webHidden/>
              </w:rPr>
              <w:fldChar w:fldCharType="separate"/>
            </w:r>
            <w:r>
              <w:rPr>
                <w:noProof/>
                <w:webHidden/>
              </w:rPr>
              <w:t>3</w:t>
            </w:r>
            <w:r>
              <w:rPr>
                <w:noProof/>
                <w:webHidden/>
              </w:rPr>
              <w:fldChar w:fldCharType="end"/>
            </w:r>
          </w:hyperlink>
        </w:p>
        <w:p w14:paraId="156A11BB" w14:textId="5A918171" w:rsidR="00F42DBF" w:rsidRDefault="00F42DBF">
          <w:pPr>
            <w:pStyle w:val="TOC1"/>
            <w:tabs>
              <w:tab w:val="right" w:leader="dot" w:pos="9016"/>
            </w:tabs>
            <w:rPr>
              <w:b w:val="0"/>
              <w:bCs w:val="0"/>
              <w:i w:val="0"/>
              <w:iCs w:val="0"/>
              <w:noProof/>
            </w:rPr>
          </w:pPr>
          <w:hyperlink w:anchor="_Toc187166832" w:history="1">
            <w:r w:rsidRPr="002876E0">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_Toc187166832 \h </w:instrText>
            </w:r>
            <w:r>
              <w:rPr>
                <w:noProof/>
                <w:webHidden/>
              </w:rPr>
            </w:r>
            <w:r>
              <w:rPr>
                <w:noProof/>
                <w:webHidden/>
              </w:rPr>
              <w:fldChar w:fldCharType="separate"/>
            </w:r>
            <w:r>
              <w:rPr>
                <w:noProof/>
                <w:webHidden/>
              </w:rPr>
              <w:t>4</w:t>
            </w:r>
            <w:r>
              <w:rPr>
                <w:noProof/>
                <w:webHidden/>
              </w:rPr>
              <w:fldChar w:fldCharType="end"/>
            </w:r>
          </w:hyperlink>
        </w:p>
        <w:p w14:paraId="2136FADE" w14:textId="7568CACA" w:rsidR="00F42DBF" w:rsidRDefault="00F42DBF">
          <w:pPr>
            <w:pStyle w:val="TOC2"/>
            <w:tabs>
              <w:tab w:val="right" w:leader="dot" w:pos="9016"/>
            </w:tabs>
            <w:rPr>
              <w:b w:val="0"/>
              <w:bCs w:val="0"/>
              <w:noProof/>
              <w:sz w:val="24"/>
              <w:szCs w:val="24"/>
            </w:rPr>
          </w:pPr>
          <w:hyperlink w:anchor="_Toc187166833" w:history="1">
            <w:r w:rsidRPr="002876E0">
              <w:rPr>
                <w:rStyle w:val="Hyperlink"/>
                <w:rFonts w:ascii="Times New Roman" w:hAnsi="Times New Roman" w:cs="Times New Roman"/>
                <w:noProof/>
              </w:rPr>
              <w:t>Cases</w:t>
            </w:r>
            <w:r>
              <w:rPr>
                <w:noProof/>
                <w:webHidden/>
              </w:rPr>
              <w:tab/>
            </w:r>
            <w:r>
              <w:rPr>
                <w:noProof/>
                <w:webHidden/>
              </w:rPr>
              <w:fldChar w:fldCharType="begin"/>
            </w:r>
            <w:r>
              <w:rPr>
                <w:noProof/>
                <w:webHidden/>
              </w:rPr>
              <w:instrText xml:space="preserve"> PAGEREF _Toc187166833 \h </w:instrText>
            </w:r>
            <w:r>
              <w:rPr>
                <w:noProof/>
                <w:webHidden/>
              </w:rPr>
            </w:r>
            <w:r>
              <w:rPr>
                <w:noProof/>
                <w:webHidden/>
              </w:rPr>
              <w:fldChar w:fldCharType="separate"/>
            </w:r>
            <w:r>
              <w:rPr>
                <w:noProof/>
                <w:webHidden/>
              </w:rPr>
              <w:t>4</w:t>
            </w:r>
            <w:r>
              <w:rPr>
                <w:noProof/>
                <w:webHidden/>
              </w:rPr>
              <w:fldChar w:fldCharType="end"/>
            </w:r>
          </w:hyperlink>
        </w:p>
        <w:p w14:paraId="5542D882" w14:textId="16E79BE1" w:rsidR="00F42DBF" w:rsidRDefault="00F42DBF">
          <w:pPr>
            <w:pStyle w:val="TOC2"/>
            <w:tabs>
              <w:tab w:val="right" w:leader="dot" w:pos="9016"/>
            </w:tabs>
            <w:rPr>
              <w:b w:val="0"/>
              <w:bCs w:val="0"/>
              <w:noProof/>
              <w:sz w:val="24"/>
              <w:szCs w:val="24"/>
            </w:rPr>
          </w:pPr>
          <w:hyperlink w:anchor="_Toc187166834" w:history="1">
            <w:r w:rsidRPr="002876E0">
              <w:rPr>
                <w:rStyle w:val="Hyperlink"/>
                <w:rFonts w:ascii="Times New Roman" w:hAnsi="Times New Roman" w:cs="Times New Roman"/>
                <w:noProof/>
                <w:lang w:val="en-US"/>
              </w:rPr>
              <w:t>Legislation</w:t>
            </w:r>
            <w:r>
              <w:rPr>
                <w:noProof/>
                <w:webHidden/>
              </w:rPr>
              <w:tab/>
            </w:r>
            <w:r>
              <w:rPr>
                <w:noProof/>
                <w:webHidden/>
              </w:rPr>
              <w:fldChar w:fldCharType="begin"/>
            </w:r>
            <w:r>
              <w:rPr>
                <w:noProof/>
                <w:webHidden/>
              </w:rPr>
              <w:instrText xml:space="preserve"> PAGEREF _Toc187166834 \h </w:instrText>
            </w:r>
            <w:r>
              <w:rPr>
                <w:noProof/>
                <w:webHidden/>
              </w:rPr>
            </w:r>
            <w:r>
              <w:rPr>
                <w:noProof/>
                <w:webHidden/>
              </w:rPr>
              <w:fldChar w:fldCharType="separate"/>
            </w:r>
            <w:r>
              <w:rPr>
                <w:noProof/>
                <w:webHidden/>
              </w:rPr>
              <w:t>4</w:t>
            </w:r>
            <w:r>
              <w:rPr>
                <w:noProof/>
                <w:webHidden/>
              </w:rPr>
              <w:fldChar w:fldCharType="end"/>
            </w:r>
          </w:hyperlink>
        </w:p>
        <w:p w14:paraId="0078E678" w14:textId="62D7AE78" w:rsidR="00F42DBF" w:rsidRDefault="00F42DBF">
          <w:pPr>
            <w:pStyle w:val="TOC2"/>
            <w:tabs>
              <w:tab w:val="right" w:leader="dot" w:pos="9016"/>
            </w:tabs>
            <w:rPr>
              <w:b w:val="0"/>
              <w:bCs w:val="0"/>
              <w:noProof/>
              <w:sz w:val="24"/>
              <w:szCs w:val="24"/>
            </w:rPr>
          </w:pPr>
          <w:hyperlink w:anchor="_Toc187166835" w:history="1">
            <w:r w:rsidRPr="002876E0">
              <w:rPr>
                <w:rStyle w:val="Hyperlink"/>
                <w:rFonts w:ascii="Times New Roman" w:hAnsi="Times New Roman" w:cs="Times New Roman"/>
                <w:noProof/>
              </w:rPr>
              <w:t>EU Legislation</w:t>
            </w:r>
            <w:r>
              <w:rPr>
                <w:noProof/>
                <w:webHidden/>
              </w:rPr>
              <w:tab/>
            </w:r>
            <w:r>
              <w:rPr>
                <w:noProof/>
                <w:webHidden/>
              </w:rPr>
              <w:fldChar w:fldCharType="begin"/>
            </w:r>
            <w:r>
              <w:rPr>
                <w:noProof/>
                <w:webHidden/>
              </w:rPr>
              <w:instrText xml:space="preserve"> PAGEREF _Toc187166835 \h </w:instrText>
            </w:r>
            <w:r>
              <w:rPr>
                <w:noProof/>
                <w:webHidden/>
              </w:rPr>
            </w:r>
            <w:r>
              <w:rPr>
                <w:noProof/>
                <w:webHidden/>
              </w:rPr>
              <w:fldChar w:fldCharType="separate"/>
            </w:r>
            <w:r>
              <w:rPr>
                <w:noProof/>
                <w:webHidden/>
              </w:rPr>
              <w:t>4</w:t>
            </w:r>
            <w:r>
              <w:rPr>
                <w:noProof/>
                <w:webHidden/>
              </w:rPr>
              <w:fldChar w:fldCharType="end"/>
            </w:r>
          </w:hyperlink>
        </w:p>
        <w:p w14:paraId="392E4B02" w14:textId="683095E8" w:rsidR="00F42DBF" w:rsidRDefault="00F42DBF">
          <w:pPr>
            <w:pStyle w:val="TOC2"/>
            <w:tabs>
              <w:tab w:val="right" w:leader="dot" w:pos="9016"/>
            </w:tabs>
            <w:rPr>
              <w:b w:val="0"/>
              <w:bCs w:val="0"/>
              <w:noProof/>
              <w:sz w:val="24"/>
              <w:szCs w:val="24"/>
            </w:rPr>
          </w:pPr>
          <w:hyperlink w:anchor="_Toc187166836" w:history="1">
            <w:r w:rsidRPr="002876E0">
              <w:rPr>
                <w:rStyle w:val="Hyperlink"/>
                <w:rFonts w:ascii="Times New Roman" w:hAnsi="Times New Roman" w:cs="Times New Roman"/>
                <w:noProof/>
                <w:lang w:val="en-US"/>
              </w:rPr>
              <w:t>Secondary Sources</w:t>
            </w:r>
            <w:r>
              <w:rPr>
                <w:noProof/>
                <w:webHidden/>
              </w:rPr>
              <w:tab/>
            </w:r>
            <w:r>
              <w:rPr>
                <w:noProof/>
                <w:webHidden/>
              </w:rPr>
              <w:fldChar w:fldCharType="begin"/>
            </w:r>
            <w:r>
              <w:rPr>
                <w:noProof/>
                <w:webHidden/>
              </w:rPr>
              <w:instrText xml:space="preserve"> PAGEREF _Toc187166836 \h </w:instrText>
            </w:r>
            <w:r>
              <w:rPr>
                <w:noProof/>
                <w:webHidden/>
              </w:rPr>
            </w:r>
            <w:r>
              <w:rPr>
                <w:noProof/>
                <w:webHidden/>
              </w:rPr>
              <w:fldChar w:fldCharType="separate"/>
            </w:r>
            <w:r>
              <w:rPr>
                <w:noProof/>
                <w:webHidden/>
              </w:rPr>
              <w:t>4</w:t>
            </w:r>
            <w:r>
              <w:rPr>
                <w:noProof/>
                <w:webHidden/>
              </w:rPr>
              <w:fldChar w:fldCharType="end"/>
            </w:r>
          </w:hyperlink>
        </w:p>
        <w:p w14:paraId="2A8C189E" w14:textId="40005528" w:rsidR="00C62A8E" w:rsidRDefault="00C62A8E">
          <w:r w:rsidRPr="00E3792C">
            <w:rPr>
              <w:rFonts w:ascii="Times New Roman" w:hAnsi="Times New Roman" w:cs="Times New Roman"/>
              <w:noProof/>
            </w:rPr>
            <w:fldChar w:fldCharType="end"/>
          </w:r>
        </w:p>
      </w:sdtContent>
    </w:sdt>
    <w:p w14:paraId="3A0A7E82" w14:textId="77777777" w:rsidR="00F42DBF" w:rsidRPr="00003F8C" w:rsidRDefault="00F42DBF" w:rsidP="00F42DBF">
      <w:pPr>
        <w:pStyle w:val="Heading1"/>
        <w:spacing w:line="360" w:lineRule="auto"/>
        <w:jc w:val="both"/>
        <w:rPr>
          <w:rFonts w:ascii="Times New Roman" w:hAnsi="Times New Roman" w:cs="Times New Roman"/>
          <w:noProof/>
          <w:color w:val="000000" w:themeColor="text1"/>
          <w:lang w:val="en-US"/>
        </w:rPr>
      </w:pPr>
      <w:bookmarkStart w:id="0" w:name="_Toc187166826"/>
      <w:r w:rsidRPr="00620FAD">
        <w:rPr>
          <w:rFonts w:ascii="Times New Roman" w:hAnsi="Times New Roman" w:cs="Times New Roman"/>
          <w:noProof/>
          <w:color w:val="000000" w:themeColor="text1"/>
        </w:rPr>
        <w:t>Introduction</w:t>
      </w:r>
      <w:bookmarkEnd w:id="0"/>
    </w:p>
    <w:p w14:paraId="3FA40C88" w14:textId="77777777" w:rsidR="00F42DBF" w:rsidRDefault="00F42DBF" w:rsidP="00F42DBF">
      <w:pPr>
        <w:spacing w:line="360" w:lineRule="auto"/>
        <w:jc w:val="both"/>
        <w:rPr>
          <w:rFonts w:ascii="Times New Roman" w:hAnsi="Times New Roman" w:cs="Times New Roman"/>
        </w:rPr>
      </w:pPr>
      <w:r w:rsidRPr="00620FAD">
        <w:rPr>
          <w:rFonts w:ascii="Times New Roman" w:hAnsi="Times New Roman" w:cs="Times New Roman"/>
          <w:noProof/>
        </w:rPr>
        <w:t>Th</w:t>
      </w:r>
      <w:r>
        <w:rPr>
          <w:rFonts w:ascii="Times New Roman" w:hAnsi="Times New Roman" w:cs="Times New Roman"/>
          <w:noProof/>
        </w:rPr>
        <w:t>is essay aim</w:t>
      </w:r>
      <w:r w:rsidRPr="00620FAD">
        <w:rPr>
          <w:rFonts w:ascii="Times New Roman" w:hAnsi="Times New Roman" w:cs="Times New Roman"/>
          <w:noProof/>
        </w:rPr>
        <w:t xml:space="preserve">s to </w:t>
      </w:r>
      <w:r>
        <w:rPr>
          <w:rFonts w:ascii="Times New Roman" w:hAnsi="Times New Roman" w:cs="Times New Roman"/>
          <w:noProof/>
        </w:rPr>
        <w:t>illustrate how the constitutional principle of the Rule of Law is implemented within UK legislation by comparing</w:t>
      </w:r>
      <w:r w:rsidRPr="00620FAD">
        <w:rPr>
          <w:rFonts w:ascii="Times New Roman" w:hAnsi="Times New Roman" w:cs="Times New Roman"/>
          <w:noProof/>
        </w:rPr>
        <w:t xml:space="preserve"> two legal sources</w:t>
      </w:r>
      <w:r>
        <w:rPr>
          <w:rFonts w:ascii="Times New Roman" w:hAnsi="Times New Roman" w:cs="Times New Roman"/>
          <w:noProof/>
        </w:rPr>
        <w:t xml:space="preserve">: one general academic source exploring this principle in the pre-legislative context and another court case applying it in the post-legislative context. It </w:t>
      </w:r>
      <w:r w:rsidRPr="00620FAD">
        <w:rPr>
          <w:rFonts w:ascii="Times New Roman" w:hAnsi="Times New Roman" w:cs="Times New Roman"/>
          <w:noProof/>
        </w:rPr>
        <w:t>undertake</w:t>
      </w:r>
      <w:r>
        <w:rPr>
          <w:rFonts w:ascii="Times New Roman" w:hAnsi="Times New Roman" w:cs="Times New Roman"/>
          <w:noProof/>
        </w:rPr>
        <w:t>s</w:t>
      </w:r>
      <w:r w:rsidRPr="00620FAD">
        <w:rPr>
          <w:rFonts w:ascii="Times New Roman" w:hAnsi="Times New Roman" w:cs="Times New Roman"/>
          <w:noProof/>
        </w:rPr>
        <w:t xml:space="preserve"> a comparative analysis of a</w:t>
      </w:r>
      <w:r>
        <w:rPr>
          <w:rFonts w:ascii="Times New Roman" w:hAnsi="Times New Roman" w:cs="Times New Roman"/>
          <w:noProof/>
        </w:rPr>
        <w:t xml:space="preserve">n </w:t>
      </w:r>
      <w:r w:rsidRPr="00620FAD">
        <w:rPr>
          <w:rFonts w:ascii="Times New Roman" w:hAnsi="Times New Roman" w:cs="Times New Roman"/>
          <w:noProof/>
        </w:rPr>
        <w:t xml:space="preserve">academic commentary and a </w:t>
      </w:r>
      <w:r>
        <w:rPr>
          <w:rFonts w:ascii="Times New Roman" w:hAnsi="Times New Roman" w:cs="Times New Roman"/>
          <w:noProof/>
        </w:rPr>
        <w:t>judicial</w:t>
      </w:r>
      <w:r w:rsidRPr="00620FAD">
        <w:rPr>
          <w:rFonts w:ascii="Times New Roman" w:hAnsi="Times New Roman" w:cs="Times New Roman"/>
          <w:noProof/>
        </w:rPr>
        <w:t xml:space="preserve"> judgment, </w:t>
      </w:r>
      <w:r>
        <w:rPr>
          <w:rFonts w:ascii="Times New Roman" w:hAnsi="Times New Roman" w:cs="Times New Roman"/>
          <w:noProof/>
        </w:rPr>
        <w:t>examining</w:t>
      </w:r>
      <w:r w:rsidRPr="00620FAD">
        <w:rPr>
          <w:rFonts w:ascii="Times New Roman" w:hAnsi="Times New Roman" w:cs="Times New Roman"/>
          <w:noProof/>
        </w:rPr>
        <w:t xml:space="preserve"> how they uphold this constitutional principle through their distinctive approaches. </w:t>
      </w:r>
      <w:r>
        <w:rPr>
          <w:rFonts w:ascii="Times New Roman" w:hAnsi="Times New Roman" w:cs="Times New Roman"/>
          <w:noProof/>
        </w:rPr>
        <w:t>Furthermore,</w:t>
      </w:r>
      <w:r w:rsidRPr="00620FAD">
        <w:rPr>
          <w:rFonts w:ascii="Times New Roman" w:hAnsi="Times New Roman" w:cs="Times New Roman"/>
          <w:noProof/>
        </w:rPr>
        <w:t xml:space="preserve"> th</w:t>
      </w:r>
      <w:r>
        <w:rPr>
          <w:rFonts w:ascii="Times New Roman" w:hAnsi="Times New Roman" w:cs="Times New Roman"/>
          <w:noProof/>
        </w:rPr>
        <w:t>e essay discusses the implication</w:t>
      </w:r>
      <w:r w:rsidRPr="00620FAD">
        <w:rPr>
          <w:rFonts w:ascii="Times New Roman" w:hAnsi="Times New Roman" w:cs="Times New Roman"/>
          <w:noProof/>
        </w:rPr>
        <w:t xml:space="preserve"> of </w:t>
      </w:r>
      <w:r>
        <w:rPr>
          <w:rFonts w:ascii="Times New Roman" w:hAnsi="Times New Roman" w:cs="Times New Roman"/>
          <w:noProof/>
        </w:rPr>
        <w:t>S</w:t>
      </w:r>
      <w:r w:rsidRPr="00620FAD">
        <w:rPr>
          <w:rFonts w:ascii="Times New Roman" w:hAnsi="Times New Roman" w:cs="Times New Roman"/>
          <w:noProof/>
        </w:rPr>
        <w:t>ection</w:t>
      </w:r>
      <w:r>
        <w:rPr>
          <w:rFonts w:ascii="Times New Roman" w:hAnsi="Times New Roman" w:cs="Times New Roman"/>
          <w:noProof/>
        </w:rPr>
        <w:t xml:space="preserve"> </w:t>
      </w:r>
      <w:r w:rsidRPr="00620FAD">
        <w:rPr>
          <w:rFonts w:ascii="Times New Roman" w:hAnsi="Times New Roman" w:cs="Times New Roman"/>
          <w:noProof/>
        </w:rPr>
        <w:t>3 of the Human Rights Act 1998</w:t>
      </w:r>
      <w:r>
        <w:rPr>
          <w:rStyle w:val="FootnoteReference"/>
          <w:rFonts w:ascii="Times New Roman" w:hAnsi="Times New Roman" w:cs="Times New Roman"/>
          <w:noProof/>
        </w:rPr>
        <w:footnoteReference w:id="1"/>
      </w:r>
      <w:r>
        <w:rPr>
          <w:rFonts w:ascii="Times New Roman" w:hAnsi="Times New Roman" w:cs="Times New Roman"/>
          <w:noProof/>
        </w:rPr>
        <w:t xml:space="preserve"> in the UK legislative framework</w:t>
      </w:r>
      <w:r w:rsidRPr="00620FAD">
        <w:rPr>
          <w:rFonts w:ascii="Times New Roman" w:hAnsi="Times New Roman" w:cs="Times New Roman"/>
          <w:noProof/>
        </w:rPr>
        <w:t xml:space="preserve">, </w:t>
      </w:r>
      <w:r>
        <w:rPr>
          <w:rFonts w:ascii="Times New Roman" w:hAnsi="Times New Roman" w:cs="Times New Roman"/>
          <w:noProof/>
        </w:rPr>
        <w:t>focusing on</w:t>
      </w:r>
      <w:r w:rsidRPr="00620FAD">
        <w:rPr>
          <w:rFonts w:ascii="Times New Roman" w:hAnsi="Times New Roman" w:cs="Times New Roman"/>
          <w:noProof/>
        </w:rPr>
        <w:t xml:space="preserve"> how </w:t>
      </w:r>
      <w:r>
        <w:rPr>
          <w:rFonts w:ascii="Times New Roman" w:hAnsi="Times New Roman" w:cs="Times New Roman"/>
          <w:noProof/>
        </w:rPr>
        <w:t>it</w:t>
      </w:r>
      <w:r w:rsidRPr="00620FAD">
        <w:rPr>
          <w:rFonts w:ascii="Times New Roman" w:hAnsi="Times New Roman" w:cs="Times New Roman"/>
          <w:noProof/>
        </w:rPr>
        <w:t xml:space="preserve"> gives rise to Convention rights and </w:t>
      </w:r>
      <w:r>
        <w:rPr>
          <w:rFonts w:ascii="Times New Roman" w:hAnsi="Times New Roman" w:cs="Times New Roman"/>
          <w:noProof/>
        </w:rPr>
        <w:t xml:space="preserve">the </w:t>
      </w:r>
      <w:r w:rsidRPr="00620FAD">
        <w:rPr>
          <w:rFonts w:ascii="Times New Roman" w:hAnsi="Times New Roman" w:cs="Times New Roman"/>
          <w:noProof/>
        </w:rPr>
        <w:t xml:space="preserve">critical importance of preserving </w:t>
      </w:r>
      <w:r>
        <w:rPr>
          <w:rFonts w:ascii="Times New Roman" w:hAnsi="Times New Roman" w:cs="Times New Roman"/>
          <w:noProof/>
        </w:rPr>
        <w:t>Section 3 to uphold</w:t>
      </w:r>
      <w:r w:rsidRPr="00620FAD">
        <w:rPr>
          <w:rFonts w:ascii="Times New Roman" w:hAnsi="Times New Roman" w:cs="Times New Roman"/>
          <w:noProof/>
        </w:rPr>
        <w:t xml:space="preserve"> the Rule of Law.</w:t>
      </w:r>
      <w:r w:rsidRPr="00CC146D">
        <w:rPr>
          <w:rFonts w:ascii="Times New Roman" w:hAnsi="Times New Roman" w:cs="Times New Roman"/>
        </w:rPr>
        <w:t xml:space="preserve"> </w:t>
      </w:r>
    </w:p>
    <w:p w14:paraId="138185F1" w14:textId="77777777" w:rsidR="00F42DBF" w:rsidRPr="00CC146D" w:rsidRDefault="00F42DBF" w:rsidP="00F42DBF">
      <w:pPr>
        <w:pStyle w:val="Heading1"/>
        <w:spacing w:line="360" w:lineRule="auto"/>
        <w:jc w:val="both"/>
        <w:rPr>
          <w:rFonts w:ascii="Times New Roman" w:hAnsi="Times New Roman" w:cs="Times New Roman"/>
          <w:noProof/>
          <w:color w:val="000000" w:themeColor="text1"/>
        </w:rPr>
      </w:pPr>
      <w:bookmarkStart w:id="1" w:name="_Toc187166827"/>
      <w:r w:rsidRPr="00CC146D">
        <w:rPr>
          <w:rFonts w:ascii="Times New Roman" w:hAnsi="Times New Roman" w:cs="Times New Roman"/>
          <w:noProof/>
          <w:color w:val="000000" w:themeColor="text1"/>
        </w:rPr>
        <w:t>Comparison</w:t>
      </w:r>
      <w:bookmarkEnd w:id="1"/>
    </w:p>
    <w:p w14:paraId="6AFC1B6E" w14:textId="77777777" w:rsidR="00F42DBF" w:rsidRPr="007B59E4" w:rsidRDefault="00F42DBF" w:rsidP="00F42DBF">
      <w:pPr>
        <w:pStyle w:val="Heading2"/>
        <w:spacing w:line="360" w:lineRule="auto"/>
        <w:jc w:val="both"/>
        <w:rPr>
          <w:rFonts w:ascii="Times New Roman" w:hAnsi="Times New Roman" w:cs="Times New Roman"/>
          <w:b/>
          <w:bCs/>
          <w:i/>
          <w:iCs/>
          <w:color w:val="000000" w:themeColor="text1"/>
          <w:sz w:val="24"/>
          <w:szCs w:val="24"/>
        </w:rPr>
      </w:pPr>
      <w:bookmarkStart w:id="2" w:name="_Toc187166828"/>
      <w:r w:rsidRPr="007B59E4">
        <w:rPr>
          <w:rFonts w:ascii="Times New Roman" w:hAnsi="Times New Roman" w:cs="Times New Roman"/>
          <w:b/>
          <w:bCs/>
          <w:i/>
          <w:iCs/>
          <w:color w:val="000000" w:themeColor="text1"/>
          <w:sz w:val="24"/>
          <w:szCs w:val="24"/>
        </w:rPr>
        <w:t>The King’s Speech and the Rule of Law</w:t>
      </w:r>
      <w:bookmarkEnd w:id="2"/>
    </w:p>
    <w:p w14:paraId="64B54398" w14:textId="77777777" w:rsidR="00F42DBF" w:rsidRDefault="00F42DBF" w:rsidP="00F42DBF">
      <w:pPr>
        <w:spacing w:line="360" w:lineRule="auto"/>
        <w:jc w:val="both"/>
        <w:rPr>
          <w:rFonts w:ascii="Times New Roman" w:hAnsi="Times New Roman" w:cs="Times New Roman"/>
        </w:rPr>
      </w:pPr>
      <w:r w:rsidRPr="00C62A8E">
        <w:rPr>
          <w:rFonts w:ascii="Times New Roman" w:hAnsi="Times New Roman" w:cs="Times New Roman"/>
        </w:rPr>
        <w:t xml:space="preserve">The King's Speech </w:t>
      </w:r>
      <w:r>
        <w:rPr>
          <w:rFonts w:ascii="Times New Roman" w:hAnsi="Times New Roman" w:cs="Times New Roman"/>
        </w:rPr>
        <w:t xml:space="preserve">formally </w:t>
      </w:r>
      <w:r w:rsidRPr="00C62A8E">
        <w:rPr>
          <w:rFonts w:ascii="Times New Roman" w:hAnsi="Times New Roman" w:cs="Times New Roman"/>
        </w:rPr>
        <w:t xml:space="preserve">marks the State Opening of a new </w:t>
      </w:r>
      <w:r>
        <w:rPr>
          <w:rFonts w:ascii="Times New Roman" w:hAnsi="Times New Roman" w:cs="Times New Roman"/>
        </w:rPr>
        <w:t>p</w:t>
      </w:r>
      <w:r w:rsidRPr="00C62A8E">
        <w:rPr>
          <w:rFonts w:ascii="Times New Roman" w:hAnsi="Times New Roman" w:cs="Times New Roman"/>
        </w:rPr>
        <w:t>arliamentary session, setting out the government's legislative agend</w:t>
      </w:r>
      <w:r>
        <w:rPr>
          <w:rFonts w:ascii="Times New Roman" w:hAnsi="Times New Roman" w:cs="Times New Roman"/>
        </w:rPr>
        <w:t>a</w:t>
      </w:r>
      <w:r w:rsidRPr="00C62A8E">
        <w:rPr>
          <w:rFonts w:ascii="Times New Roman" w:hAnsi="Times New Roman" w:cs="Times New Roman"/>
        </w:rPr>
        <w:t xml:space="preserve">. </w:t>
      </w:r>
      <w:r w:rsidRPr="00A3318C">
        <w:rPr>
          <w:rFonts w:ascii="Times New Roman" w:hAnsi="Times New Roman" w:cs="Times New Roman"/>
        </w:rPr>
        <w:t xml:space="preserve">The author highlights specific proposals that raise significant </w:t>
      </w:r>
      <w:r>
        <w:rPr>
          <w:rFonts w:ascii="Times New Roman" w:hAnsi="Times New Roman" w:cs="Times New Roman"/>
        </w:rPr>
        <w:t xml:space="preserve">concerns about the </w:t>
      </w:r>
      <w:r w:rsidRPr="00A3318C">
        <w:rPr>
          <w:rFonts w:ascii="Times New Roman" w:hAnsi="Times New Roman" w:cs="Times New Roman"/>
        </w:rPr>
        <w:t xml:space="preserve">Rule of Law, particularly </w:t>
      </w:r>
      <w:r>
        <w:rPr>
          <w:rFonts w:ascii="Times New Roman" w:hAnsi="Times New Roman" w:cs="Times New Roman"/>
        </w:rPr>
        <w:t xml:space="preserve">regarding </w:t>
      </w:r>
      <w:r w:rsidRPr="00A3318C">
        <w:rPr>
          <w:rFonts w:ascii="Times New Roman" w:hAnsi="Times New Roman" w:cs="Times New Roman"/>
        </w:rPr>
        <w:t xml:space="preserve">their violation of the </w:t>
      </w:r>
      <w:r w:rsidRPr="00A3318C">
        <w:rPr>
          <w:rFonts w:ascii="Times New Roman" w:hAnsi="Times New Roman" w:cs="Times New Roman"/>
        </w:rPr>
        <w:lastRenderedPageBreak/>
        <w:t xml:space="preserve">principle by </w:t>
      </w:r>
      <w:r>
        <w:rPr>
          <w:rFonts w:ascii="Times New Roman" w:hAnsi="Times New Roman" w:cs="Times New Roman"/>
        </w:rPr>
        <w:t>e</w:t>
      </w:r>
      <w:r w:rsidRPr="00DD5FAC">
        <w:rPr>
          <w:rFonts w:ascii="Times New Roman" w:hAnsi="Times New Roman" w:cs="Times New Roman"/>
        </w:rPr>
        <w:t>nacting legislation</w:t>
      </w:r>
      <w:r>
        <w:rPr>
          <w:rFonts w:ascii="Times New Roman" w:hAnsi="Times New Roman" w:cs="Times New Roman"/>
        </w:rPr>
        <w:t>s</w:t>
      </w:r>
      <w:r w:rsidRPr="00DD5FAC">
        <w:rPr>
          <w:rFonts w:ascii="Times New Roman" w:hAnsi="Times New Roman" w:cs="Times New Roman"/>
        </w:rPr>
        <w:t xml:space="preserve"> that disproportionately disadvantage</w:t>
      </w:r>
      <w:r>
        <w:rPr>
          <w:rFonts w:ascii="Times New Roman" w:hAnsi="Times New Roman" w:cs="Times New Roman"/>
        </w:rPr>
        <w:t xml:space="preserve"> </w:t>
      </w:r>
      <w:r w:rsidRPr="00DD5FAC">
        <w:rPr>
          <w:rFonts w:ascii="Times New Roman" w:hAnsi="Times New Roman" w:cs="Times New Roman"/>
        </w:rPr>
        <w:t>certain societal groups without objective justification</w:t>
      </w:r>
      <w:r>
        <w:rPr>
          <w:rFonts w:ascii="Times New Roman" w:hAnsi="Times New Roman" w:cs="Times New Roman"/>
        </w:rPr>
        <w:t xml:space="preserve">. </w:t>
      </w:r>
      <w:r w:rsidRPr="00A3318C">
        <w:rPr>
          <w:rFonts w:ascii="Times New Roman" w:hAnsi="Times New Roman" w:cs="Times New Roman"/>
        </w:rPr>
        <w:t>Notably, the author dedicates considerable attention to the Victim and Prisoner Bill</w:t>
      </w:r>
      <w:r>
        <w:rPr>
          <w:rStyle w:val="FootnoteReference"/>
          <w:rFonts w:ascii="Times New Roman" w:hAnsi="Times New Roman" w:cs="Times New Roman"/>
        </w:rPr>
        <w:footnoteReference w:id="2"/>
      </w:r>
      <w:r w:rsidRPr="00A3318C">
        <w:rPr>
          <w:rFonts w:ascii="Times New Roman" w:hAnsi="Times New Roman" w:cs="Times New Roman"/>
        </w:rPr>
        <w:t>,</w:t>
      </w:r>
      <w:r>
        <w:rPr>
          <w:rFonts w:ascii="Times New Roman" w:hAnsi="Times New Roman" w:cs="Times New Roman"/>
        </w:rPr>
        <w:t xml:space="preserve"> </w:t>
      </w:r>
      <w:r w:rsidRPr="0035416C">
        <w:rPr>
          <w:rFonts w:ascii="Times New Roman" w:hAnsi="Times New Roman" w:cs="Times New Roman"/>
        </w:rPr>
        <w:t>critiquing the proposed exclusion of Section 3 of the Human Rights Act 1998 within the Bil</w:t>
      </w:r>
      <w:r>
        <w:rPr>
          <w:rFonts w:ascii="Times New Roman" w:hAnsi="Times New Roman" w:cs="Times New Roman"/>
        </w:rPr>
        <w:t xml:space="preserve">l </w:t>
      </w:r>
      <w:r w:rsidRPr="00A3318C">
        <w:rPr>
          <w:rFonts w:ascii="Times New Roman" w:hAnsi="Times New Roman" w:cs="Times New Roman"/>
        </w:rPr>
        <w:t xml:space="preserve">(Moxham, 2023). These legislative agendas are criticized for potentially </w:t>
      </w:r>
      <w:r>
        <w:rPr>
          <w:rFonts w:ascii="Times New Roman" w:hAnsi="Times New Roman" w:cs="Times New Roman"/>
        </w:rPr>
        <w:t>establishing</w:t>
      </w:r>
      <w:r w:rsidRPr="00A3318C">
        <w:rPr>
          <w:rFonts w:ascii="Times New Roman" w:hAnsi="Times New Roman" w:cs="Times New Roman"/>
        </w:rPr>
        <w:t xml:space="preserve"> a two-tiered </w:t>
      </w:r>
      <w:r>
        <w:rPr>
          <w:rFonts w:ascii="Times New Roman" w:hAnsi="Times New Roman" w:cs="Times New Roman"/>
        </w:rPr>
        <w:t>system</w:t>
      </w:r>
      <w:r w:rsidRPr="00A3318C">
        <w:rPr>
          <w:rFonts w:ascii="Times New Roman" w:hAnsi="Times New Roman" w:cs="Times New Roman"/>
        </w:rPr>
        <w:t xml:space="preserve">, </w:t>
      </w:r>
      <w:r>
        <w:rPr>
          <w:rFonts w:ascii="Times New Roman" w:hAnsi="Times New Roman" w:cs="Times New Roman"/>
        </w:rPr>
        <w:t>thereby creating</w:t>
      </w:r>
      <w:r w:rsidRPr="00A3318C">
        <w:rPr>
          <w:rFonts w:ascii="Times New Roman" w:hAnsi="Times New Roman" w:cs="Times New Roman"/>
        </w:rPr>
        <w:t xml:space="preserve"> a </w:t>
      </w:r>
      <w:r>
        <w:rPr>
          <w:rFonts w:ascii="Times New Roman" w:hAnsi="Times New Roman" w:cs="Times New Roman"/>
        </w:rPr>
        <w:t>domestic ‘</w:t>
      </w:r>
      <w:r w:rsidRPr="00A3318C">
        <w:rPr>
          <w:rFonts w:ascii="Times New Roman" w:hAnsi="Times New Roman" w:cs="Times New Roman"/>
        </w:rPr>
        <w:t>legal vacuum</w:t>
      </w:r>
      <w:r>
        <w:rPr>
          <w:rFonts w:ascii="Times New Roman" w:hAnsi="Times New Roman" w:cs="Times New Roman"/>
        </w:rPr>
        <w:t>’</w:t>
      </w:r>
      <w:r w:rsidRPr="00A3318C">
        <w:rPr>
          <w:rFonts w:ascii="Times New Roman" w:hAnsi="Times New Roman" w:cs="Times New Roman"/>
        </w:rPr>
        <w:t xml:space="preserve"> </w:t>
      </w:r>
      <w:r>
        <w:rPr>
          <w:rFonts w:ascii="Times New Roman" w:hAnsi="Times New Roman" w:cs="Times New Roman"/>
        </w:rPr>
        <w:t>that undermines</w:t>
      </w:r>
      <w:r w:rsidRPr="00A3318C">
        <w:rPr>
          <w:rFonts w:ascii="Times New Roman" w:hAnsi="Times New Roman" w:cs="Times New Roman"/>
        </w:rPr>
        <w:t xml:space="preserve"> </w:t>
      </w:r>
      <w:r>
        <w:rPr>
          <w:rFonts w:ascii="Times New Roman" w:hAnsi="Times New Roman" w:cs="Times New Roman"/>
        </w:rPr>
        <w:t>the universality of human</w:t>
      </w:r>
      <w:r w:rsidRPr="00A3318C">
        <w:rPr>
          <w:rFonts w:ascii="Times New Roman" w:hAnsi="Times New Roman" w:cs="Times New Roman"/>
        </w:rPr>
        <w:t xml:space="preserve"> rights</w:t>
      </w:r>
      <w:r>
        <w:rPr>
          <w:rFonts w:ascii="Times New Roman" w:hAnsi="Times New Roman" w:cs="Times New Roman"/>
        </w:rPr>
        <w:t xml:space="preserve"> (</w:t>
      </w:r>
      <w:r w:rsidRPr="00947DFF">
        <w:rPr>
          <w:rFonts w:ascii="Times New Roman" w:hAnsi="Times New Roman" w:cs="Times New Roman"/>
        </w:rPr>
        <w:t>Finer</w:t>
      </w:r>
      <w:r>
        <w:rPr>
          <w:rFonts w:ascii="Times New Roman" w:hAnsi="Times New Roman" w:cs="Times New Roman"/>
        </w:rPr>
        <w:t>, 2023, quoted in Moxham, 2023)</w:t>
      </w:r>
      <w:r w:rsidRPr="00A3318C">
        <w:rPr>
          <w:rFonts w:ascii="Times New Roman" w:hAnsi="Times New Roman" w:cs="Times New Roman"/>
        </w:rPr>
        <w:t xml:space="preserve">. This disparity in legislative treatment </w:t>
      </w:r>
      <w:r>
        <w:rPr>
          <w:rFonts w:ascii="Times New Roman" w:hAnsi="Times New Roman" w:cs="Times New Roman"/>
        </w:rPr>
        <w:t>underscores</w:t>
      </w:r>
      <w:r w:rsidRPr="00A3318C">
        <w:rPr>
          <w:rFonts w:ascii="Times New Roman" w:hAnsi="Times New Roman" w:cs="Times New Roman"/>
        </w:rPr>
        <w:t xml:space="preserve"> the </w:t>
      </w:r>
      <w:r>
        <w:rPr>
          <w:rFonts w:ascii="Times New Roman" w:hAnsi="Times New Roman" w:cs="Times New Roman"/>
        </w:rPr>
        <w:t>imperative</w:t>
      </w:r>
      <w:r w:rsidRPr="00A3318C">
        <w:rPr>
          <w:rFonts w:ascii="Times New Roman" w:hAnsi="Times New Roman" w:cs="Times New Roman"/>
        </w:rPr>
        <w:t xml:space="preserve"> for greater scrutiny in the law-making process</w:t>
      </w:r>
      <w:r>
        <w:rPr>
          <w:rFonts w:ascii="Times New Roman" w:hAnsi="Times New Roman" w:cs="Times New Roman"/>
        </w:rPr>
        <w:t>.</w:t>
      </w:r>
    </w:p>
    <w:p w14:paraId="18EF0925" w14:textId="77777777" w:rsidR="00F42DBF" w:rsidRPr="00C04099" w:rsidRDefault="00F42DBF" w:rsidP="00F42DBF">
      <w:pPr>
        <w:pStyle w:val="Heading2"/>
        <w:spacing w:line="360" w:lineRule="auto"/>
        <w:jc w:val="both"/>
        <w:rPr>
          <w:rFonts w:ascii="Times New Roman" w:hAnsi="Times New Roman" w:cs="Times New Roman"/>
          <w:b/>
          <w:bCs/>
          <w:color w:val="000000" w:themeColor="text1"/>
          <w:sz w:val="24"/>
          <w:szCs w:val="24"/>
        </w:rPr>
      </w:pPr>
      <w:bookmarkStart w:id="3" w:name="_Toc187166829"/>
      <w:r w:rsidRPr="007B59E4">
        <w:rPr>
          <w:rFonts w:ascii="Times New Roman" w:hAnsi="Times New Roman" w:cs="Times New Roman"/>
          <w:b/>
          <w:bCs/>
          <w:i/>
          <w:iCs/>
          <w:color w:val="000000" w:themeColor="text1"/>
          <w:sz w:val="24"/>
          <w:szCs w:val="24"/>
        </w:rPr>
        <w:t>Ghaidan v Godin-Mendoza</w:t>
      </w:r>
      <w:r w:rsidRPr="00C04099">
        <w:rPr>
          <w:rFonts w:ascii="Times New Roman" w:hAnsi="Times New Roman" w:cs="Times New Roman"/>
          <w:b/>
          <w:bCs/>
          <w:color w:val="000000" w:themeColor="text1"/>
          <w:sz w:val="24"/>
          <w:szCs w:val="24"/>
        </w:rPr>
        <w:t xml:space="preserve"> [2004] UKHL 30</w:t>
      </w:r>
      <w:bookmarkEnd w:id="3"/>
    </w:p>
    <w:p w14:paraId="253E8BA3" w14:textId="77777777" w:rsidR="00F42DBF" w:rsidRDefault="00F42DBF" w:rsidP="00F42DBF">
      <w:pPr>
        <w:spacing w:line="360" w:lineRule="auto"/>
        <w:jc w:val="both"/>
        <w:rPr>
          <w:rFonts w:ascii="Times New Roman" w:hAnsi="Times New Roman" w:cs="Times New Roman"/>
        </w:rPr>
      </w:pPr>
      <w:r>
        <w:rPr>
          <w:rFonts w:ascii="Times New Roman" w:hAnsi="Times New Roman" w:cs="Times New Roman"/>
        </w:rPr>
        <w:t xml:space="preserve">This is </w:t>
      </w:r>
      <w:r w:rsidRPr="00743693">
        <w:rPr>
          <w:rFonts w:ascii="Times New Roman" w:hAnsi="Times New Roman" w:cs="Times New Roman"/>
        </w:rPr>
        <w:t xml:space="preserve">a landmark judicial decision by the House of Lords </w:t>
      </w:r>
      <w:r>
        <w:rPr>
          <w:rFonts w:ascii="Times New Roman" w:hAnsi="Times New Roman" w:cs="Times New Roman"/>
        </w:rPr>
        <w:t>concerning</w:t>
      </w:r>
      <w:r w:rsidRPr="00743693">
        <w:rPr>
          <w:rFonts w:ascii="Times New Roman" w:hAnsi="Times New Roman" w:cs="Times New Roman"/>
        </w:rPr>
        <w:t xml:space="preserve"> the </w:t>
      </w:r>
      <w:r>
        <w:rPr>
          <w:rFonts w:ascii="Times New Roman" w:hAnsi="Times New Roman" w:cs="Times New Roman"/>
        </w:rPr>
        <w:t>inclusivity of</w:t>
      </w:r>
      <w:r w:rsidRPr="00743693">
        <w:rPr>
          <w:rFonts w:ascii="Times New Roman" w:hAnsi="Times New Roman" w:cs="Times New Roman"/>
        </w:rPr>
        <w:t xml:space="preserve"> same-sex couples </w:t>
      </w:r>
      <w:r>
        <w:rPr>
          <w:rFonts w:ascii="Times New Roman" w:hAnsi="Times New Roman" w:cs="Times New Roman"/>
        </w:rPr>
        <w:t>on</w:t>
      </w:r>
      <w:r w:rsidRPr="00743693">
        <w:rPr>
          <w:rFonts w:ascii="Times New Roman" w:hAnsi="Times New Roman" w:cs="Times New Roman"/>
        </w:rPr>
        <w:t xml:space="preserve"> tenancy succession under the Rent Act 1977</w:t>
      </w:r>
      <w:r>
        <w:rPr>
          <w:rStyle w:val="FootnoteReference"/>
          <w:rFonts w:ascii="Times New Roman" w:hAnsi="Times New Roman" w:cs="Times New Roman"/>
        </w:rPr>
        <w:footnoteReference w:id="3"/>
      </w:r>
      <w:r>
        <w:rPr>
          <w:rFonts w:ascii="Times New Roman" w:hAnsi="Times New Roman" w:cs="Times New Roman"/>
        </w:rPr>
        <w:t xml:space="preserve">. </w:t>
      </w:r>
      <w:r w:rsidRPr="00743693">
        <w:rPr>
          <w:rFonts w:ascii="Times New Roman" w:hAnsi="Times New Roman" w:cs="Times New Roman"/>
        </w:rPr>
        <w:t xml:space="preserve">The court ruled that Schedule 1, </w:t>
      </w:r>
      <w:r>
        <w:rPr>
          <w:rFonts w:ascii="Times New Roman" w:hAnsi="Times New Roman" w:cs="Times New Roman"/>
        </w:rPr>
        <w:t>P</w:t>
      </w:r>
      <w:r w:rsidRPr="00743693">
        <w:rPr>
          <w:rFonts w:ascii="Times New Roman" w:hAnsi="Times New Roman" w:cs="Times New Roman"/>
        </w:rPr>
        <w:t xml:space="preserve">aragraph 2 of the Rent Act </w:t>
      </w:r>
      <w:r w:rsidRPr="00F4589F">
        <w:rPr>
          <w:rFonts w:ascii="Times New Roman" w:hAnsi="Times New Roman" w:cs="Times New Roman"/>
        </w:rPr>
        <w:t xml:space="preserve">1977 </w:t>
      </w:r>
      <w:r>
        <w:rPr>
          <w:rFonts w:ascii="Times New Roman" w:hAnsi="Times New Roman" w:cs="Times New Roman"/>
        </w:rPr>
        <w:t>must</w:t>
      </w:r>
      <w:r w:rsidRPr="00F4589F">
        <w:rPr>
          <w:rFonts w:ascii="Times New Roman" w:hAnsi="Times New Roman" w:cs="Times New Roman"/>
        </w:rPr>
        <w:t xml:space="preserve"> be interpreted </w:t>
      </w:r>
      <w:r>
        <w:rPr>
          <w:rFonts w:ascii="Times New Roman" w:hAnsi="Times New Roman" w:cs="Times New Roman"/>
        </w:rPr>
        <w:t>in accordance</w:t>
      </w:r>
      <w:r w:rsidRPr="00F4589F">
        <w:rPr>
          <w:rFonts w:ascii="Times New Roman" w:hAnsi="Times New Roman" w:cs="Times New Roman"/>
        </w:rPr>
        <w:t xml:space="preserve"> with Section 3 of the Human Rights Act 1998, which states that </w:t>
      </w:r>
      <w:r>
        <w:rPr>
          <w:rFonts w:ascii="Times New Roman" w:hAnsi="Times New Roman" w:cs="Times New Roman"/>
        </w:rPr>
        <w:t>‘S</w:t>
      </w:r>
      <w:r w:rsidRPr="00F4589F">
        <w:rPr>
          <w:rFonts w:ascii="Times New Roman" w:hAnsi="Times New Roman" w:cs="Times New Roman"/>
        </w:rPr>
        <w:t>o far as it is possible to do so, primary legislation and subordinate legislation must be read and given effect in a way which is compatible with the Convention rights</w:t>
      </w:r>
      <w:r>
        <w:rPr>
          <w:rFonts w:ascii="Times New Roman" w:hAnsi="Times New Roman" w:cs="Times New Roman"/>
        </w:rPr>
        <w:t>.’</w:t>
      </w:r>
      <w:r w:rsidRPr="00F4589F">
        <w:rPr>
          <w:rFonts w:ascii="Times New Roman" w:hAnsi="Times New Roman" w:cs="Times New Roman"/>
        </w:rPr>
        <w:t xml:space="preserve"> In this case, </w:t>
      </w:r>
      <w:r>
        <w:rPr>
          <w:rFonts w:ascii="Times New Roman" w:hAnsi="Times New Roman" w:cs="Times New Roman"/>
        </w:rPr>
        <w:t>the European Convention on Human Rights 1950</w:t>
      </w:r>
      <w:r>
        <w:rPr>
          <w:rStyle w:val="FootnoteReference"/>
          <w:rFonts w:ascii="Times New Roman" w:hAnsi="Times New Roman" w:cs="Times New Roman"/>
        </w:rPr>
        <w:footnoteReference w:id="4"/>
      </w:r>
      <w:r>
        <w:rPr>
          <w:rFonts w:ascii="Times New Roman" w:hAnsi="Times New Roman" w:cs="Times New Roman"/>
        </w:rPr>
        <w:t xml:space="preserve"> </w:t>
      </w:r>
      <w:r w:rsidRPr="00F4589F">
        <w:rPr>
          <w:rFonts w:ascii="Times New Roman" w:hAnsi="Times New Roman" w:cs="Times New Roman"/>
        </w:rPr>
        <w:t xml:space="preserve">was </w:t>
      </w:r>
      <w:r>
        <w:rPr>
          <w:rFonts w:ascii="Times New Roman" w:hAnsi="Times New Roman" w:cs="Times New Roman"/>
        </w:rPr>
        <w:t>applied</w:t>
      </w:r>
      <w:r w:rsidRPr="00F4589F">
        <w:rPr>
          <w:rFonts w:ascii="Times New Roman" w:hAnsi="Times New Roman" w:cs="Times New Roman"/>
        </w:rPr>
        <w:t xml:space="preserve"> to interpret the term </w:t>
      </w:r>
      <w:r>
        <w:rPr>
          <w:rFonts w:ascii="Times New Roman" w:hAnsi="Times New Roman" w:cs="Times New Roman"/>
        </w:rPr>
        <w:t>‘</w:t>
      </w:r>
      <w:r w:rsidRPr="00F4589F">
        <w:rPr>
          <w:rFonts w:ascii="Times New Roman" w:hAnsi="Times New Roman" w:cs="Times New Roman"/>
        </w:rPr>
        <w:t>spouse</w:t>
      </w:r>
      <w:r>
        <w:rPr>
          <w:rFonts w:ascii="Times New Roman" w:hAnsi="Times New Roman" w:cs="Times New Roman"/>
        </w:rPr>
        <w:t>’.</w:t>
      </w:r>
      <w:r w:rsidRPr="00F4589F">
        <w:rPr>
          <w:rFonts w:ascii="Times New Roman" w:hAnsi="Times New Roman" w:cs="Times New Roman"/>
        </w:rPr>
        <w:t xml:space="preserve"> Consequently, the term was </w:t>
      </w:r>
      <w:r>
        <w:rPr>
          <w:rFonts w:ascii="Times New Roman" w:hAnsi="Times New Roman" w:cs="Times New Roman"/>
        </w:rPr>
        <w:t>construed</w:t>
      </w:r>
      <w:r w:rsidRPr="00F4589F">
        <w:rPr>
          <w:rFonts w:ascii="Times New Roman" w:hAnsi="Times New Roman" w:cs="Times New Roman"/>
        </w:rPr>
        <w:t xml:space="preserve"> to include same-sex couples</w:t>
      </w:r>
      <w:r>
        <w:rPr>
          <w:rFonts w:ascii="Times New Roman" w:hAnsi="Times New Roman" w:cs="Times New Roman"/>
        </w:rPr>
        <w:t xml:space="preserve">, and </w:t>
      </w:r>
      <w:r w:rsidRPr="00F4589F">
        <w:rPr>
          <w:rFonts w:ascii="Times New Roman" w:hAnsi="Times New Roman" w:cs="Times New Roman"/>
        </w:rPr>
        <w:t>not doing so could not be objectively justified</w:t>
      </w:r>
      <w:r>
        <w:rPr>
          <w:rStyle w:val="FootnoteReference"/>
          <w:rFonts w:ascii="Times New Roman" w:hAnsi="Times New Roman" w:cs="Times New Roman"/>
        </w:rPr>
        <w:footnoteReference w:id="5"/>
      </w:r>
      <w:r w:rsidRPr="00F4589F">
        <w:rPr>
          <w:rFonts w:ascii="Times New Roman" w:hAnsi="Times New Roman" w:cs="Times New Roman"/>
        </w:rPr>
        <w:t>.</w:t>
      </w:r>
      <w:r>
        <w:rPr>
          <w:rFonts w:ascii="Times New Roman" w:hAnsi="Times New Roman" w:cs="Times New Roman"/>
        </w:rPr>
        <w:t xml:space="preserve"> </w:t>
      </w:r>
    </w:p>
    <w:p w14:paraId="6B7FB2B8" w14:textId="77777777" w:rsidR="00F42DBF" w:rsidRDefault="00F42DBF" w:rsidP="00F42DBF">
      <w:pPr>
        <w:spacing w:line="360" w:lineRule="auto"/>
        <w:jc w:val="both"/>
        <w:rPr>
          <w:rFonts w:ascii="Times New Roman" w:hAnsi="Times New Roman" w:cs="Times New Roman"/>
        </w:rPr>
      </w:pPr>
      <w:r w:rsidRPr="00121298">
        <w:rPr>
          <w:rFonts w:ascii="Times New Roman" w:hAnsi="Times New Roman" w:cs="Times New Roman"/>
        </w:rPr>
        <w:t xml:space="preserve">This was significant </w:t>
      </w:r>
      <w:r>
        <w:rPr>
          <w:rFonts w:ascii="Times New Roman" w:hAnsi="Times New Roman" w:cs="Times New Roman"/>
        </w:rPr>
        <w:t>regarding</w:t>
      </w:r>
      <w:r w:rsidRPr="00121298">
        <w:rPr>
          <w:rFonts w:ascii="Times New Roman" w:hAnsi="Times New Roman" w:cs="Times New Roman"/>
        </w:rPr>
        <w:t xml:space="preserve"> the </w:t>
      </w:r>
      <w:r>
        <w:rPr>
          <w:rFonts w:ascii="Times New Roman" w:hAnsi="Times New Roman" w:cs="Times New Roman"/>
        </w:rPr>
        <w:t>overarching impact</w:t>
      </w:r>
      <w:r w:rsidRPr="00121298">
        <w:rPr>
          <w:rFonts w:ascii="Times New Roman" w:hAnsi="Times New Roman" w:cs="Times New Roman"/>
        </w:rPr>
        <w:t xml:space="preserve"> of </w:t>
      </w:r>
      <w:r>
        <w:rPr>
          <w:rFonts w:ascii="Times New Roman" w:hAnsi="Times New Roman" w:cs="Times New Roman"/>
        </w:rPr>
        <w:t>Section 3 on other legislations</w:t>
      </w:r>
      <w:r w:rsidRPr="00121298">
        <w:rPr>
          <w:rFonts w:ascii="Times New Roman" w:hAnsi="Times New Roman" w:cs="Times New Roman"/>
        </w:rPr>
        <w:t xml:space="preserve">. The </w:t>
      </w:r>
      <w:r>
        <w:rPr>
          <w:rFonts w:ascii="Times New Roman" w:hAnsi="Times New Roman" w:cs="Times New Roman"/>
        </w:rPr>
        <w:t>court</w:t>
      </w:r>
      <w:r w:rsidRPr="00121298">
        <w:rPr>
          <w:rFonts w:ascii="Times New Roman" w:hAnsi="Times New Roman" w:cs="Times New Roman"/>
        </w:rPr>
        <w:t xml:space="preserve"> considered </w:t>
      </w:r>
      <w:r w:rsidRPr="00121298">
        <w:rPr>
          <w:rFonts w:ascii="Times New Roman" w:hAnsi="Times New Roman" w:cs="Times New Roman"/>
          <w:i/>
          <w:iCs/>
        </w:rPr>
        <w:t>Fitzpatrick v Sterling Housing Association Ltd</w:t>
      </w:r>
      <w:r>
        <w:rPr>
          <w:rStyle w:val="FootnoteReference"/>
          <w:rFonts w:ascii="Times New Roman" w:hAnsi="Times New Roman" w:cs="Times New Roman"/>
          <w:i/>
          <w:iCs/>
        </w:rPr>
        <w:footnoteReference w:id="6"/>
      </w:r>
      <w:r>
        <w:rPr>
          <w:rFonts w:ascii="Times New Roman" w:hAnsi="Times New Roman" w:cs="Times New Roman"/>
        </w:rPr>
        <w:t>. A materially similar case was litigated in 1999, where the court ruled that same-sex couples were not included in what is recognized as a family under the housing law</w:t>
      </w:r>
      <w:r>
        <w:rPr>
          <w:rStyle w:val="FootnoteReference"/>
          <w:rFonts w:ascii="Times New Roman" w:hAnsi="Times New Roman" w:cs="Times New Roman"/>
        </w:rPr>
        <w:footnoteReference w:id="7"/>
      </w:r>
      <w:r>
        <w:rPr>
          <w:rFonts w:ascii="Times New Roman" w:hAnsi="Times New Roman" w:cs="Times New Roman"/>
        </w:rPr>
        <w:t xml:space="preserve">. However, the court has now deemed the precedent unfit for application because the judgment was rendered prior to the enactment of the Human Rights Act and no longer aligned with the purpose conveyed by Parliament through subsequent legislation. </w:t>
      </w:r>
    </w:p>
    <w:p w14:paraId="1CF83A20" w14:textId="77777777" w:rsidR="00F42DBF" w:rsidRPr="00D5572F" w:rsidRDefault="00F42DBF" w:rsidP="00F42DBF">
      <w:pPr>
        <w:pStyle w:val="Heading1"/>
        <w:spacing w:line="360" w:lineRule="auto"/>
        <w:jc w:val="both"/>
        <w:rPr>
          <w:rFonts w:ascii="Times New Roman" w:hAnsi="Times New Roman" w:cs="Times New Roman"/>
          <w:color w:val="000000" w:themeColor="text1"/>
        </w:rPr>
      </w:pPr>
      <w:bookmarkStart w:id="4" w:name="_Toc187166830"/>
      <w:r w:rsidRPr="00D5572F">
        <w:rPr>
          <w:rFonts w:ascii="Times New Roman" w:hAnsi="Times New Roman" w:cs="Times New Roman"/>
          <w:color w:val="000000" w:themeColor="text1"/>
        </w:rPr>
        <w:lastRenderedPageBreak/>
        <w:t>Analysis</w:t>
      </w:r>
      <w:bookmarkEnd w:id="4"/>
    </w:p>
    <w:p w14:paraId="79DAAC12" w14:textId="77777777" w:rsidR="00F42DBF" w:rsidRPr="00064722" w:rsidRDefault="00F42DBF" w:rsidP="00F42DBF">
      <w:pPr>
        <w:spacing w:line="360" w:lineRule="auto"/>
        <w:jc w:val="both"/>
        <w:rPr>
          <w:rFonts w:ascii="Times New Roman" w:hAnsi="Times New Roman" w:cs="Times New Roman"/>
        </w:rPr>
      </w:pPr>
      <w:r w:rsidRPr="000D7954">
        <w:rPr>
          <w:rFonts w:ascii="Times New Roman" w:hAnsi="Times New Roman" w:cs="Times New Roman"/>
        </w:rPr>
        <w:t xml:space="preserve">Both sources focus on the principle of the Rule of Law and its application within the context of human rights, specifically examining how this constitutional principle is reflected </w:t>
      </w:r>
      <w:r>
        <w:rPr>
          <w:rFonts w:ascii="Times New Roman" w:hAnsi="Times New Roman" w:cs="Times New Roman"/>
        </w:rPr>
        <w:t>through</w:t>
      </w:r>
      <w:r w:rsidRPr="000D7954">
        <w:rPr>
          <w:rFonts w:ascii="Times New Roman" w:hAnsi="Times New Roman" w:cs="Times New Roman"/>
        </w:rPr>
        <w:t xml:space="preserve"> legislation. </w:t>
      </w:r>
      <w:r w:rsidRPr="00834AC8">
        <w:rPr>
          <w:rFonts w:ascii="Times New Roman" w:hAnsi="Times New Roman" w:cs="Times New Roman"/>
        </w:rPr>
        <w:t>The former takes a pre-legislative approach, examining how the Rule of Law is integrated into the legislative process. It identifies potential risks through research and expert insights, offering a deeper understanding of its impact on lawmaking.</w:t>
      </w:r>
      <w:r>
        <w:rPr>
          <w:rFonts w:ascii="Times New Roman" w:hAnsi="Times New Roman" w:cs="Times New Roman"/>
        </w:rPr>
        <w:t xml:space="preserve"> T</w:t>
      </w:r>
      <w:r w:rsidRPr="000D7954">
        <w:rPr>
          <w:rFonts w:ascii="Times New Roman" w:hAnsi="Times New Roman" w:cs="Times New Roman"/>
        </w:rPr>
        <w:t xml:space="preserve">he </w:t>
      </w:r>
      <w:r>
        <w:rPr>
          <w:rFonts w:ascii="Times New Roman" w:hAnsi="Times New Roman" w:cs="Times New Roman"/>
        </w:rPr>
        <w:t xml:space="preserve">latter </w:t>
      </w:r>
      <w:r w:rsidRPr="000D7954">
        <w:rPr>
          <w:rFonts w:ascii="Times New Roman" w:hAnsi="Times New Roman" w:cs="Times New Roman"/>
        </w:rPr>
        <w:t>case judgment illustrate</w:t>
      </w:r>
      <w:r>
        <w:rPr>
          <w:rFonts w:ascii="Times New Roman" w:hAnsi="Times New Roman" w:cs="Times New Roman"/>
        </w:rPr>
        <w:t>s</w:t>
      </w:r>
      <w:r w:rsidRPr="000D7954">
        <w:rPr>
          <w:rFonts w:ascii="Times New Roman" w:hAnsi="Times New Roman" w:cs="Times New Roman"/>
        </w:rPr>
        <w:t xml:space="preserve"> the practical preservation of this principle, presenting a post-legislati</w:t>
      </w:r>
      <w:r>
        <w:rPr>
          <w:rFonts w:ascii="Times New Roman" w:hAnsi="Times New Roman" w:cs="Times New Roman"/>
        </w:rPr>
        <w:t xml:space="preserve">ve </w:t>
      </w:r>
      <w:r w:rsidRPr="000D7954">
        <w:rPr>
          <w:rFonts w:ascii="Times New Roman" w:hAnsi="Times New Roman" w:cs="Times New Roman"/>
        </w:rPr>
        <w:t>perspective.</w:t>
      </w:r>
      <w:r>
        <w:rPr>
          <w:rFonts w:ascii="Times New Roman" w:hAnsi="Times New Roman" w:cs="Times New Roman"/>
        </w:rPr>
        <w:t xml:space="preserve"> The judgment</w:t>
      </w:r>
      <w:r w:rsidRPr="004D0167">
        <w:rPr>
          <w:rFonts w:ascii="Times New Roman" w:hAnsi="Times New Roman" w:cs="Times New Roman"/>
        </w:rPr>
        <w:t xml:space="preserve"> analyze</w:t>
      </w:r>
      <w:r>
        <w:rPr>
          <w:rFonts w:ascii="Times New Roman" w:hAnsi="Times New Roman" w:cs="Times New Roman"/>
        </w:rPr>
        <w:t>s</w:t>
      </w:r>
      <w:r w:rsidRPr="004D0167">
        <w:rPr>
          <w:rFonts w:ascii="Times New Roman" w:hAnsi="Times New Roman" w:cs="Times New Roman"/>
        </w:rPr>
        <w:t xml:space="preserve"> specific legislative provisions within </w:t>
      </w:r>
      <w:r>
        <w:rPr>
          <w:rFonts w:ascii="Times New Roman" w:hAnsi="Times New Roman" w:cs="Times New Roman"/>
        </w:rPr>
        <w:t xml:space="preserve">a </w:t>
      </w:r>
      <w:r w:rsidRPr="004D0167">
        <w:rPr>
          <w:rFonts w:ascii="Times New Roman" w:hAnsi="Times New Roman" w:cs="Times New Roman"/>
        </w:rPr>
        <w:t xml:space="preserve">legal dispute, applying the Rule of Law </w:t>
      </w:r>
      <w:r>
        <w:rPr>
          <w:rFonts w:ascii="Times New Roman" w:hAnsi="Times New Roman" w:cs="Times New Roman"/>
        </w:rPr>
        <w:t>to facts.</w:t>
      </w:r>
      <w:r w:rsidRPr="004D0167">
        <w:rPr>
          <w:rFonts w:ascii="Times New Roman" w:hAnsi="Times New Roman" w:cs="Times New Roman"/>
        </w:rPr>
        <w:t xml:space="preserve"> </w:t>
      </w:r>
      <w:r>
        <w:rPr>
          <w:rFonts w:ascii="Times New Roman" w:hAnsi="Times New Roman" w:cs="Times New Roman"/>
        </w:rPr>
        <w:t>It</w:t>
      </w:r>
      <w:r w:rsidRPr="004D0167">
        <w:rPr>
          <w:rFonts w:ascii="Times New Roman" w:hAnsi="Times New Roman" w:cs="Times New Roman"/>
        </w:rPr>
        <w:t xml:space="preserve"> shows how the principle is upheld or challenged in real-world </w:t>
      </w:r>
      <w:r>
        <w:rPr>
          <w:rFonts w:ascii="Times New Roman" w:hAnsi="Times New Roman" w:cs="Times New Roman"/>
        </w:rPr>
        <w:t>scenarios</w:t>
      </w:r>
      <w:r w:rsidRPr="004D0167">
        <w:rPr>
          <w:rFonts w:ascii="Times New Roman" w:hAnsi="Times New Roman" w:cs="Times New Roman"/>
        </w:rPr>
        <w:t xml:space="preserve">, effectively bridging the theoretical framework with </w:t>
      </w:r>
      <w:r>
        <w:rPr>
          <w:rFonts w:ascii="Times New Roman" w:hAnsi="Times New Roman" w:cs="Times New Roman"/>
        </w:rPr>
        <w:t>practice</w:t>
      </w:r>
      <w:r w:rsidRPr="004D0167">
        <w:rPr>
          <w:rFonts w:ascii="Times New Roman" w:hAnsi="Times New Roman" w:cs="Times New Roman"/>
        </w:rPr>
        <w:t>.</w:t>
      </w:r>
    </w:p>
    <w:p w14:paraId="5508358F" w14:textId="77777777" w:rsidR="00F42DBF" w:rsidRPr="007470BA" w:rsidRDefault="00F42DBF" w:rsidP="00F42DBF">
      <w:pPr>
        <w:pStyle w:val="Heading1"/>
        <w:spacing w:line="360" w:lineRule="auto"/>
        <w:jc w:val="both"/>
        <w:rPr>
          <w:rFonts w:ascii="Times New Roman" w:hAnsi="Times New Roman" w:cs="Times New Roman"/>
          <w:color w:val="000000" w:themeColor="text1"/>
          <w:sz w:val="18"/>
          <w:szCs w:val="18"/>
        </w:rPr>
      </w:pPr>
      <w:bookmarkStart w:id="5" w:name="_Toc187166831"/>
      <w:r>
        <w:rPr>
          <w:rFonts w:ascii="Times New Roman" w:hAnsi="Times New Roman" w:cs="Times New Roman"/>
          <w:color w:val="000000" w:themeColor="text1"/>
        </w:rPr>
        <w:t>Conclusion</w:t>
      </w:r>
      <w:bookmarkEnd w:id="5"/>
    </w:p>
    <w:p w14:paraId="36FB9514" w14:textId="77777777" w:rsidR="00F42DBF" w:rsidRDefault="00F42DBF" w:rsidP="00F42DBF">
      <w:pPr>
        <w:spacing w:line="360" w:lineRule="auto"/>
        <w:jc w:val="both"/>
        <w:rPr>
          <w:rFonts w:ascii="Times New Roman" w:hAnsi="Times New Roman" w:cs="Times New Roman"/>
        </w:rPr>
      </w:pPr>
      <w:r w:rsidRPr="004B119E">
        <w:rPr>
          <w:rFonts w:ascii="Times New Roman" w:hAnsi="Times New Roman" w:cs="Times New Roman"/>
        </w:rPr>
        <w:t>While the two</w:t>
      </w:r>
      <w:r>
        <w:rPr>
          <w:rFonts w:ascii="Times New Roman" w:hAnsi="Times New Roman" w:cs="Times New Roman"/>
        </w:rPr>
        <w:t xml:space="preserve"> court</w:t>
      </w:r>
      <w:r w:rsidRPr="004B119E">
        <w:rPr>
          <w:rFonts w:ascii="Times New Roman" w:hAnsi="Times New Roman" w:cs="Times New Roman"/>
        </w:rPr>
        <w:t xml:space="preserve"> cases</w:t>
      </w:r>
      <w:r>
        <w:rPr>
          <w:rStyle w:val="FootnoteReference"/>
          <w:rFonts w:ascii="Times New Roman" w:hAnsi="Times New Roman" w:cs="Times New Roman"/>
        </w:rPr>
        <w:footnoteReference w:id="8"/>
      </w:r>
      <w:r w:rsidRPr="004B119E">
        <w:rPr>
          <w:rFonts w:ascii="Times New Roman" w:hAnsi="Times New Roman" w:cs="Times New Roman"/>
        </w:rPr>
        <w:t xml:space="preserve"> share significant similarities, their outcomes differed substantially, underscoring the pivotal role of Section 3 of the Human Rights Act 1998 in promoting inclusivity and ensuring equal treatment under the law.</w:t>
      </w:r>
      <w:r>
        <w:rPr>
          <w:rFonts w:ascii="Times New Roman" w:hAnsi="Times New Roman" w:cs="Times New Roman"/>
        </w:rPr>
        <w:t xml:space="preserve"> </w:t>
      </w:r>
      <w:r w:rsidRPr="009A6DEE">
        <w:rPr>
          <w:rFonts w:ascii="Times New Roman" w:hAnsi="Times New Roman" w:cs="Times New Roman"/>
        </w:rPr>
        <w:t xml:space="preserve">Both </w:t>
      </w:r>
      <w:r>
        <w:rPr>
          <w:rFonts w:ascii="Times New Roman" w:hAnsi="Times New Roman" w:cs="Times New Roman"/>
        </w:rPr>
        <w:t xml:space="preserve">legal </w:t>
      </w:r>
      <w:r w:rsidRPr="009A6DEE">
        <w:rPr>
          <w:rFonts w:ascii="Times New Roman" w:hAnsi="Times New Roman" w:cs="Times New Roman"/>
        </w:rPr>
        <w:t xml:space="preserve">sources provide valuable insights into the implications of the Rule of Law in legislation, </w:t>
      </w:r>
      <w:r>
        <w:rPr>
          <w:rFonts w:ascii="Times New Roman" w:hAnsi="Times New Roman" w:cs="Times New Roman"/>
        </w:rPr>
        <w:t>demonstrating its meaning</w:t>
      </w:r>
      <w:r w:rsidRPr="009A6DEE">
        <w:rPr>
          <w:rFonts w:ascii="Times New Roman" w:hAnsi="Times New Roman" w:cs="Times New Roman"/>
        </w:rPr>
        <w:t xml:space="preserve"> from both pre-</w:t>
      </w:r>
      <w:r>
        <w:rPr>
          <w:rFonts w:ascii="Times New Roman" w:hAnsi="Times New Roman" w:cs="Times New Roman"/>
        </w:rPr>
        <w:t xml:space="preserve"> </w:t>
      </w:r>
      <w:r w:rsidRPr="009A6DEE">
        <w:rPr>
          <w:rFonts w:ascii="Times New Roman" w:hAnsi="Times New Roman" w:cs="Times New Roman"/>
        </w:rPr>
        <w:t>and post-legislation. They each utilize Section 3 of the Human Rights Act 1998 to exemplify th</w:t>
      </w:r>
      <w:r>
        <w:rPr>
          <w:rFonts w:ascii="Times New Roman" w:hAnsi="Times New Roman" w:cs="Times New Roman"/>
        </w:rPr>
        <w:t xml:space="preserve">is </w:t>
      </w:r>
      <w:r w:rsidRPr="009A6DEE">
        <w:rPr>
          <w:rFonts w:ascii="Times New Roman" w:hAnsi="Times New Roman" w:cs="Times New Roman"/>
        </w:rPr>
        <w:t xml:space="preserve">constitutional principle. The first source </w:t>
      </w:r>
      <w:r>
        <w:rPr>
          <w:rFonts w:ascii="Times New Roman" w:hAnsi="Times New Roman" w:cs="Times New Roman"/>
        </w:rPr>
        <w:t>advocates</w:t>
      </w:r>
      <w:r w:rsidRPr="009A6DEE">
        <w:rPr>
          <w:rFonts w:ascii="Times New Roman" w:hAnsi="Times New Roman" w:cs="Times New Roman"/>
        </w:rPr>
        <w:t xml:space="preserve"> preserving Section 3 to uphold the Rule of Law, while the second </w:t>
      </w:r>
      <w:r>
        <w:rPr>
          <w:rFonts w:ascii="Times New Roman" w:hAnsi="Times New Roman" w:cs="Times New Roman"/>
        </w:rPr>
        <w:t>provides</w:t>
      </w:r>
      <w:r w:rsidRPr="009A6DEE">
        <w:rPr>
          <w:rFonts w:ascii="Times New Roman" w:hAnsi="Times New Roman" w:cs="Times New Roman"/>
        </w:rPr>
        <w:t xml:space="preserve"> judicial </w:t>
      </w:r>
      <w:r>
        <w:rPr>
          <w:rFonts w:ascii="Times New Roman" w:hAnsi="Times New Roman" w:cs="Times New Roman"/>
        </w:rPr>
        <w:t>evidence</w:t>
      </w:r>
      <w:r w:rsidRPr="009A6DEE">
        <w:rPr>
          <w:rFonts w:ascii="Times New Roman" w:hAnsi="Times New Roman" w:cs="Times New Roman"/>
        </w:rPr>
        <w:t xml:space="preserve"> to reinforce why </w:t>
      </w:r>
      <w:r>
        <w:rPr>
          <w:rFonts w:ascii="Times New Roman" w:hAnsi="Times New Roman" w:cs="Times New Roman"/>
        </w:rPr>
        <w:t>such</w:t>
      </w:r>
      <w:r w:rsidRPr="009A6DEE">
        <w:rPr>
          <w:rFonts w:ascii="Times New Roman" w:hAnsi="Times New Roman" w:cs="Times New Roman"/>
        </w:rPr>
        <w:t xml:space="preserve"> retention is essential. Together, the</w:t>
      </w:r>
      <w:r>
        <w:rPr>
          <w:rFonts w:ascii="Times New Roman" w:hAnsi="Times New Roman" w:cs="Times New Roman"/>
        </w:rPr>
        <w:t xml:space="preserve">y </w:t>
      </w:r>
      <w:r w:rsidRPr="009A6DEE">
        <w:rPr>
          <w:rFonts w:ascii="Times New Roman" w:hAnsi="Times New Roman" w:cs="Times New Roman"/>
        </w:rPr>
        <w:t>emphasize the critical need for legislation to align with Rule of Law principles, a cornerstone of the UK</w:t>
      </w:r>
      <w:r>
        <w:rPr>
          <w:rFonts w:ascii="Times New Roman" w:hAnsi="Times New Roman" w:cs="Times New Roman"/>
        </w:rPr>
        <w:t xml:space="preserve"> </w:t>
      </w:r>
      <w:r w:rsidRPr="009A6DEE">
        <w:rPr>
          <w:rFonts w:ascii="Times New Roman" w:hAnsi="Times New Roman" w:cs="Times New Roman"/>
        </w:rPr>
        <w:t>constitution</w:t>
      </w:r>
      <w:r>
        <w:rPr>
          <w:rFonts w:ascii="Times New Roman" w:hAnsi="Times New Roman" w:cs="Times New Roman"/>
        </w:rPr>
        <w:t>.</w:t>
      </w:r>
    </w:p>
    <w:p w14:paraId="6C92E9D8" w14:textId="77777777" w:rsidR="00F42DBF" w:rsidRDefault="00F42DBF" w:rsidP="00F42DBF">
      <w:pPr>
        <w:spacing w:line="360" w:lineRule="auto"/>
        <w:jc w:val="both"/>
        <w:rPr>
          <w:rFonts w:ascii="Times New Roman" w:hAnsi="Times New Roman" w:cs="Times New Roman"/>
        </w:rPr>
      </w:pPr>
    </w:p>
    <w:p w14:paraId="5B21EB8B" w14:textId="77777777" w:rsidR="00F42DBF" w:rsidRDefault="00F42DBF" w:rsidP="00F42DBF">
      <w:pPr>
        <w:spacing w:line="360" w:lineRule="auto"/>
        <w:jc w:val="both"/>
        <w:rPr>
          <w:rFonts w:ascii="Times New Roman" w:hAnsi="Times New Roman" w:cs="Times New Roman"/>
        </w:rPr>
      </w:pPr>
    </w:p>
    <w:p w14:paraId="14D056B7" w14:textId="77777777" w:rsidR="00F42DBF" w:rsidRDefault="00F42DBF" w:rsidP="00F42DBF">
      <w:pPr>
        <w:spacing w:line="360" w:lineRule="auto"/>
        <w:jc w:val="both"/>
        <w:rPr>
          <w:rFonts w:ascii="Times New Roman" w:hAnsi="Times New Roman" w:cs="Times New Roman"/>
        </w:rPr>
      </w:pPr>
    </w:p>
    <w:p w14:paraId="4116B328" w14:textId="77777777" w:rsidR="00F42DBF" w:rsidRDefault="00F42DBF" w:rsidP="00F42DBF">
      <w:pPr>
        <w:spacing w:line="360" w:lineRule="auto"/>
        <w:jc w:val="both"/>
        <w:rPr>
          <w:rFonts w:ascii="Times New Roman" w:hAnsi="Times New Roman" w:cs="Times New Roman"/>
        </w:rPr>
      </w:pPr>
    </w:p>
    <w:p w14:paraId="24E6693D" w14:textId="77777777" w:rsidR="00F42DBF" w:rsidRDefault="00F42DBF" w:rsidP="00F42DBF">
      <w:pPr>
        <w:spacing w:line="360" w:lineRule="auto"/>
        <w:jc w:val="both"/>
        <w:rPr>
          <w:rFonts w:ascii="Times New Roman" w:hAnsi="Times New Roman" w:cs="Times New Roman"/>
        </w:rPr>
      </w:pPr>
    </w:p>
    <w:p w14:paraId="25A0E75C" w14:textId="77777777" w:rsidR="00F42DBF" w:rsidRDefault="00F42DBF" w:rsidP="00F42DBF">
      <w:pPr>
        <w:spacing w:line="360" w:lineRule="auto"/>
        <w:jc w:val="both"/>
        <w:rPr>
          <w:rFonts w:ascii="Times New Roman" w:hAnsi="Times New Roman" w:cs="Times New Roman"/>
        </w:rPr>
      </w:pPr>
    </w:p>
    <w:p w14:paraId="3F5618E0" w14:textId="77777777" w:rsidR="00F42DBF" w:rsidRDefault="00F42DBF" w:rsidP="00F42DBF">
      <w:pPr>
        <w:spacing w:line="360" w:lineRule="auto"/>
        <w:jc w:val="both"/>
        <w:rPr>
          <w:rFonts w:ascii="Times New Roman" w:hAnsi="Times New Roman" w:cs="Times New Roman"/>
        </w:rPr>
      </w:pPr>
    </w:p>
    <w:p w14:paraId="26D619C1" w14:textId="77777777" w:rsidR="00F42DBF" w:rsidRDefault="00F42DBF" w:rsidP="00F42DBF">
      <w:pPr>
        <w:pStyle w:val="Heading1"/>
        <w:spacing w:line="360" w:lineRule="auto"/>
        <w:jc w:val="both"/>
        <w:rPr>
          <w:rFonts w:ascii="Times New Roman" w:hAnsi="Times New Roman" w:cs="Times New Roman"/>
          <w:color w:val="000000" w:themeColor="text1"/>
        </w:rPr>
      </w:pPr>
      <w:bookmarkStart w:id="6" w:name="_Toc187166832"/>
      <w:r w:rsidRPr="00B818BE">
        <w:rPr>
          <w:rFonts w:ascii="Times New Roman" w:hAnsi="Times New Roman" w:cs="Times New Roman"/>
          <w:color w:val="000000" w:themeColor="text1"/>
        </w:rPr>
        <w:t>Bibliography</w:t>
      </w:r>
      <w:bookmarkEnd w:id="6"/>
    </w:p>
    <w:p w14:paraId="7EA6B70F" w14:textId="77777777" w:rsidR="00F42DBF" w:rsidRPr="005E4BF8" w:rsidRDefault="00F42DBF" w:rsidP="00F42DBF">
      <w:pPr>
        <w:pStyle w:val="Heading2"/>
        <w:spacing w:line="360" w:lineRule="auto"/>
        <w:jc w:val="both"/>
        <w:rPr>
          <w:rFonts w:ascii="Times New Roman" w:hAnsi="Times New Roman" w:cs="Times New Roman"/>
          <w:color w:val="auto"/>
          <w:sz w:val="24"/>
          <w:szCs w:val="24"/>
        </w:rPr>
      </w:pPr>
      <w:bookmarkStart w:id="7" w:name="_Toc187166833"/>
      <w:r w:rsidRPr="005E4BF8">
        <w:rPr>
          <w:rFonts w:ascii="Times New Roman" w:hAnsi="Times New Roman" w:cs="Times New Roman"/>
          <w:color w:val="auto"/>
          <w:sz w:val="24"/>
          <w:szCs w:val="24"/>
        </w:rPr>
        <w:t>Cases</w:t>
      </w:r>
      <w:bookmarkEnd w:id="7"/>
    </w:p>
    <w:p w14:paraId="5CC9B242" w14:textId="77777777" w:rsidR="00F42DBF" w:rsidRPr="005E4BF8" w:rsidRDefault="00F42DBF" w:rsidP="00F42DBF">
      <w:pPr>
        <w:pStyle w:val="FootnoteText"/>
        <w:spacing w:line="360" w:lineRule="auto"/>
        <w:jc w:val="both"/>
        <w:rPr>
          <w:rFonts w:ascii="Times New Roman" w:hAnsi="Times New Roman" w:cs="Times New Roman"/>
          <w:sz w:val="22"/>
          <w:szCs w:val="22"/>
          <w:lang w:val="en-US"/>
        </w:rPr>
      </w:pPr>
      <w:r w:rsidRPr="005E4BF8">
        <w:rPr>
          <w:rFonts w:ascii="Times New Roman" w:hAnsi="Times New Roman" w:cs="Times New Roman"/>
          <w:sz w:val="22"/>
          <w:szCs w:val="22"/>
        </w:rPr>
        <w:t>Ghaidan v Godin-Mendoza [2004] UKHL 30, [55]</w:t>
      </w:r>
    </w:p>
    <w:p w14:paraId="40C878E6" w14:textId="77777777" w:rsidR="00F42DBF" w:rsidRPr="005E4BF8" w:rsidRDefault="00F42DBF" w:rsidP="00F42DBF">
      <w:pPr>
        <w:pStyle w:val="FootnoteText"/>
        <w:spacing w:line="360" w:lineRule="auto"/>
        <w:jc w:val="both"/>
        <w:rPr>
          <w:rFonts w:ascii="Times New Roman" w:hAnsi="Times New Roman" w:cs="Times New Roman"/>
          <w:sz w:val="22"/>
          <w:szCs w:val="22"/>
          <w:lang w:val="en-US"/>
        </w:rPr>
      </w:pPr>
      <w:r w:rsidRPr="005E4BF8">
        <w:rPr>
          <w:rFonts w:ascii="Times New Roman" w:hAnsi="Times New Roman" w:cs="Times New Roman"/>
          <w:sz w:val="22"/>
          <w:szCs w:val="22"/>
        </w:rPr>
        <w:t>Fitzpatrick v Sterling Housing Association Ltd [1999] 4 All ER 705</w:t>
      </w:r>
    </w:p>
    <w:p w14:paraId="65D2F11C" w14:textId="77777777" w:rsidR="00F42DBF" w:rsidRPr="005E4BF8" w:rsidRDefault="00F42DBF" w:rsidP="00F42DBF">
      <w:pPr>
        <w:spacing w:line="360" w:lineRule="auto"/>
        <w:jc w:val="both"/>
        <w:rPr>
          <w:rFonts w:ascii="Times New Roman" w:hAnsi="Times New Roman" w:cs="Times New Roman"/>
          <w:lang w:val="en-US"/>
        </w:rPr>
      </w:pPr>
    </w:p>
    <w:p w14:paraId="6878AC0A" w14:textId="77777777" w:rsidR="00F42DBF" w:rsidRPr="005E4BF8" w:rsidRDefault="00F42DBF" w:rsidP="00F42DBF">
      <w:pPr>
        <w:pStyle w:val="Heading2"/>
        <w:spacing w:line="360" w:lineRule="auto"/>
        <w:jc w:val="both"/>
        <w:rPr>
          <w:rFonts w:ascii="Times New Roman" w:hAnsi="Times New Roman" w:cs="Times New Roman"/>
          <w:color w:val="auto"/>
          <w:sz w:val="24"/>
          <w:szCs w:val="24"/>
          <w:lang w:val="en-US"/>
        </w:rPr>
      </w:pPr>
      <w:bookmarkStart w:id="8" w:name="_Toc187166834"/>
      <w:r w:rsidRPr="005E4BF8">
        <w:rPr>
          <w:rFonts w:ascii="Times New Roman" w:hAnsi="Times New Roman" w:cs="Times New Roman"/>
          <w:color w:val="auto"/>
          <w:sz w:val="24"/>
          <w:szCs w:val="24"/>
          <w:lang w:val="en-US"/>
        </w:rPr>
        <w:t>Legislation</w:t>
      </w:r>
      <w:bookmarkEnd w:id="8"/>
    </w:p>
    <w:p w14:paraId="786CF8E9" w14:textId="77777777" w:rsidR="00F42DBF" w:rsidRDefault="00F42DBF" w:rsidP="00F42DBF">
      <w:pPr>
        <w:pStyle w:val="FootnoteText"/>
        <w:spacing w:line="360" w:lineRule="auto"/>
        <w:jc w:val="both"/>
        <w:rPr>
          <w:rFonts w:ascii="Times New Roman" w:hAnsi="Times New Roman" w:cs="Times New Roman"/>
          <w:sz w:val="22"/>
          <w:szCs w:val="22"/>
        </w:rPr>
      </w:pPr>
      <w:r w:rsidRPr="005E4BF8">
        <w:rPr>
          <w:rFonts w:ascii="Times New Roman" w:hAnsi="Times New Roman" w:cs="Times New Roman"/>
          <w:sz w:val="22"/>
          <w:szCs w:val="22"/>
        </w:rPr>
        <w:t>Human Rights Act 1998</w:t>
      </w:r>
    </w:p>
    <w:p w14:paraId="0795F776" w14:textId="77777777" w:rsidR="00F42DBF" w:rsidRPr="00EC7D5A" w:rsidRDefault="00F42DBF" w:rsidP="00F42DBF">
      <w:pPr>
        <w:pStyle w:val="FootnoteText"/>
        <w:spacing w:line="360" w:lineRule="auto"/>
        <w:jc w:val="both"/>
        <w:rPr>
          <w:rFonts w:ascii="Times New Roman" w:hAnsi="Times New Roman" w:cs="Times New Roman"/>
          <w:sz w:val="22"/>
          <w:szCs w:val="22"/>
          <w:lang w:val="en-US"/>
        </w:rPr>
      </w:pPr>
      <w:r w:rsidRPr="005E4BF8">
        <w:rPr>
          <w:rFonts w:ascii="Times New Roman" w:hAnsi="Times New Roman" w:cs="Times New Roman"/>
          <w:sz w:val="22"/>
          <w:szCs w:val="22"/>
        </w:rPr>
        <w:t xml:space="preserve">Victim and Prisoner </w:t>
      </w:r>
      <w:r>
        <w:rPr>
          <w:rFonts w:ascii="Times New Roman" w:hAnsi="Times New Roman" w:cs="Times New Roman"/>
          <w:sz w:val="22"/>
          <w:szCs w:val="22"/>
        </w:rPr>
        <w:t>Act 2024</w:t>
      </w:r>
    </w:p>
    <w:p w14:paraId="1F43243D" w14:textId="77777777" w:rsidR="00F42DBF" w:rsidRDefault="00F42DBF" w:rsidP="00F42DBF">
      <w:pPr>
        <w:pStyle w:val="FootnoteText"/>
        <w:spacing w:line="360" w:lineRule="auto"/>
        <w:jc w:val="both"/>
        <w:rPr>
          <w:rFonts w:ascii="Times New Roman" w:hAnsi="Times New Roman" w:cs="Times New Roman"/>
          <w:sz w:val="22"/>
          <w:szCs w:val="22"/>
        </w:rPr>
      </w:pPr>
      <w:r w:rsidRPr="005E4BF8">
        <w:rPr>
          <w:rFonts w:ascii="Times New Roman" w:hAnsi="Times New Roman" w:cs="Times New Roman"/>
          <w:sz w:val="22"/>
          <w:szCs w:val="22"/>
        </w:rPr>
        <w:t>Rent Act 1977</w:t>
      </w:r>
    </w:p>
    <w:p w14:paraId="6DD1FEBD" w14:textId="77777777" w:rsidR="00F42DBF" w:rsidRDefault="00F42DBF" w:rsidP="00F42DBF">
      <w:pPr>
        <w:pStyle w:val="FootnoteText"/>
        <w:spacing w:line="360" w:lineRule="auto"/>
        <w:jc w:val="both"/>
        <w:rPr>
          <w:rFonts w:ascii="Times New Roman" w:hAnsi="Times New Roman" w:cs="Times New Roman"/>
          <w:sz w:val="22"/>
          <w:szCs w:val="22"/>
        </w:rPr>
      </w:pPr>
      <w:r w:rsidRPr="005E4BF8">
        <w:rPr>
          <w:rFonts w:ascii="Times New Roman" w:hAnsi="Times New Roman" w:cs="Times New Roman"/>
          <w:sz w:val="22"/>
          <w:szCs w:val="22"/>
        </w:rPr>
        <w:t>Housing Act 1998</w:t>
      </w:r>
    </w:p>
    <w:p w14:paraId="2C269CE9" w14:textId="77777777" w:rsidR="00F42DBF" w:rsidRPr="009826D0" w:rsidRDefault="00F42DBF" w:rsidP="00F42DBF">
      <w:pPr>
        <w:pStyle w:val="FootnoteText"/>
        <w:spacing w:line="360" w:lineRule="auto"/>
        <w:jc w:val="both"/>
        <w:rPr>
          <w:rFonts w:ascii="Times New Roman" w:hAnsi="Times New Roman" w:cs="Times New Roman"/>
          <w:sz w:val="24"/>
          <w:szCs w:val="24"/>
        </w:rPr>
      </w:pPr>
    </w:p>
    <w:p w14:paraId="605E610C" w14:textId="77777777" w:rsidR="00F42DBF" w:rsidRPr="009826D0" w:rsidRDefault="00F42DBF" w:rsidP="00F42DBF">
      <w:pPr>
        <w:pStyle w:val="Heading2"/>
        <w:spacing w:line="360" w:lineRule="auto"/>
        <w:jc w:val="both"/>
        <w:rPr>
          <w:rFonts w:ascii="Times New Roman" w:hAnsi="Times New Roman" w:cs="Times New Roman"/>
          <w:color w:val="auto"/>
          <w:sz w:val="24"/>
          <w:szCs w:val="24"/>
        </w:rPr>
      </w:pPr>
      <w:bookmarkStart w:id="9" w:name="_Toc187166835"/>
      <w:r w:rsidRPr="009826D0">
        <w:rPr>
          <w:rFonts w:ascii="Times New Roman" w:hAnsi="Times New Roman" w:cs="Times New Roman"/>
          <w:color w:val="auto"/>
          <w:sz w:val="24"/>
          <w:szCs w:val="24"/>
        </w:rPr>
        <w:t>EU Legislation</w:t>
      </w:r>
      <w:bookmarkEnd w:id="9"/>
    </w:p>
    <w:p w14:paraId="1FBDF15D" w14:textId="77777777" w:rsidR="00F42DBF" w:rsidRPr="005E4BF8" w:rsidRDefault="00F42DBF" w:rsidP="00F42DBF">
      <w:pPr>
        <w:pStyle w:val="FootnoteText"/>
        <w:spacing w:line="360" w:lineRule="auto"/>
        <w:jc w:val="both"/>
        <w:rPr>
          <w:rFonts w:ascii="Times New Roman" w:hAnsi="Times New Roman" w:cs="Times New Roman"/>
          <w:sz w:val="22"/>
          <w:szCs w:val="22"/>
          <w:lang w:val="en-US"/>
        </w:rPr>
      </w:pPr>
      <w:r w:rsidRPr="005E4BF8">
        <w:rPr>
          <w:rFonts w:ascii="Times New Roman" w:hAnsi="Times New Roman" w:cs="Times New Roman"/>
          <w:sz w:val="22"/>
          <w:szCs w:val="22"/>
        </w:rPr>
        <w:t xml:space="preserve">European Convention on Human Rights </w:t>
      </w:r>
      <w:r>
        <w:rPr>
          <w:rFonts w:ascii="Times New Roman" w:hAnsi="Times New Roman" w:cs="Times New Roman"/>
          <w:sz w:val="22"/>
          <w:szCs w:val="22"/>
        </w:rPr>
        <w:t>[</w:t>
      </w:r>
      <w:r w:rsidRPr="005E4BF8">
        <w:rPr>
          <w:rFonts w:ascii="Times New Roman" w:hAnsi="Times New Roman" w:cs="Times New Roman"/>
          <w:sz w:val="22"/>
          <w:szCs w:val="22"/>
        </w:rPr>
        <w:t>195</w:t>
      </w:r>
      <w:r>
        <w:rPr>
          <w:rFonts w:ascii="Times New Roman" w:hAnsi="Times New Roman" w:cs="Times New Roman"/>
          <w:sz w:val="22"/>
          <w:szCs w:val="22"/>
        </w:rPr>
        <w:t>0]</w:t>
      </w:r>
    </w:p>
    <w:p w14:paraId="54E134C1" w14:textId="77777777" w:rsidR="00F42DBF" w:rsidRPr="005E4BF8" w:rsidRDefault="00F42DBF" w:rsidP="00F42DBF">
      <w:pPr>
        <w:pStyle w:val="FootnoteText"/>
        <w:spacing w:line="360" w:lineRule="auto"/>
        <w:jc w:val="both"/>
        <w:rPr>
          <w:rFonts w:ascii="Times New Roman" w:hAnsi="Times New Roman" w:cs="Times New Roman"/>
          <w:sz w:val="24"/>
          <w:szCs w:val="24"/>
          <w:lang w:val="en-US"/>
        </w:rPr>
      </w:pPr>
    </w:p>
    <w:p w14:paraId="5EB1C440" w14:textId="77777777" w:rsidR="00F42DBF" w:rsidRPr="005E4BF8" w:rsidRDefault="00F42DBF" w:rsidP="00F42DBF">
      <w:pPr>
        <w:pStyle w:val="Heading2"/>
        <w:spacing w:line="360" w:lineRule="auto"/>
        <w:jc w:val="both"/>
        <w:rPr>
          <w:rFonts w:ascii="Times New Roman" w:hAnsi="Times New Roman" w:cs="Times New Roman"/>
          <w:color w:val="auto"/>
          <w:sz w:val="24"/>
          <w:szCs w:val="24"/>
          <w:lang w:val="en-US"/>
        </w:rPr>
      </w:pPr>
      <w:bookmarkStart w:id="10" w:name="_Toc187166836"/>
      <w:r w:rsidRPr="005E4BF8">
        <w:rPr>
          <w:rFonts w:ascii="Times New Roman" w:hAnsi="Times New Roman" w:cs="Times New Roman"/>
          <w:color w:val="auto"/>
          <w:sz w:val="24"/>
          <w:szCs w:val="24"/>
          <w:lang w:val="en-US"/>
        </w:rPr>
        <w:t>Secondary Sources</w:t>
      </w:r>
      <w:bookmarkEnd w:id="10"/>
    </w:p>
    <w:p w14:paraId="64C2B9EB" w14:textId="77777777" w:rsidR="00F42DBF" w:rsidRPr="005E4BF8" w:rsidRDefault="00F42DBF" w:rsidP="00F42DBF">
      <w:pPr>
        <w:spacing w:line="360" w:lineRule="auto"/>
        <w:jc w:val="both"/>
        <w:rPr>
          <w:rStyle w:val="Hyperlink"/>
          <w:rFonts w:ascii="Times New Roman" w:hAnsi="Times New Roman" w:cs="Times New Roman"/>
        </w:rPr>
      </w:pPr>
      <w:r w:rsidRPr="005E4BF8">
        <w:rPr>
          <w:rFonts w:ascii="Times New Roman" w:hAnsi="Times New Roman" w:cs="Times New Roman"/>
        </w:rPr>
        <w:t xml:space="preserve">Moxham, L. (2023) </w:t>
      </w:r>
      <w:r w:rsidRPr="005E4BF8">
        <w:rPr>
          <w:rFonts w:ascii="Times New Roman" w:hAnsi="Times New Roman" w:cs="Times New Roman"/>
          <w:i/>
          <w:iCs/>
        </w:rPr>
        <w:t>'The King's speech and the Rule of Law'</w:t>
      </w:r>
      <w:r>
        <w:rPr>
          <w:rFonts w:ascii="Times New Roman" w:hAnsi="Times New Roman" w:cs="Times New Roman"/>
        </w:rPr>
        <w:t xml:space="preserve">, </w:t>
      </w:r>
      <w:r w:rsidRPr="005E4BF8">
        <w:rPr>
          <w:rFonts w:ascii="Times New Roman" w:hAnsi="Times New Roman" w:cs="Times New Roman"/>
        </w:rPr>
        <w:t xml:space="preserve">Bingham Centre for the Rule of Law, 3 November. Available at: </w:t>
      </w:r>
      <w:hyperlink r:id="rId8" w:tgtFrame="_new" w:history="1">
        <w:r w:rsidRPr="005E4BF8">
          <w:rPr>
            <w:rStyle w:val="Hyperlink"/>
            <w:rFonts w:ascii="Times New Roman" w:hAnsi="Times New Roman" w:cs="Times New Roman"/>
          </w:rPr>
          <w:t>https://binghamcentre.biicl.org/comments/126/the-kings-speech-and-the-rule-of-law</w:t>
        </w:r>
      </w:hyperlink>
      <w:r w:rsidRPr="005E4BF8">
        <w:rPr>
          <w:rStyle w:val="Hyperlink"/>
          <w:rFonts w:ascii="Times New Roman" w:hAnsi="Times New Roman" w:cs="Times New Roman"/>
        </w:rPr>
        <w:t xml:space="preserve"> </w:t>
      </w:r>
      <w:r w:rsidRPr="005E4BF8">
        <w:rPr>
          <w:rFonts w:ascii="Times New Roman" w:hAnsi="Times New Roman" w:cs="Times New Roman"/>
          <w:lang w:val="en-US"/>
        </w:rPr>
        <w:t>(Accessed: 27 November 2024).</w:t>
      </w:r>
    </w:p>
    <w:p w14:paraId="6ABFAC74" w14:textId="1D635114" w:rsidR="00782E85" w:rsidRPr="002826BF" w:rsidRDefault="00F42DBF" w:rsidP="00F42DBF">
      <w:pPr>
        <w:spacing w:line="360" w:lineRule="auto"/>
        <w:rPr>
          <w:rFonts w:ascii="Arial" w:hAnsi="Arial" w:cs="Arial"/>
          <w:b/>
          <w:bCs/>
        </w:rPr>
      </w:pPr>
      <w:r w:rsidRPr="005E4BF8">
        <w:rPr>
          <w:rFonts w:ascii="Times New Roman" w:hAnsi="Times New Roman" w:cs="Times New Roman"/>
        </w:rPr>
        <w:t>Finer, L. (2023) ‘</w:t>
      </w:r>
      <w:r w:rsidRPr="005E4BF8">
        <w:rPr>
          <w:rFonts w:ascii="Times New Roman" w:hAnsi="Times New Roman" w:cs="Times New Roman"/>
          <w:i/>
          <w:iCs/>
        </w:rPr>
        <w:t>Renting prison space overseas: an accountability gap waiting to happen</w:t>
      </w:r>
      <w:r w:rsidRPr="005E4BF8">
        <w:rPr>
          <w:rFonts w:ascii="Times New Roman" w:hAnsi="Times New Roman" w:cs="Times New Roman"/>
        </w:rPr>
        <w:t xml:space="preserve">’, The Justice Gap, 9 October. Available at: </w:t>
      </w:r>
      <w:hyperlink r:id="rId9" w:history="1">
        <w:r w:rsidRPr="005E4BF8">
          <w:rPr>
            <w:rStyle w:val="Hyperlink"/>
            <w:rFonts w:ascii="Times New Roman" w:hAnsi="Times New Roman" w:cs="Times New Roman"/>
          </w:rPr>
          <w:t>https://www.thejusticegap.com/renting-prison-space-overseas-an-accountability-gap-waiting-to-happen</w:t>
        </w:r>
      </w:hyperlink>
      <w:r w:rsidRPr="005E4BF8">
        <w:rPr>
          <w:rStyle w:val="Hyperlink"/>
          <w:rFonts w:ascii="Times New Roman" w:hAnsi="Times New Roman" w:cs="Times New Roman"/>
        </w:rPr>
        <w:t xml:space="preserve"> </w:t>
      </w:r>
      <w:r w:rsidRPr="005E4BF8">
        <w:rPr>
          <w:rFonts w:ascii="Times New Roman" w:hAnsi="Times New Roman" w:cs="Times New Roman"/>
          <w:lang w:val="en-US"/>
        </w:rPr>
        <w:t>(Accessed: 27 November 2024).</w:t>
      </w:r>
    </w:p>
    <w:p w14:paraId="3C3789B6" w14:textId="77777777" w:rsidR="00782E85" w:rsidRPr="005A1C34" w:rsidRDefault="00782E85" w:rsidP="005A1C34">
      <w:pPr>
        <w:spacing w:line="360" w:lineRule="auto"/>
        <w:jc w:val="both"/>
        <w:rPr>
          <w:rFonts w:ascii="Times New Roman" w:hAnsi="Times New Roman" w:cs="Times New Roman"/>
          <w:sz w:val="20"/>
          <w:szCs w:val="20"/>
        </w:rPr>
      </w:pPr>
    </w:p>
    <w:sectPr w:rsidR="00782E85" w:rsidRPr="005A1C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CAE8A" w14:textId="77777777" w:rsidR="00945A80" w:rsidRDefault="00945A80" w:rsidP="003F44EF">
      <w:pPr>
        <w:spacing w:after="0" w:line="240" w:lineRule="auto"/>
      </w:pPr>
      <w:r>
        <w:separator/>
      </w:r>
    </w:p>
  </w:endnote>
  <w:endnote w:type="continuationSeparator" w:id="0">
    <w:p w14:paraId="7CAADDA3" w14:textId="77777777" w:rsidR="00945A80" w:rsidRDefault="00945A80" w:rsidP="003F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CEFD1" w14:textId="77777777" w:rsidR="00945A80" w:rsidRDefault="00945A80" w:rsidP="003F44EF">
      <w:pPr>
        <w:spacing w:after="0" w:line="240" w:lineRule="auto"/>
      </w:pPr>
      <w:r>
        <w:separator/>
      </w:r>
    </w:p>
  </w:footnote>
  <w:footnote w:type="continuationSeparator" w:id="0">
    <w:p w14:paraId="2C00BB46" w14:textId="77777777" w:rsidR="00945A80" w:rsidRDefault="00945A80" w:rsidP="003F44EF">
      <w:pPr>
        <w:spacing w:after="0" w:line="240" w:lineRule="auto"/>
      </w:pPr>
      <w:r>
        <w:continuationSeparator/>
      </w:r>
    </w:p>
  </w:footnote>
  <w:footnote w:id="1">
    <w:p w14:paraId="0FC33690" w14:textId="77777777" w:rsidR="00F42DBF" w:rsidRPr="005410AB" w:rsidRDefault="00F42DBF" w:rsidP="00F42DBF">
      <w:pPr>
        <w:pStyle w:val="FootnoteText"/>
        <w:spacing w:line="360" w:lineRule="auto"/>
        <w:jc w:val="both"/>
        <w:rPr>
          <w:rFonts w:ascii="Times New Roman" w:hAnsi="Times New Roman" w:cs="Times New Roman"/>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Human Rights Act 1998, </w:t>
      </w:r>
      <w:r>
        <w:rPr>
          <w:rFonts w:ascii="Times New Roman" w:hAnsi="Times New Roman" w:cs="Times New Roman"/>
          <w:sz w:val="16"/>
          <w:szCs w:val="16"/>
        </w:rPr>
        <w:t xml:space="preserve">s </w:t>
      </w:r>
      <w:r w:rsidRPr="005410AB">
        <w:rPr>
          <w:rFonts w:ascii="Times New Roman" w:hAnsi="Times New Roman" w:cs="Times New Roman"/>
          <w:sz w:val="16"/>
          <w:szCs w:val="16"/>
        </w:rPr>
        <w:t>3</w:t>
      </w:r>
    </w:p>
  </w:footnote>
  <w:footnote w:id="2">
    <w:p w14:paraId="4F10ED81" w14:textId="77777777" w:rsidR="00F42DBF" w:rsidRPr="005410AB" w:rsidRDefault="00F42DBF" w:rsidP="00F42DBF">
      <w:pPr>
        <w:pStyle w:val="FootnoteText"/>
        <w:spacing w:line="360" w:lineRule="auto"/>
        <w:jc w:val="both"/>
        <w:rPr>
          <w:rFonts w:ascii="Times New Roman" w:hAnsi="Times New Roman" w:cs="Times New Roman"/>
          <w:sz w:val="16"/>
          <w:szCs w:val="16"/>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5410AB">
        <w:rPr>
          <w:rFonts w:ascii="Times New Roman" w:hAnsi="Times New Roman" w:cs="Times New Roman"/>
          <w:sz w:val="16"/>
          <w:szCs w:val="16"/>
        </w:rPr>
        <w:t>Victim and Prisoner Bill (2023–24) [34]</w:t>
      </w:r>
    </w:p>
  </w:footnote>
  <w:footnote w:id="3">
    <w:p w14:paraId="57745ABC" w14:textId="77777777" w:rsidR="00F42DBF" w:rsidRPr="005410AB" w:rsidRDefault="00F42DBF" w:rsidP="00F42DBF">
      <w:pPr>
        <w:pStyle w:val="FootnoteText"/>
        <w:spacing w:line="360" w:lineRule="auto"/>
        <w:jc w:val="both"/>
        <w:rPr>
          <w:rFonts w:ascii="Times New Roman" w:hAnsi="Times New Roman" w:cs="Times New Roman"/>
          <w:sz w:val="16"/>
          <w:szCs w:val="16"/>
          <w:lang w:val="en-GB"/>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5410AB">
        <w:rPr>
          <w:rFonts w:ascii="Times New Roman" w:hAnsi="Times New Roman" w:cs="Times New Roman"/>
          <w:sz w:val="16"/>
          <w:szCs w:val="16"/>
        </w:rPr>
        <w:t>Rent Act 1977, Sch 1, para 2 (1), (2)</w:t>
      </w:r>
    </w:p>
  </w:footnote>
  <w:footnote w:id="4">
    <w:p w14:paraId="25C9B537" w14:textId="77777777" w:rsidR="00F42DBF" w:rsidRPr="005410AB" w:rsidRDefault="00F42DBF" w:rsidP="00F42DBF">
      <w:pPr>
        <w:pStyle w:val="FootnoteText"/>
        <w:spacing w:line="360" w:lineRule="auto"/>
        <w:jc w:val="both"/>
        <w:rPr>
          <w:rFonts w:ascii="Times New Roman" w:hAnsi="Times New Roman" w:cs="Times New Roman"/>
          <w:sz w:val="16"/>
          <w:szCs w:val="16"/>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5410AB">
        <w:rPr>
          <w:rFonts w:ascii="Times New Roman" w:hAnsi="Times New Roman" w:cs="Times New Roman"/>
          <w:sz w:val="16"/>
          <w:szCs w:val="16"/>
        </w:rPr>
        <w:t xml:space="preserve">European Convention on Human Rights </w:t>
      </w:r>
      <w:r>
        <w:rPr>
          <w:rFonts w:ascii="Times New Roman" w:hAnsi="Times New Roman" w:cs="Times New Roman"/>
          <w:sz w:val="16"/>
          <w:szCs w:val="16"/>
        </w:rPr>
        <w:t>[</w:t>
      </w:r>
      <w:r w:rsidRPr="005410AB">
        <w:rPr>
          <w:rFonts w:ascii="Times New Roman" w:hAnsi="Times New Roman" w:cs="Times New Roman"/>
          <w:sz w:val="16"/>
          <w:szCs w:val="16"/>
        </w:rPr>
        <w:t>195</w:t>
      </w:r>
      <w:r>
        <w:rPr>
          <w:rFonts w:ascii="Times New Roman" w:hAnsi="Times New Roman" w:cs="Times New Roman"/>
          <w:sz w:val="16"/>
          <w:szCs w:val="16"/>
        </w:rPr>
        <w:t>0]</w:t>
      </w:r>
      <w:r w:rsidRPr="005410AB">
        <w:rPr>
          <w:rFonts w:ascii="Times New Roman" w:hAnsi="Times New Roman" w:cs="Times New Roman"/>
          <w:sz w:val="16"/>
          <w:szCs w:val="16"/>
        </w:rPr>
        <w:t>, arts 8; 14</w:t>
      </w:r>
    </w:p>
  </w:footnote>
  <w:footnote w:id="5">
    <w:p w14:paraId="4639CD6E" w14:textId="77777777" w:rsidR="00F42DBF" w:rsidRPr="005410AB" w:rsidRDefault="00F42DBF" w:rsidP="00F42DBF">
      <w:pPr>
        <w:pStyle w:val="FootnoteText"/>
        <w:spacing w:line="360" w:lineRule="auto"/>
        <w:jc w:val="both"/>
        <w:rPr>
          <w:rFonts w:ascii="Times New Roman" w:hAnsi="Times New Roman" w:cs="Times New Roman"/>
          <w:sz w:val="16"/>
          <w:szCs w:val="16"/>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35416C">
        <w:rPr>
          <w:rFonts w:ascii="Times New Roman" w:hAnsi="Times New Roman" w:cs="Times New Roman"/>
          <w:i/>
          <w:iCs/>
          <w:sz w:val="16"/>
          <w:szCs w:val="16"/>
        </w:rPr>
        <w:t>Ghaidan v Godin-Mendoza</w:t>
      </w:r>
      <w:r w:rsidRPr="005410AB">
        <w:rPr>
          <w:rFonts w:ascii="Times New Roman" w:hAnsi="Times New Roman" w:cs="Times New Roman"/>
          <w:sz w:val="16"/>
          <w:szCs w:val="16"/>
        </w:rPr>
        <w:t> [2004] UKHL 30, [55]</w:t>
      </w:r>
    </w:p>
  </w:footnote>
  <w:footnote w:id="6">
    <w:p w14:paraId="328AD59F" w14:textId="77777777" w:rsidR="00F42DBF" w:rsidRPr="005410AB" w:rsidRDefault="00F42DBF" w:rsidP="00F42DBF">
      <w:pPr>
        <w:pStyle w:val="FootnoteText"/>
        <w:spacing w:line="360" w:lineRule="auto"/>
        <w:jc w:val="both"/>
        <w:rPr>
          <w:rFonts w:ascii="Times New Roman" w:hAnsi="Times New Roman" w:cs="Times New Roman"/>
          <w:sz w:val="16"/>
          <w:szCs w:val="16"/>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35416C">
        <w:rPr>
          <w:rFonts w:ascii="Times New Roman" w:hAnsi="Times New Roman" w:cs="Times New Roman"/>
          <w:i/>
          <w:iCs/>
          <w:sz w:val="16"/>
          <w:szCs w:val="16"/>
        </w:rPr>
        <w:t>Fitzpatrick v Sterling Housing Association Ltd</w:t>
      </w:r>
      <w:r w:rsidRPr="005410AB">
        <w:rPr>
          <w:rFonts w:ascii="Times New Roman" w:hAnsi="Times New Roman" w:cs="Times New Roman"/>
          <w:sz w:val="16"/>
          <w:szCs w:val="16"/>
        </w:rPr>
        <w:t xml:space="preserve"> [1999] 4 All ER 705</w:t>
      </w:r>
    </w:p>
  </w:footnote>
  <w:footnote w:id="7">
    <w:p w14:paraId="1331F461" w14:textId="77777777" w:rsidR="00F42DBF" w:rsidRPr="005410AB" w:rsidRDefault="00F42DBF" w:rsidP="00F42DBF">
      <w:pPr>
        <w:pStyle w:val="FootnoteText"/>
        <w:spacing w:line="360" w:lineRule="auto"/>
        <w:jc w:val="both"/>
        <w:rPr>
          <w:rFonts w:ascii="Times New Roman" w:hAnsi="Times New Roman" w:cs="Times New Roman"/>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5410AB">
        <w:rPr>
          <w:rFonts w:ascii="Times New Roman" w:hAnsi="Times New Roman" w:cs="Times New Roman"/>
          <w:sz w:val="16"/>
          <w:szCs w:val="16"/>
        </w:rPr>
        <w:t>Rent Act 1977; Housing Act 1998</w:t>
      </w:r>
    </w:p>
  </w:footnote>
  <w:footnote w:id="8">
    <w:p w14:paraId="7E78E8E1" w14:textId="77777777" w:rsidR="00F42DBF" w:rsidRPr="0056138E" w:rsidRDefault="00F42DBF" w:rsidP="00F42DBF">
      <w:pPr>
        <w:pStyle w:val="FootnoteText"/>
        <w:spacing w:line="360" w:lineRule="auto"/>
        <w:jc w:val="both"/>
        <w:rPr>
          <w:sz w:val="16"/>
          <w:szCs w:val="16"/>
          <w:lang w:val="en-US"/>
        </w:rPr>
      </w:pPr>
      <w:r w:rsidRPr="005410AB">
        <w:rPr>
          <w:rStyle w:val="FootnoteReference"/>
          <w:rFonts w:ascii="Times New Roman" w:hAnsi="Times New Roman" w:cs="Times New Roman"/>
          <w:sz w:val="16"/>
          <w:szCs w:val="16"/>
        </w:rPr>
        <w:footnoteRef/>
      </w:r>
      <w:r w:rsidRPr="005410AB">
        <w:rPr>
          <w:rFonts w:ascii="Times New Roman" w:hAnsi="Times New Roman" w:cs="Times New Roman"/>
          <w:sz w:val="16"/>
          <w:szCs w:val="16"/>
        </w:rPr>
        <w:t xml:space="preserve"> </w:t>
      </w:r>
      <w:r w:rsidRPr="0035416C">
        <w:rPr>
          <w:rFonts w:ascii="Times New Roman" w:hAnsi="Times New Roman" w:cs="Times New Roman"/>
          <w:i/>
          <w:iCs/>
          <w:sz w:val="16"/>
          <w:szCs w:val="16"/>
        </w:rPr>
        <w:t>Ghaidan v Godin-Mendoza</w:t>
      </w:r>
      <w:r w:rsidRPr="005410AB">
        <w:rPr>
          <w:rFonts w:ascii="Times New Roman" w:hAnsi="Times New Roman" w:cs="Times New Roman"/>
          <w:sz w:val="16"/>
          <w:szCs w:val="16"/>
        </w:rPr>
        <w:t xml:space="preserve"> [2004] UKHL 30; </w:t>
      </w:r>
      <w:r w:rsidRPr="0035416C">
        <w:rPr>
          <w:rFonts w:ascii="Times New Roman" w:hAnsi="Times New Roman" w:cs="Times New Roman"/>
          <w:i/>
          <w:iCs/>
          <w:sz w:val="16"/>
          <w:szCs w:val="16"/>
        </w:rPr>
        <w:t>Fitzpatrick v Sterling Housing Association Ltd</w:t>
      </w:r>
      <w:r w:rsidRPr="005410AB">
        <w:rPr>
          <w:rFonts w:ascii="Times New Roman" w:hAnsi="Times New Roman" w:cs="Times New Roman"/>
          <w:sz w:val="16"/>
          <w:szCs w:val="16"/>
        </w:rPr>
        <w:t xml:space="preserve"> [1999] 4 All ER 705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47C13"/>
    <w:multiLevelType w:val="multilevel"/>
    <w:tmpl w:val="332EC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EastAsia" w:hAnsi="Aptos" w:cstheme="minorBidi" w:hint="default"/>
      </w:rPr>
    </w:lvl>
    <w:lvl w:ilvl="4">
      <w:numFmt w:val="bullet"/>
      <w:lvlText w:val=""/>
      <w:lvlJc w:val="left"/>
      <w:pPr>
        <w:ind w:left="3600" w:hanging="360"/>
      </w:pPr>
      <w:rPr>
        <w:rFonts w:ascii="Wingdings" w:eastAsiaTheme="minorEastAsia" w:hAnsi="Wingdings" w:cstheme="minorBidi" w:hint="default"/>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5443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6B"/>
    <w:rsid w:val="00003F68"/>
    <w:rsid w:val="00003F8C"/>
    <w:rsid w:val="00006822"/>
    <w:rsid w:val="00011F44"/>
    <w:rsid w:val="000375E4"/>
    <w:rsid w:val="00051695"/>
    <w:rsid w:val="00064722"/>
    <w:rsid w:val="00067BEA"/>
    <w:rsid w:val="00070DAD"/>
    <w:rsid w:val="00072473"/>
    <w:rsid w:val="0007541E"/>
    <w:rsid w:val="00081291"/>
    <w:rsid w:val="000825A0"/>
    <w:rsid w:val="000826C7"/>
    <w:rsid w:val="000922F2"/>
    <w:rsid w:val="000940C1"/>
    <w:rsid w:val="000947EB"/>
    <w:rsid w:val="00096278"/>
    <w:rsid w:val="0009706B"/>
    <w:rsid w:val="000A17CC"/>
    <w:rsid w:val="000B716D"/>
    <w:rsid w:val="000C5116"/>
    <w:rsid w:val="000D466A"/>
    <w:rsid w:val="000D7954"/>
    <w:rsid w:val="000D7A14"/>
    <w:rsid w:val="000E136F"/>
    <w:rsid w:val="000F12A4"/>
    <w:rsid w:val="001129D3"/>
    <w:rsid w:val="00112BF4"/>
    <w:rsid w:val="00114ABB"/>
    <w:rsid w:val="0012036B"/>
    <w:rsid w:val="00121298"/>
    <w:rsid w:val="00126AED"/>
    <w:rsid w:val="00132535"/>
    <w:rsid w:val="00135901"/>
    <w:rsid w:val="00142E18"/>
    <w:rsid w:val="00154CB0"/>
    <w:rsid w:val="00156256"/>
    <w:rsid w:val="00161379"/>
    <w:rsid w:val="00176C18"/>
    <w:rsid w:val="001873FE"/>
    <w:rsid w:val="001A2D27"/>
    <w:rsid w:val="001C441D"/>
    <w:rsid w:val="001D0AB6"/>
    <w:rsid w:val="001D4D29"/>
    <w:rsid w:val="001D5B17"/>
    <w:rsid w:val="001D5BF1"/>
    <w:rsid w:val="001E439B"/>
    <w:rsid w:val="001F1D78"/>
    <w:rsid w:val="00211A3F"/>
    <w:rsid w:val="00220FEB"/>
    <w:rsid w:val="002273D3"/>
    <w:rsid w:val="00235488"/>
    <w:rsid w:val="00235916"/>
    <w:rsid w:val="00236383"/>
    <w:rsid w:val="00246628"/>
    <w:rsid w:val="00251307"/>
    <w:rsid w:val="00251600"/>
    <w:rsid w:val="00256CA8"/>
    <w:rsid w:val="00257B3F"/>
    <w:rsid w:val="0026222D"/>
    <w:rsid w:val="0026231B"/>
    <w:rsid w:val="002728DC"/>
    <w:rsid w:val="002777B7"/>
    <w:rsid w:val="00293D53"/>
    <w:rsid w:val="002B22CD"/>
    <w:rsid w:val="002B7163"/>
    <w:rsid w:val="002D79E8"/>
    <w:rsid w:val="002E0D97"/>
    <w:rsid w:val="002E6E8A"/>
    <w:rsid w:val="00303293"/>
    <w:rsid w:val="0031484C"/>
    <w:rsid w:val="00314A44"/>
    <w:rsid w:val="00324C09"/>
    <w:rsid w:val="00327D87"/>
    <w:rsid w:val="00330E00"/>
    <w:rsid w:val="00351F90"/>
    <w:rsid w:val="00354361"/>
    <w:rsid w:val="00354F43"/>
    <w:rsid w:val="003557AD"/>
    <w:rsid w:val="00362492"/>
    <w:rsid w:val="00362D1E"/>
    <w:rsid w:val="00370616"/>
    <w:rsid w:val="00372134"/>
    <w:rsid w:val="00373D9A"/>
    <w:rsid w:val="003A04EA"/>
    <w:rsid w:val="003A45C6"/>
    <w:rsid w:val="003B0549"/>
    <w:rsid w:val="003B1ACD"/>
    <w:rsid w:val="003B314D"/>
    <w:rsid w:val="003C15C4"/>
    <w:rsid w:val="003D07BE"/>
    <w:rsid w:val="003D5BFE"/>
    <w:rsid w:val="003E15EA"/>
    <w:rsid w:val="003E3DD2"/>
    <w:rsid w:val="003E6E19"/>
    <w:rsid w:val="003F44EF"/>
    <w:rsid w:val="003F578D"/>
    <w:rsid w:val="00407EF4"/>
    <w:rsid w:val="004160B7"/>
    <w:rsid w:val="00416D15"/>
    <w:rsid w:val="00435758"/>
    <w:rsid w:val="004577E8"/>
    <w:rsid w:val="00465274"/>
    <w:rsid w:val="00471B11"/>
    <w:rsid w:val="00475A30"/>
    <w:rsid w:val="00481341"/>
    <w:rsid w:val="00487089"/>
    <w:rsid w:val="004B119E"/>
    <w:rsid w:val="004C026E"/>
    <w:rsid w:val="004C1B12"/>
    <w:rsid w:val="004C4BED"/>
    <w:rsid w:val="004C7155"/>
    <w:rsid w:val="004D0167"/>
    <w:rsid w:val="004D16C7"/>
    <w:rsid w:val="004E6054"/>
    <w:rsid w:val="004F6F90"/>
    <w:rsid w:val="00533F56"/>
    <w:rsid w:val="00535F7A"/>
    <w:rsid w:val="005406A1"/>
    <w:rsid w:val="00551062"/>
    <w:rsid w:val="005603DE"/>
    <w:rsid w:val="00563EE4"/>
    <w:rsid w:val="00566A45"/>
    <w:rsid w:val="00590D6D"/>
    <w:rsid w:val="00596832"/>
    <w:rsid w:val="005A1C34"/>
    <w:rsid w:val="005A3AC8"/>
    <w:rsid w:val="005A6C79"/>
    <w:rsid w:val="005D0561"/>
    <w:rsid w:val="005D26D8"/>
    <w:rsid w:val="005E66DC"/>
    <w:rsid w:val="005F0203"/>
    <w:rsid w:val="00620FAD"/>
    <w:rsid w:val="00623CA5"/>
    <w:rsid w:val="00627B5D"/>
    <w:rsid w:val="006427F8"/>
    <w:rsid w:val="00656D0F"/>
    <w:rsid w:val="006609E5"/>
    <w:rsid w:val="0066202C"/>
    <w:rsid w:val="00692FE0"/>
    <w:rsid w:val="006A5E79"/>
    <w:rsid w:val="006A6FB5"/>
    <w:rsid w:val="006C563D"/>
    <w:rsid w:val="006D5F32"/>
    <w:rsid w:val="006D6904"/>
    <w:rsid w:val="006D737E"/>
    <w:rsid w:val="006E0376"/>
    <w:rsid w:val="006F2F08"/>
    <w:rsid w:val="007123DE"/>
    <w:rsid w:val="00717DE3"/>
    <w:rsid w:val="00720A95"/>
    <w:rsid w:val="00726476"/>
    <w:rsid w:val="00735EA9"/>
    <w:rsid w:val="00743693"/>
    <w:rsid w:val="00743F87"/>
    <w:rsid w:val="0074704B"/>
    <w:rsid w:val="007470BA"/>
    <w:rsid w:val="00760E81"/>
    <w:rsid w:val="00765A60"/>
    <w:rsid w:val="00772698"/>
    <w:rsid w:val="00774929"/>
    <w:rsid w:val="00782E85"/>
    <w:rsid w:val="007A573C"/>
    <w:rsid w:val="007A61B2"/>
    <w:rsid w:val="007A72C9"/>
    <w:rsid w:val="007D2706"/>
    <w:rsid w:val="00810815"/>
    <w:rsid w:val="00814017"/>
    <w:rsid w:val="00831C8A"/>
    <w:rsid w:val="0083582E"/>
    <w:rsid w:val="00841FCD"/>
    <w:rsid w:val="00851B94"/>
    <w:rsid w:val="0085397C"/>
    <w:rsid w:val="00856CE7"/>
    <w:rsid w:val="008674B6"/>
    <w:rsid w:val="00880905"/>
    <w:rsid w:val="00892A3B"/>
    <w:rsid w:val="0089524D"/>
    <w:rsid w:val="008955F0"/>
    <w:rsid w:val="008A1D40"/>
    <w:rsid w:val="008A3A41"/>
    <w:rsid w:val="008B4643"/>
    <w:rsid w:val="008C20B2"/>
    <w:rsid w:val="008C3388"/>
    <w:rsid w:val="008C5FA0"/>
    <w:rsid w:val="008D6374"/>
    <w:rsid w:val="008E28E7"/>
    <w:rsid w:val="008E2C45"/>
    <w:rsid w:val="008E4413"/>
    <w:rsid w:val="008F2295"/>
    <w:rsid w:val="008F45D1"/>
    <w:rsid w:val="008F6989"/>
    <w:rsid w:val="009055B5"/>
    <w:rsid w:val="009120B1"/>
    <w:rsid w:val="00925999"/>
    <w:rsid w:val="00933A2A"/>
    <w:rsid w:val="00935F17"/>
    <w:rsid w:val="00945A80"/>
    <w:rsid w:val="00947568"/>
    <w:rsid w:val="00947DFF"/>
    <w:rsid w:val="009544D4"/>
    <w:rsid w:val="009617A6"/>
    <w:rsid w:val="0096324A"/>
    <w:rsid w:val="0099022C"/>
    <w:rsid w:val="00994FAF"/>
    <w:rsid w:val="009A6DEE"/>
    <w:rsid w:val="009B1C66"/>
    <w:rsid w:val="009C43FC"/>
    <w:rsid w:val="009E6273"/>
    <w:rsid w:val="009F71AD"/>
    <w:rsid w:val="00A05E71"/>
    <w:rsid w:val="00A06F33"/>
    <w:rsid w:val="00A12A22"/>
    <w:rsid w:val="00A25BB5"/>
    <w:rsid w:val="00A3318C"/>
    <w:rsid w:val="00A368F5"/>
    <w:rsid w:val="00A411EE"/>
    <w:rsid w:val="00A43ACD"/>
    <w:rsid w:val="00A83959"/>
    <w:rsid w:val="00A96DDB"/>
    <w:rsid w:val="00AC29EB"/>
    <w:rsid w:val="00AC5BFD"/>
    <w:rsid w:val="00AD1AA6"/>
    <w:rsid w:val="00AD1F41"/>
    <w:rsid w:val="00AD7460"/>
    <w:rsid w:val="00AF4277"/>
    <w:rsid w:val="00AF7B85"/>
    <w:rsid w:val="00B01765"/>
    <w:rsid w:val="00B042D0"/>
    <w:rsid w:val="00B23729"/>
    <w:rsid w:val="00B2572E"/>
    <w:rsid w:val="00B25857"/>
    <w:rsid w:val="00B35029"/>
    <w:rsid w:val="00B4080A"/>
    <w:rsid w:val="00B552E2"/>
    <w:rsid w:val="00B5606E"/>
    <w:rsid w:val="00B72291"/>
    <w:rsid w:val="00B77834"/>
    <w:rsid w:val="00B86991"/>
    <w:rsid w:val="00BA3E06"/>
    <w:rsid w:val="00BA76EC"/>
    <w:rsid w:val="00BB5870"/>
    <w:rsid w:val="00BC1BC2"/>
    <w:rsid w:val="00BC3642"/>
    <w:rsid w:val="00BE38F0"/>
    <w:rsid w:val="00BF1D88"/>
    <w:rsid w:val="00C04099"/>
    <w:rsid w:val="00C340F5"/>
    <w:rsid w:val="00C35FE7"/>
    <w:rsid w:val="00C4603E"/>
    <w:rsid w:val="00C62A8E"/>
    <w:rsid w:val="00C7272E"/>
    <w:rsid w:val="00C74313"/>
    <w:rsid w:val="00C77AAC"/>
    <w:rsid w:val="00C82451"/>
    <w:rsid w:val="00C8737C"/>
    <w:rsid w:val="00CA25BE"/>
    <w:rsid w:val="00CA6248"/>
    <w:rsid w:val="00CC146D"/>
    <w:rsid w:val="00CC45BF"/>
    <w:rsid w:val="00CC61B2"/>
    <w:rsid w:val="00CD72B6"/>
    <w:rsid w:val="00CD7A16"/>
    <w:rsid w:val="00CE1E15"/>
    <w:rsid w:val="00CF6812"/>
    <w:rsid w:val="00D1601C"/>
    <w:rsid w:val="00D223F5"/>
    <w:rsid w:val="00D252FB"/>
    <w:rsid w:val="00D30925"/>
    <w:rsid w:val="00D30AF7"/>
    <w:rsid w:val="00D36B01"/>
    <w:rsid w:val="00D52BC7"/>
    <w:rsid w:val="00D5572F"/>
    <w:rsid w:val="00D659EE"/>
    <w:rsid w:val="00D832BC"/>
    <w:rsid w:val="00DA634C"/>
    <w:rsid w:val="00DB190E"/>
    <w:rsid w:val="00DB68C8"/>
    <w:rsid w:val="00DC1BBD"/>
    <w:rsid w:val="00DC581E"/>
    <w:rsid w:val="00DD5FAC"/>
    <w:rsid w:val="00DE5831"/>
    <w:rsid w:val="00E06724"/>
    <w:rsid w:val="00E17CE2"/>
    <w:rsid w:val="00E2075F"/>
    <w:rsid w:val="00E21C29"/>
    <w:rsid w:val="00E3409F"/>
    <w:rsid w:val="00E3792C"/>
    <w:rsid w:val="00E454AB"/>
    <w:rsid w:val="00E51006"/>
    <w:rsid w:val="00E53BA0"/>
    <w:rsid w:val="00E574E0"/>
    <w:rsid w:val="00E85F57"/>
    <w:rsid w:val="00E976BE"/>
    <w:rsid w:val="00EB1C15"/>
    <w:rsid w:val="00EB3104"/>
    <w:rsid w:val="00EB3491"/>
    <w:rsid w:val="00EC44B9"/>
    <w:rsid w:val="00EC7226"/>
    <w:rsid w:val="00ED4464"/>
    <w:rsid w:val="00ED559F"/>
    <w:rsid w:val="00EE0E34"/>
    <w:rsid w:val="00EE137B"/>
    <w:rsid w:val="00EF5B8C"/>
    <w:rsid w:val="00F04DD0"/>
    <w:rsid w:val="00F272E2"/>
    <w:rsid w:val="00F30328"/>
    <w:rsid w:val="00F3523F"/>
    <w:rsid w:val="00F37098"/>
    <w:rsid w:val="00F42DBF"/>
    <w:rsid w:val="00F4589F"/>
    <w:rsid w:val="00F5251C"/>
    <w:rsid w:val="00F54A72"/>
    <w:rsid w:val="00F56880"/>
    <w:rsid w:val="00F579B8"/>
    <w:rsid w:val="00F6252C"/>
    <w:rsid w:val="00F6737F"/>
    <w:rsid w:val="00F70009"/>
    <w:rsid w:val="00F75EE1"/>
    <w:rsid w:val="00F82028"/>
    <w:rsid w:val="00F97AE8"/>
    <w:rsid w:val="00FB2669"/>
    <w:rsid w:val="00FC1C5A"/>
    <w:rsid w:val="00FC6F3E"/>
    <w:rsid w:val="00FE6134"/>
    <w:rsid w:val="00FF3828"/>
    <w:rsid w:val="00FF76BD"/>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B60"/>
  <w15:chartTrackingRefBased/>
  <w15:docId w15:val="{D121BA1D-FACB-2F40-8A43-DA8F79F1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06B"/>
    <w:rPr>
      <w:rFonts w:eastAsiaTheme="majorEastAsia" w:cstheme="majorBidi"/>
      <w:color w:val="272727" w:themeColor="text1" w:themeTint="D8"/>
    </w:rPr>
  </w:style>
  <w:style w:type="paragraph" w:styleId="Title">
    <w:name w:val="Title"/>
    <w:basedOn w:val="Normal"/>
    <w:next w:val="Normal"/>
    <w:link w:val="TitleChar"/>
    <w:uiPriority w:val="10"/>
    <w:qFormat/>
    <w:rsid w:val="00097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06B"/>
    <w:pPr>
      <w:spacing w:before="160"/>
      <w:jc w:val="center"/>
    </w:pPr>
    <w:rPr>
      <w:i/>
      <w:iCs/>
      <w:color w:val="404040" w:themeColor="text1" w:themeTint="BF"/>
    </w:rPr>
  </w:style>
  <w:style w:type="character" w:customStyle="1" w:styleId="QuoteChar">
    <w:name w:val="Quote Char"/>
    <w:basedOn w:val="DefaultParagraphFont"/>
    <w:link w:val="Quote"/>
    <w:uiPriority w:val="29"/>
    <w:rsid w:val="0009706B"/>
    <w:rPr>
      <w:i/>
      <w:iCs/>
      <w:color w:val="404040" w:themeColor="text1" w:themeTint="BF"/>
    </w:rPr>
  </w:style>
  <w:style w:type="paragraph" w:styleId="ListParagraph">
    <w:name w:val="List Paragraph"/>
    <w:basedOn w:val="Normal"/>
    <w:uiPriority w:val="34"/>
    <w:qFormat/>
    <w:rsid w:val="0009706B"/>
    <w:pPr>
      <w:ind w:left="720"/>
      <w:contextualSpacing/>
    </w:pPr>
  </w:style>
  <w:style w:type="character" w:styleId="IntenseEmphasis">
    <w:name w:val="Intense Emphasis"/>
    <w:basedOn w:val="DefaultParagraphFont"/>
    <w:uiPriority w:val="21"/>
    <w:qFormat/>
    <w:rsid w:val="0009706B"/>
    <w:rPr>
      <w:i/>
      <w:iCs/>
      <w:color w:val="0F4761" w:themeColor="accent1" w:themeShade="BF"/>
    </w:rPr>
  </w:style>
  <w:style w:type="paragraph" w:styleId="IntenseQuote">
    <w:name w:val="Intense Quote"/>
    <w:basedOn w:val="Normal"/>
    <w:next w:val="Normal"/>
    <w:link w:val="IntenseQuoteChar"/>
    <w:uiPriority w:val="30"/>
    <w:qFormat/>
    <w:rsid w:val="00097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06B"/>
    <w:rPr>
      <w:i/>
      <w:iCs/>
      <w:color w:val="0F4761" w:themeColor="accent1" w:themeShade="BF"/>
    </w:rPr>
  </w:style>
  <w:style w:type="character" w:styleId="IntenseReference">
    <w:name w:val="Intense Reference"/>
    <w:basedOn w:val="DefaultParagraphFont"/>
    <w:uiPriority w:val="32"/>
    <w:qFormat/>
    <w:rsid w:val="0009706B"/>
    <w:rPr>
      <w:b/>
      <w:bCs/>
      <w:smallCaps/>
      <w:color w:val="0F4761" w:themeColor="accent1" w:themeShade="BF"/>
      <w:spacing w:val="5"/>
    </w:rPr>
  </w:style>
  <w:style w:type="character" w:styleId="Hyperlink">
    <w:name w:val="Hyperlink"/>
    <w:basedOn w:val="DefaultParagraphFont"/>
    <w:uiPriority w:val="99"/>
    <w:unhideWhenUsed/>
    <w:rsid w:val="00435758"/>
    <w:rPr>
      <w:color w:val="467886" w:themeColor="hyperlink"/>
      <w:u w:val="single"/>
    </w:rPr>
  </w:style>
  <w:style w:type="character" w:styleId="UnresolvedMention">
    <w:name w:val="Unresolved Mention"/>
    <w:basedOn w:val="DefaultParagraphFont"/>
    <w:uiPriority w:val="99"/>
    <w:semiHidden/>
    <w:unhideWhenUsed/>
    <w:rsid w:val="00435758"/>
    <w:rPr>
      <w:color w:val="605E5C"/>
      <w:shd w:val="clear" w:color="auto" w:fill="E1DFDD"/>
    </w:rPr>
  </w:style>
  <w:style w:type="character" w:styleId="FollowedHyperlink">
    <w:name w:val="FollowedHyperlink"/>
    <w:basedOn w:val="DefaultParagraphFont"/>
    <w:uiPriority w:val="99"/>
    <w:semiHidden/>
    <w:unhideWhenUsed/>
    <w:rsid w:val="00327D87"/>
    <w:rPr>
      <w:color w:val="96607D" w:themeColor="followedHyperlink"/>
      <w:u w:val="single"/>
    </w:rPr>
  </w:style>
  <w:style w:type="paragraph" w:styleId="TOCHeading">
    <w:name w:val="TOC Heading"/>
    <w:basedOn w:val="Heading1"/>
    <w:next w:val="Normal"/>
    <w:uiPriority w:val="39"/>
    <w:unhideWhenUsed/>
    <w:qFormat/>
    <w:rsid w:val="00C62A8E"/>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C62A8E"/>
    <w:pPr>
      <w:spacing w:before="120" w:after="0"/>
    </w:pPr>
    <w:rPr>
      <w:b/>
      <w:bCs/>
      <w:i/>
      <w:iCs/>
    </w:rPr>
  </w:style>
  <w:style w:type="paragraph" w:styleId="TOC2">
    <w:name w:val="toc 2"/>
    <w:basedOn w:val="Normal"/>
    <w:next w:val="Normal"/>
    <w:autoRedefine/>
    <w:uiPriority w:val="39"/>
    <w:unhideWhenUsed/>
    <w:rsid w:val="00C62A8E"/>
    <w:pPr>
      <w:spacing w:before="120" w:after="0"/>
      <w:ind w:left="240"/>
    </w:pPr>
    <w:rPr>
      <w:b/>
      <w:bCs/>
      <w:sz w:val="22"/>
      <w:szCs w:val="22"/>
    </w:rPr>
  </w:style>
  <w:style w:type="paragraph" w:styleId="TOC3">
    <w:name w:val="toc 3"/>
    <w:basedOn w:val="Normal"/>
    <w:next w:val="Normal"/>
    <w:autoRedefine/>
    <w:uiPriority w:val="39"/>
    <w:semiHidden/>
    <w:unhideWhenUsed/>
    <w:rsid w:val="00C62A8E"/>
    <w:pPr>
      <w:spacing w:after="0"/>
      <w:ind w:left="480"/>
    </w:pPr>
    <w:rPr>
      <w:sz w:val="20"/>
      <w:szCs w:val="20"/>
    </w:rPr>
  </w:style>
  <w:style w:type="paragraph" w:styleId="TOC4">
    <w:name w:val="toc 4"/>
    <w:basedOn w:val="Normal"/>
    <w:next w:val="Normal"/>
    <w:autoRedefine/>
    <w:uiPriority w:val="39"/>
    <w:semiHidden/>
    <w:unhideWhenUsed/>
    <w:rsid w:val="00C62A8E"/>
    <w:pPr>
      <w:spacing w:after="0"/>
      <w:ind w:left="720"/>
    </w:pPr>
    <w:rPr>
      <w:sz w:val="20"/>
      <w:szCs w:val="20"/>
    </w:rPr>
  </w:style>
  <w:style w:type="paragraph" w:styleId="TOC5">
    <w:name w:val="toc 5"/>
    <w:basedOn w:val="Normal"/>
    <w:next w:val="Normal"/>
    <w:autoRedefine/>
    <w:uiPriority w:val="39"/>
    <w:semiHidden/>
    <w:unhideWhenUsed/>
    <w:rsid w:val="00C62A8E"/>
    <w:pPr>
      <w:spacing w:after="0"/>
      <w:ind w:left="960"/>
    </w:pPr>
    <w:rPr>
      <w:sz w:val="20"/>
      <w:szCs w:val="20"/>
    </w:rPr>
  </w:style>
  <w:style w:type="paragraph" w:styleId="TOC6">
    <w:name w:val="toc 6"/>
    <w:basedOn w:val="Normal"/>
    <w:next w:val="Normal"/>
    <w:autoRedefine/>
    <w:uiPriority w:val="39"/>
    <w:semiHidden/>
    <w:unhideWhenUsed/>
    <w:rsid w:val="00C62A8E"/>
    <w:pPr>
      <w:spacing w:after="0"/>
      <w:ind w:left="1200"/>
    </w:pPr>
    <w:rPr>
      <w:sz w:val="20"/>
      <w:szCs w:val="20"/>
    </w:rPr>
  </w:style>
  <w:style w:type="paragraph" w:styleId="TOC7">
    <w:name w:val="toc 7"/>
    <w:basedOn w:val="Normal"/>
    <w:next w:val="Normal"/>
    <w:autoRedefine/>
    <w:uiPriority w:val="39"/>
    <w:semiHidden/>
    <w:unhideWhenUsed/>
    <w:rsid w:val="00C62A8E"/>
    <w:pPr>
      <w:spacing w:after="0"/>
      <w:ind w:left="1440"/>
    </w:pPr>
    <w:rPr>
      <w:sz w:val="20"/>
      <w:szCs w:val="20"/>
    </w:rPr>
  </w:style>
  <w:style w:type="paragraph" w:styleId="TOC8">
    <w:name w:val="toc 8"/>
    <w:basedOn w:val="Normal"/>
    <w:next w:val="Normal"/>
    <w:autoRedefine/>
    <w:uiPriority w:val="39"/>
    <w:semiHidden/>
    <w:unhideWhenUsed/>
    <w:rsid w:val="00C62A8E"/>
    <w:pPr>
      <w:spacing w:after="0"/>
      <w:ind w:left="1680"/>
    </w:pPr>
    <w:rPr>
      <w:sz w:val="20"/>
      <w:szCs w:val="20"/>
    </w:rPr>
  </w:style>
  <w:style w:type="paragraph" w:styleId="TOC9">
    <w:name w:val="toc 9"/>
    <w:basedOn w:val="Normal"/>
    <w:next w:val="Normal"/>
    <w:autoRedefine/>
    <w:uiPriority w:val="39"/>
    <w:semiHidden/>
    <w:unhideWhenUsed/>
    <w:rsid w:val="00C62A8E"/>
    <w:pPr>
      <w:spacing w:after="0"/>
      <w:ind w:left="1920"/>
    </w:pPr>
    <w:rPr>
      <w:sz w:val="20"/>
      <w:szCs w:val="20"/>
    </w:rPr>
  </w:style>
  <w:style w:type="paragraph" w:styleId="FootnoteText">
    <w:name w:val="footnote text"/>
    <w:basedOn w:val="Normal"/>
    <w:link w:val="FootnoteTextChar"/>
    <w:uiPriority w:val="99"/>
    <w:unhideWhenUsed/>
    <w:rsid w:val="003F44EF"/>
    <w:pPr>
      <w:spacing w:after="0" w:line="240" w:lineRule="auto"/>
    </w:pPr>
    <w:rPr>
      <w:sz w:val="20"/>
      <w:szCs w:val="20"/>
    </w:rPr>
  </w:style>
  <w:style w:type="character" w:customStyle="1" w:styleId="FootnoteTextChar">
    <w:name w:val="Footnote Text Char"/>
    <w:basedOn w:val="DefaultParagraphFont"/>
    <w:link w:val="FootnoteText"/>
    <w:uiPriority w:val="99"/>
    <w:rsid w:val="003F44EF"/>
    <w:rPr>
      <w:sz w:val="20"/>
      <w:szCs w:val="20"/>
    </w:rPr>
  </w:style>
  <w:style w:type="character" w:styleId="FootnoteReference">
    <w:name w:val="footnote reference"/>
    <w:basedOn w:val="DefaultParagraphFont"/>
    <w:uiPriority w:val="99"/>
    <w:semiHidden/>
    <w:unhideWhenUsed/>
    <w:rsid w:val="003F44EF"/>
    <w:rPr>
      <w:vertAlign w:val="superscript"/>
    </w:rPr>
  </w:style>
  <w:style w:type="paragraph" w:styleId="Header">
    <w:name w:val="header"/>
    <w:basedOn w:val="Normal"/>
    <w:link w:val="HeaderChar"/>
    <w:uiPriority w:val="99"/>
    <w:unhideWhenUsed/>
    <w:rsid w:val="00642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7F8"/>
  </w:style>
  <w:style w:type="paragraph" w:styleId="Footer">
    <w:name w:val="footer"/>
    <w:basedOn w:val="Normal"/>
    <w:link w:val="FooterChar"/>
    <w:uiPriority w:val="99"/>
    <w:unhideWhenUsed/>
    <w:rsid w:val="00642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7F8"/>
  </w:style>
  <w:style w:type="table" w:styleId="TableGrid">
    <w:name w:val="Table Grid"/>
    <w:basedOn w:val="TableNormal"/>
    <w:uiPriority w:val="39"/>
    <w:rsid w:val="00F42DBF"/>
    <w:pPr>
      <w:spacing w:after="0" w:line="240" w:lineRule="auto"/>
    </w:pPr>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9322">
      <w:bodyDiv w:val="1"/>
      <w:marLeft w:val="0"/>
      <w:marRight w:val="0"/>
      <w:marTop w:val="0"/>
      <w:marBottom w:val="0"/>
      <w:divBdr>
        <w:top w:val="none" w:sz="0" w:space="0" w:color="auto"/>
        <w:left w:val="none" w:sz="0" w:space="0" w:color="auto"/>
        <w:bottom w:val="none" w:sz="0" w:space="0" w:color="auto"/>
        <w:right w:val="none" w:sz="0" w:space="0" w:color="auto"/>
      </w:divBdr>
    </w:div>
    <w:div w:id="169176818">
      <w:bodyDiv w:val="1"/>
      <w:marLeft w:val="0"/>
      <w:marRight w:val="0"/>
      <w:marTop w:val="0"/>
      <w:marBottom w:val="0"/>
      <w:divBdr>
        <w:top w:val="none" w:sz="0" w:space="0" w:color="auto"/>
        <w:left w:val="none" w:sz="0" w:space="0" w:color="auto"/>
        <w:bottom w:val="none" w:sz="0" w:space="0" w:color="auto"/>
        <w:right w:val="none" w:sz="0" w:space="0" w:color="auto"/>
      </w:divBdr>
      <w:divsChild>
        <w:div w:id="716317925">
          <w:marLeft w:val="0"/>
          <w:marRight w:val="0"/>
          <w:marTop w:val="0"/>
          <w:marBottom w:val="0"/>
          <w:divBdr>
            <w:top w:val="none" w:sz="0" w:space="0" w:color="auto"/>
            <w:left w:val="none" w:sz="0" w:space="0" w:color="auto"/>
            <w:bottom w:val="none" w:sz="0" w:space="0" w:color="auto"/>
            <w:right w:val="none" w:sz="0" w:space="0" w:color="auto"/>
          </w:divBdr>
          <w:divsChild>
            <w:div w:id="877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474">
      <w:bodyDiv w:val="1"/>
      <w:marLeft w:val="0"/>
      <w:marRight w:val="0"/>
      <w:marTop w:val="0"/>
      <w:marBottom w:val="0"/>
      <w:divBdr>
        <w:top w:val="none" w:sz="0" w:space="0" w:color="auto"/>
        <w:left w:val="none" w:sz="0" w:space="0" w:color="auto"/>
        <w:bottom w:val="none" w:sz="0" w:space="0" w:color="auto"/>
        <w:right w:val="none" w:sz="0" w:space="0" w:color="auto"/>
      </w:divBdr>
    </w:div>
    <w:div w:id="353922392">
      <w:bodyDiv w:val="1"/>
      <w:marLeft w:val="0"/>
      <w:marRight w:val="0"/>
      <w:marTop w:val="0"/>
      <w:marBottom w:val="0"/>
      <w:divBdr>
        <w:top w:val="none" w:sz="0" w:space="0" w:color="auto"/>
        <w:left w:val="none" w:sz="0" w:space="0" w:color="auto"/>
        <w:bottom w:val="none" w:sz="0" w:space="0" w:color="auto"/>
        <w:right w:val="none" w:sz="0" w:space="0" w:color="auto"/>
      </w:divBdr>
    </w:div>
    <w:div w:id="516039696">
      <w:bodyDiv w:val="1"/>
      <w:marLeft w:val="0"/>
      <w:marRight w:val="0"/>
      <w:marTop w:val="0"/>
      <w:marBottom w:val="0"/>
      <w:divBdr>
        <w:top w:val="none" w:sz="0" w:space="0" w:color="auto"/>
        <w:left w:val="none" w:sz="0" w:space="0" w:color="auto"/>
        <w:bottom w:val="none" w:sz="0" w:space="0" w:color="auto"/>
        <w:right w:val="none" w:sz="0" w:space="0" w:color="auto"/>
      </w:divBdr>
    </w:div>
    <w:div w:id="686372076">
      <w:bodyDiv w:val="1"/>
      <w:marLeft w:val="0"/>
      <w:marRight w:val="0"/>
      <w:marTop w:val="0"/>
      <w:marBottom w:val="0"/>
      <w:divBdr>
        <w:top w:val="none" w:sz="0" w:space="0" w:color="auto"/>
        <w:left w:val="none" w:sz="0" w:space="0" w:color="auto"/>
        <w:bottom w:val="none" w:sz="0" w:space="0" w:color="auto"/>
        <w:right w:val="none" w:sz="0" w:space="0" w:color="auto"/>
      </w:divBdr>
    </w:div>
    <w:div w:id="711154849">
      <w:bodyDiv w:val="1"/>
      <w:marLeft w:val="0"/>
      <w:marRight w:val="0"/>
      <w:marTop w:val="0"/>
      <w:marBottom w:val="0"/>
      <w:divBdr>
        <w:top w:val="none" w:sz="0" w:space="0" w:color="auto"/>
        <w:left w:val="none" w:sz="0" w:space="0" w:color="auto"/>
        <w:bottom w:val="none" w:sz="0" w:space="0" w:color="auto"/>
        <w:right w:val="none" w:sz="0" w:space="0" w:color="auto"/>
      </w:divBdr>
    </w:div>
    <w:div w:id="794058920">
      <w:bodyDiv w:val="1"/>
      <w:marLeft w:val="0"/>
      <w:marRight w:val="0"/>
      <w:marTop w:val="0"/>
      <w:marBottom w:val="0"/>
      <w:divBdr>
        <w:top w:val="none" w:sz="0" w:space="0" w:color="auto"/>
        <w:left w:val="none" w:sz="0" w:space="0" w:color="auto"/>
        <w:bottom w:val="none" w:sz="0" w:space="0" w:color="auto"/>
        <w:right w:val="none" w:sz="0" w:space="0" w:color="auto"/>
      </w:divBdr>
    </w:div>
    <w:div w:id="952008246">
      <w:bodyDiv w:val="1"/>
      <w:marLeft w:val="0"/>
      <w:marRight w:val="0"/>
      <w:marTop w:val="0"/>
      <w:marBottom w:val="0"/>
      <w:divBdr>
        <w:top w:val="none" w:sz="0" w:space="0" w:color="auto"/>
        <w:left w:val="none" w:sz="0" w:space="0" w:color="auto"/>
        <w:bottom w:val="none" w:sz="0" w:space="0" w:color="auto"/>
        <w:right w:val="none" w:sz="0" w:space="0" w:color="auto"/>
      </w:divBdr>
    </w:div>
    <w:div w:id="968780666">
      <w:bodyDiv w:val="1"/>
      <w:marLeft w:val="0"/>
      <w:marRight w:val="0"/>
      <w:marTop w:val="0"/>
      <w:marBottom w:val="0"/>
      <w:divBdr>
        <w:top w:val="none" w:sz="0" w:space="0" w:color="auto"/>
        <w:left w:val="none" w:sz="0" w:space="0" w:color="auto"/>
        <w:bottom w:val="none" w:sz="0" w:space="0" w:color="auto"/>
        <w:right w:val="none" w:sz="0" w:space="0" w:color="auto"/>
      </w:divBdr>
      <w:divsChild>
        <w:div w:id="1178887487">
          <w:marLeft w:val="0"/>
          <w:marRight w:val="0"/>
          <w:marTop w:val="0"/>
          <w:marBottom w:val="0"/>
          <w:divBdr>
            <w:top w:val="none" w:sz="0" w:space="0" w:color="auto"/>
            <w:left w:val="none" w:sz="0" w:space="0" w:color="auto"/>
            <w:bottom w:val="none" w:sz="0" w:space="0" w:color="auto"/>
            <w:right w:val="none" w:sz="0" w:space="0" w:color="auto"/>
          </w:divBdr>
        </w:div>
        <w:div w:id="1037242714">
          <w:marLeft w:val="0"/>
          <w:marRight w:val="0"/>
          <w:marTop w:val="0"/>
          <w:marBottom w:val="0"/>
          <w:divBdr>
            <w:top w:val="none" w:sz="0" w:space="0" w:color="auto"/>
            <w:left w:val="none" w:sz="0" w:space="0" w:color="auto"/>
            <w:bottom w:val="none" w:sz="0" w:space="0" w:color="auto"/>
            <w:right w:val="none" w:sz="0" w:space="0" w:color="auto"/>
          </w:divBdr>
        </w:div>
      </w:divsChild>
    </w:div>
    <w:div w:id="1130980280">
      <w:bodyDiv w:val="1"/>
      <w:marLeft w:val="0"/>
      <w:marRight w:val="0"/>
      <w:marTop w:val="0"/>
      <w:marBottom w:val="0"/>
      <w:divBdr>
        <w:top w:val="none" w:sz="0" w:space="0" w:color="auto"/>
        <w:left w:val="none" w:sz="0" w:space="0" w:color="auto"/>
        <w:bottom w:val="none" w:sz="0" w:space="0" w:color="auto"/>
        <w:right w:val="none" w:sz="0" w:space="0" w:color="auto"/>
      </w:divBdr>
    </w:div>
    <w:div w:id="1233614413">
      <w:bodyDiv w:val="1"/>
      <w:marLeft w:val="0"/>
      <w:marRight w:val="0"/>
      <w:marTop w:val="0"/>
      <w:marBottom w:val="0"/>
      <w:divBdr>
        <w:top w:val="none" w:sz="0" w:space="0" w:color="auto"/>
        <w:left w:val="none" w:sz="0" w:space="0" w:color="auto"/>
        <w:bottom w:val="none" w:sz="0" w:space="0" w:color="auto"/>
        <w:right w:val="none" w:sz="0" w:space="0" w:color="auto"/>
      </w:divBdr>
    </w:div>
    <w:div w:id="1433865117">
      <w:bodyDiv w:val="1"/>
      <w:marLeft w:val="0"/>
      <w:marRight w:val="0"/>
      <w:marTop w:val="0"/>
      <w:marBottom w:val="0"/>
      <w:divBdr>
        <w:top w:val="none" w:sz="0" w:space="0" w:color="auto"/>
        <w:left w:val="none" w:sz="0" w:space="0" w:color="auto"/>
        <w:bottom w:val="none" w:sz="0" w:space="0" w:color="auto"/>
        <w:right w:val="none" w:sz="0" w:space="0" w:color="auto"/>
      </w:divBdr>
      <w:divsChild>
        <w:div w:id="1448506283">
          <w:marLeft w:val="0"/>
          <w:marRight w:val="0"/>
          <w:marTop w:val="0"/>
          <w:marBottom w:val="0"/>
          <w:divBdr>
            <w:top w:val="none" w:sz="0" w:space="0" w:color="auto"/>
            <w:left w:val="none" w:sz="0" w:space="0" w:color="auto"/>
            <w:bottom w:val="none" w:sz="0" w:space="0" w:color="auto"/>
            <w:right w:val="none" w:sz="0" w:space="0" w:color="auto"/>
          </w:divBdr>
        </w:div>
        <w:div w:id="567880302">
          <w:marLeft w:val="0"/>
          <w:marRight w:val="0"/>
          <w:marTop w:val="0"/>
          <w:marBottom w:val="0"/>
          <w:divBdr>
            <w:top w:val="none" w:sz="0" w:space="0" w:color="auto"/>
            <w:left w:val="none" w:sz="0" w:space="0" w:color="auto"/>
            <w:bottom w:val="none" w:sz="0" w:space="0" w:color="auto"/>
            <w:right w:val="none" w:sz="0" w:space="0" w:color="auto"/>
          </w:divBdr>
        </w:div>
      </w:divsChild>
    </w:div>
    <w:div w:id="1485390061">
      <w:bodyDiv w:val="1"/>
      <w:marLeft w:val="0"/>
      <w:marRight w:val="0"/>
      <w:marTop w:val="0"/>
      <w:marBottom w:val="0"/>
      <w:divBdr>
        <w:top w:val="none" w:sz="0" w:space="0" w:color="auto"/>
        <w:left w:val="none" w:sz="0" w:space="0" w:color="auto"/>
        <w:bottom w:val="none" w:sz="0" w:space="0" w:color="auto"/>
        <w:right w:val="none" w:sz="0" w:space="0" w:color="auto"/>
      </w:divBdr>
    </w:div>
    <w:div w:id="1524056829">
      <w:bodyDiv w:val="1"/>
      <w:marLeft w:val="0"/>
      <w:marRight w:val="0"/>
      <w:marTop w:val="0"/>
      <w:marBottom w:val="0"/>
      <w:divBdr>
        <w:top w:val="none" w:sz="0" w:space="0" w:color="auto"/>
        <w:left w:val="none" w:sz="0" w:space="0" w:color="auto"/>
        <w:bottom w:val="none" w:sz="0" w:space="0" w:color="auto"/>
        <w:right w:val="none" w:sz="0" w:space="0" w:color="auto"/>
      </w:divBdr>
    </w:div>
    <w:div w:id="1745226890">
      <w:bodyDiv w:val="1"/>
      <w:marLeft w:val="0"/>
      <w:marRight w:val="0"/>
      <w:marTop w:val="0"/>
      <w:marBottom w:val="0"/>
      <w:divBdr>
        <w:top w:val="none" w:sz="0" w:space="0" w:color="auto"/>
        <w:left w:val="none" w:sz="0" w:space="0" w:color="auto"/>
        <w:bottom w:val="none" w:sz="0" w:space="0" w:color="auto"/>
        <w:right w:val="none" w:sz="0" w:space="0" w:color="auto"/>
      </w:divBdr>
    </w:div>
    <w:div w:id="1757628368">
      <w:bodyDiv w:val="1"/>
      <w:marLeft w:val="0"/>
      <w:marRight w:val="0"/>
      <w:marTop w:val="0"/>
      <w:marBottom w:val="0"/>
      <w:divBdr>
        <w:top w:val="none" w:sz="0" w:space="0" w:color="auto"/>
        <w:left w:val="none" w:sz="0" w:space="0" w:color="auto"/>
        <w:bottom w:val="none" w:sz="0" w:space="0" w:color="auto"/>
        <w:right w:val="none" w:sz="0" w:space="0" w:color="auto"/>
      </w:divBdr>
    </w:div>
    <w:div w:id="1831822561">
      <w:bodyDiv w:val="1"/>
      <w:marLeft w:val="0"/>
      <w:marRight w:val="0"/>
      <w:marTop w:val="0"/>
      <w:marBottom w:val="0"/>
      <w:divBdr>
        <w:top w:val="none" w:sz="0" w:space="0" w:color="auto"/>
        <w:left w:val="none" w:sz="0" w:space="0" w:color="auto"/>
        <w:bottom w:val="none" w:sz="0" w:space="0" w:color="auto"/>
        <w:right w:val="none" w:sz="0" w:space="0" w:color="auto"/>
      </w:divBdr>
    </w:div>
    <w:div w:id="21297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hamcentre.biicl.org/comments/126/the-kings-speech-and-the-rule-of-la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justicegap.com/renting-prison-space-overseas-an-accountability-gap-waiting-to-hap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2FF14B-1998-5749-BC29-93C81429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Lin (Student)</dc:creator>
  <cp:keywords/>
  <dc:description/>
  <cp:lastModifiedBy>Jiayi Lin (Student)</cp:lastModifiedBy>
  <cp:revision>4</cp:revision>
  <cp:lastPrinted>2024-11-25T20:58:00Z</cp:lastPrinted>
  <dcterms:created xsi:type="dcterms:W3CDTF">2024-11-27T21:07:00Z</dcterms:created>
  <dcterms:modified xsi:type="dcterms:W3CDTF">2025-01-07T17:26:00Z</dcterms:modified>
</cp:coreProperties>
</file>