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0DE8A" w14:textId="77BE26BA" w:rsidR="00A84A3C" w:rsidRPr="00761CEC" w:rsidRDefault="00C37197" w:rsidP="00A071F5">
      <w:pPr>
        <w:pStyle w:val="Heading1"/>
        <w:ind w:left="57" w:right="57"/>
        <w:rPr>
          <w:highlight w:val="yellow"/>
        </w:rPr>
      </w:pPr>
      <w:r w:rsidRPr="00761CEC">
        <w:t xml:space="preserve">Day 1 </w:t>
      </w:r>
      <w:r w:rsidR="00FF2638" w:rsidRPr="00163AFA">
        <w:t>MORNING</w:t>
      </w:r>
      <w:r w:rsidR="00FF2638">
        <w:t xml:space="preserve">: </w:t>
      </w:r>
      <w:r w:rsidRPr="00761CEC">
        <w:t>Workshop Welcome &amp; Monitoring Needs - Panel Q &amp; A</w:t>
      </w:r>
    </w:p>
    <w:tbl>
      <w:tblPr>
        <w:tblStyle w:val="a1"/>
        <w:tblW w:w="14591" w:type="dxa"/>
        <w:tblBorders>
          <w:top w:val="nil"/>
          <w:left w:val="nil"/>
          <w:bottom w:val="nil"/>
          <w:right w:val="nil"/>
          <w:insideH w:val="nil"/>
          <w:insideV w:val="nil"/>
        </w:tblBorders>
        <w:tblLayout w:type="fixed"/>
        <w:tblLook w:val="0600" w:firstRow="0" w:lastRow="0" w:firstColumn="0" w:lastColumn="0" w:noHBand="1" w:noVBand="1"/>
      </w:tblPr>
      <w:tblGrid>
        <w:gridCol w:w="1408"/>
        <w:gridCol w:w="1922"/>
        <w:gridCol w:w="11261"/>
      </w:tblGrid>
      <w:tr w:rsidR="00A84A3C" w:rsidRPr="00761CEC" w14:paraId="4489ACC8" w14:textId="77777777" w:rsidTr="002D6853">
        <w:trPr>
          <w:trHeight w:val="60"/>
          <w:tblHeader/>
        </w:trPr>
        <w:tc>
          <w:tcPr>
            <w:tcW w:w="1408" w:type="dxa"/>
            <w:tcBorders>
              <w:top w:val="single" w:sz="8" w:space="0" w:color="000000"/>
              <w:left w:val="single" w:sz="8" w:space="0" w:color="000000"/>
              <w:bottom w:val="single" w:sz="8" w:space="0" w:color="000000"/>
              <w:right w:val="single" w:sz="8" w:space="0" w:color="000000"/>
            </w:tcBorders>
            <w:shd w:val="clear" w:color="auto" w:fill="CAEDFB"/>
            <w:tcMar>
              <w:top w:w="0" w:type="dxa"/>
              <w:left w:w="28" w:type="dxa"/>
              <w:bottom w:w="0" w:type="dxa"/>
              <w:right w:w="28" w:type="dxa"/>
            </w:tcMar>
          </w:tcPr>
          <w:p w14:paraId="40A646D9" w14:textId="69C716F5" w:rsidR="00A84A3C" w:rsidRPr="00761CEC" w:rsidRDefault="00761CEC" w:rsidP="002D6853">
            <w:pPr>
              <w:spacing w:before="60" w:after="60"/>
              <w:ind w:left="57" w:right="57"/>
              <w:rPr>
                <w:b/>
              </w:rPr>
            </w:pPr>
            <w:r w:rsidRPr="00761CEC">
              <w:rPr>
                <w:b/>
              </w:rPr>
              <w:t>Asked To</w:t>
            </w:r>
          </w:p>
        </w:tc>
        <w:tc>
          <w:tcPr>
            <w:tcW w:w="1922" w:type="dxa"/>
            <w:tcBorders>
              <w:top w:val="single" w:sz="8" w:space="0" w:color="000000"/>
              <w:left w:val="nil"/>
              <w:bottom w:val="single" w:sz="8" w:space="0" w:color="000000"/>
              <w:right w:val="single" w:sz="8" w:space="0" w:color="000000"/>
            </w:tcBorders>
            <w:shd w:val="clear" w:color="auto" w:fill="CAEDFB"/>
            <w:tcMar>
              <w:top w:w="0" w:type="dxa"/>
              <w:left w:w="28" w:type="dxa"/>
              <w:bottom w:w="0" w:type="dxa"/>
              <w:right w:w="28" w:type="dxa"/>
            </w:tcMar>
          </w:tcPr>
          <w:p w14:paraId="45F8D031" w14:textId="77777777" w:rsidR="00A84A3C" w:rsidRPr="00761CEC" w:rsidRDefault="00000000" w:rsidP="002D6853">
            <w:pPr>
              <w:spacing w:before="60" w:after="60"/>
              <w:ind w:left="57" w:right="57"/>
              <w:rPr>
                <w:b/>
              </w:rPr>
            </w:pPr>
            <w:r w:rsidRPr="00761CEC">
              <w:rPr>
                <w:b/>
              </w:rPr>
              <w:t>Asked By</w:t>
            </w:r>
          </w:p>
        </w:tc>
        <w:tc>
          <w:tcPr>
            <w:tcW w:w="11261" w:type="dxa"/>
            <w:tcBorders>
              <w:top w:val="single" w:sz="8" w:space="0" w:color="000000"/>
              <w:left w:val="single" w:sz="8" w:space="0" w:color="000000"/>
              <w:bottom w:val="single" w:sz="8" w:space="0" w:color="000000"/>
              <w:right w:val="single" w:sz="8" w:space="0" w:color="000000"/>
            </w:tcBorders>
            <w:shd w:val="clear" w:color="auto" w:fill="CAEDFB"/>
            <w:tcMar>
              <w:top w:w="0" w:type="dxa"/>
              <w:left w:w="28" w:type="dxa"/>
              <w:bottom w:w="0" w:type="dxa"/>
              <w:right w:w="28" w:type="dxa"/>
            </w:tcMar>
          </w:tcPr>
          <w:p w14:paraId="7557CE13" w14:textId="0B1B26B7" w:rsidR="00A84A3C" w:rsidRPr="00761CEC" w:rsidRDefault="00163AFA" w:rsidP="002D6853">
            <w:pPr>
              <w:spacing w:before="60" w:after="60"/>
              <w:ind w:left="57" w:right="57"/>
              <w:rPr>
                <w:b/>
              </w:rPr>
            </w:pPr>
            <w:r w:rsidRPr="00163AFA">
              <w:rPr>
                <w:b/>
              </w:rPr>
              <w:t>Q &amp; A</w:t>
            </w:r>
          </w:p>
        </w:tc>
      </w:tr>
      <w:tr w:rsidR="00A84A3C" w:rsidRPr="00761CEC" w14:paraId="57AD2D3D" w14:textId="77777777" w:rsidTr="00FF2638">
        <w:trPr>
          <w:trHeight w:val="300"/>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70B6547D" w14:textId="77777777" w:rsidR="00A84A3C" w:rsidRPr="00761CEC" w:rsidRDefault="00000000" w:rsidP="00A071F5">
            <w:pPr>
              <w:spacing w:before="120" w:after="120"/>
              <w:ind w:left="57" w:right="57"/>
              <w:rPr>
                <w:highlight w:val="white"/>
              </w:rPr>
            </w:pPr>
            <w:r w:rsidRPr="00761CEC">
              <w:t>Dan Farr</w:t>
            </w:r>
          </w:p>
        </w:tc>
        <w:tc>
          <w:tcPr>
            <w:tcW w:w="1922" w:type="dxa"/>
            <w:tcBorders>
              <w:top w:val="nil"/>
              <w:left w:val="nil"/>
              <w:bottom w:val="single" w:sz="8" w:space="0" w:color="000000"/>
              <w:right w:val="single" w:sz="8" w:space="0" w:color="000000"/>
            </w:tcBorders>
            <w:tcMar>
              <w:top w:w="0" w:type="dxa"/>
              <w:left w:w="28" w:type="dxa"/>
              <w:bottom w:w="0" w:type="dxa"/>
              <w:right w:w="28" w:type="dxa"/>
            </w:tcMar>
          </w:tcPr>
          <w:p w14:paraId="1DD42577" w14:textId="77777777" w:rsidR="00A84A3C" w:rsidRPr="00761CEC" w:rsidRDefault="00000000" w:rsidP="00A071F5">
            <w:pPr>
              <w:spacing w:before="120" w:after="120"/>
              <w:ind w:left="57" w:right="57"/>
            </w:pPr>
            <w:r w:rsidRPr="00761CEC">
              <w:t>Eric Neilson</w:t>
            </w:r>
          </w:p>
        </w:tc>
        <w:tc>
          <w:tcPr>
            <w:tcW w:w="11261"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6EAE08FD" w14:textId="77777777" w:rsidR="00A84A3C" w:rsidRPr="00761CEC" w:rsidRDefault="00000000" w:rsidP="00A071F5">
            <w:pPr>
              <w:shd w:val="clear" w:color="auto" w:fill="FFFFFF"/>
              <w:spacing w:before="120" w:after="120"/>
              <w:ind w:left="57" w:right="57"/>
              <w:rPr>
                <w:color w:val="131619"/>
                <w:shd w:val="clear" w:color="auto" w:fill="D9D9D9"/>
              </w:rPr>
            </w:pPr>
            <w:r w:rsidRPr="00761CEC">
              <w:rPr>
                <w:color w:val="131619"/>
                <w:shd w:val="clear" w:color="auto" w:fill="D9D9D9"/>
              </w:rPr>
              <w:t>Did abandoning the snow tracking by ABMI also mean that the snow tracking data do not cross walk/integrate with the camera data such that a longer dataset including both cannot be assembled?</w:t>
            </w:r>
          </w:p>
          <w:p w14:paraId="64EF9ED5" w14:textId="4B55BD24" w:rsidR="00A84A3C" w:rsidRPr="00761CEC" w:rsidRDefault="00000000" w:rsidP="00A071F5">
            <w:pPr>
              <w:shd w:val="clear" w:color="auto" w:fill="FFFFFF"/>
              <w:spacing w:before="120" w:after="120"/>
              <w:ind w:left="57" w:right="57"/>
            </w:pPr>
            <w:r w:rsidRPr="00761CEC">
              <w:rPr>
                <w:b/>
                <w:color w:val="131619"/>
              </w:rPr>
              <w:t>Dan’s reply:</w:t>
            </w:r>
            <w:r w:rsidRPr="00761CEC">
              <w:rPr>
                <w:color w:val="131619"/>
              </w:rPr>
              <w:t xml:space="preserve"> Yup - there's essentially 2 datasets. </w:t>
            </w:r>
            <w:r w:rsidRPr="00761CEC">
              <w:rPr>
                <w:rFonts w:eastAsia="Roboto"/>
                <w:color w:val="131619"/>
              </w:rPr>
              <w:t xml:space="preserve">This paper describes the ABMI's snow tracking protocol: </w:t>
            </w:r>
            <w:hyperlink r:id="rId7">
              <w:r w:rsidRPr="00761CEC">
                <w:rPr>
                  <w:rFonts w:eastAsia="Roboto"/>
                </w:rPr>
                <w:t>https://cdnsciencepub.com/doi/10.1139/Z08-099</w:t>
              </w:r>
            </w:hyperlink>
            <w:r w:rsidRPr="00761CEC">
              <w:rPr>
                <w:rFonts w:eastAsia="Roboto"/>
              </w:rPr>
              <w:t xml:space="preserve">. Other snowtracking papers: </w:t>
            </w:r>
            <w:hyperlink r:id="rId8">
              <w:r w:rsidRPr="00761CEC">
                <w:rPr>
                  <w:rFonts w:eastAsia="Roboto"/>
                </w:rPr>
                <w:t>https://www.sciencedirect.com/science/article/abs/pii/S0006320707000912?via%3Dihub</w:t>
              </w:r>
            </w:hyperlink>
            <w:r w:rsidRPr="00761CEC">
              <w:t xml:space="preserve">, </w:t>
            </w:r>
            <w:hyperlink r:id="rId9">
              <w:r w:rsidRPr="00761CEC">
                <w:rPr>
                  <w:rFonts w:eastAsia="Roboto"/>
                </w:rPr>
                <w:t>https://abmi.ca/home/publications/51-100/66</w:t>
              </w:r>
            </w:hyperlink>
            <w:r w:rsidRPr="00761CEC">
              <w:t>.</w:t>
            </w:r>
          </w:p>
        </w:tc>
      </w:tr>
      <w:tr w:rsidR="00A84A3C" w:rsidRPr="00761CEC" w14:paraId="6C6B4EA5" w14:textId="77777777" w:rsidTr="00FF2638">
        <w:trPr>
          <w:trHeight w:val="300"/>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29AD7187" w14:textId="77777777" w:rsidR="00A84A3C" w:rsidRPr="00761CEC" w:rsidRDefault="00000000" w:rsidP="00A071F5">
            <w:pPr>
              <w:spacing w:before="120" w:after="120"/>
              <w:ind w:left="57" w:right="57"/>
              <w:rPr>
                <w:highlight w:val="white"/>
              </w:rPr>
            </w:pPr>
            <w:r w:rsidRPr="00761CEC">
              <w:rPr>
                <w:highlight w:val="white"/>
              </w:rPr>
              <w:t>Mark Boyce</w:t>
            </w:r>
          </w:p>
        </w:tc>
        <w:tc>
          <w:tcPr>
            <w:tcW w:w="1922" w:type="dxa"/>
            <w:tcBorders>
              <w:top w:val="nil"/>
              <w:left w:val="nil"/>
              <w:bottom w:val="single" w:sz="8" w:space="0" w:color="000000"/>
              <w:right w:val="single" w:sz="8" w:space="0" w:color="000000"/>
            </w:tcBorders>
            <w:tcMar>
              <w:top w:w="0" w:type="dxa"/>
              <w:left w:w="28" w:type="dxa"/>
              <w:bottom w:w="0" w:type="dxa"/>
              <w:right w:w="28" w:type="dxa"/>
            </w:tcMar>
          </w:tcPr>
          <w:p w14:paraId="7DE8FEE3" w14:textId="77777777" w:rsidR="00A84A3C" w:rsidRPr="00761CEC" w:rsidRDefault="00000000" w:rsidP="00A071F5">
            <w:pPr>
              <w:spacing w:before="120" w:after="120"/>
              <w:ind w:left="57" w:right="57"/>
            </w:pPr>
            <w:r w:rsidRPr="00761CEC">
              <w:t>Samantha Widmeyer (she/they) - BC Gov - Skeena</w:t>
            </w:r>
          </w:p>
        </w:tc>
        <w:tc>
          <w:tcPr>
            <w:tcW w:w="11261"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6E87492B" w14:textId="77777777" w:rsidR="00A84A3C" w:rsidRPr="00761CEC" w:rsidRDefault="00000000" w:rsidP="00A071F5">
            <w:pPr>
              <w:spacing w:before="120" w:after="120"/>
              <w:ind w:left="57" w:right="57"/>
              <w:rPr>
                <w:color w:val="131619"/>
                <w:shd w:val="clear" w:color="auto" w:fill="B7B7B7"/>
              </w:rPr>
            </w:pPr>
            <w:r w:rsidRPr="00761CEC">
              <w:rPr>
                <w:color w:val="131619"/>
                <w:shd w:val="clear" w:color="auto" w:fill="B7B7B7"/>
              </w:rPr>
              <w:t>Apps are a great idea but we keep running into the challenge of low hunter participation - do you have any recommendations on how to address this?</w:t>
            </w:r>
          </w:p>
          <w:p w14:paraId="570ED674" w14:textId="77777777" w:rsidR="00A84A3C" w:rsidRPr="00761CEC" w:rsidRDefault="00000000" w:rsidP="00A071F5">
            <w:pPr>
              <w:spacing w:before="120" w:after="120"/>
              <w:ind w:left="57" w:right="57"/>
              <w:rPr>
                <w:color w:val="131619"/>
              </w:rPr>
            </w:pPr>
            <w:r w:rsidRPr="00761CEC">
              <w:rPr>
                <w:b/>
                <w:color w:val="131619"/>
              </w:rPr>
              <w:t>Mark’s reply:</w:t>
            </w:r>
            <w:r w:rsidRPr="00761CEC">
              <w:rPr>
                <w:color w:val="131619"/>
              </w:rPr>
              <w:t xml:space="preserve"> it is a challenge. In AB have iHunter and iHuntlog. With the moose app, it started at 20% participation and dropped off to 10%. Could make it mandatory (e.g., must participate to get a tag next year). </w:t>
            </w:r>
          </w:p>
          <w:p w14:paraId="6F460644" w14:textId="77777777" w:rsidR="00A84A3C" w:rsidRPr="00761CEC" w:rsidRDefault="00000000" w:rsidP="00A071F5">
            <w:pPr>
              <w:spacing w:before="120" w:after="120"/>
              <w:ind w:left="57" w:right="57"/>
            </w:pPr>
            <w:r w:rsidRPr="00761CEC">
              <w:rPr>
                <w:b/>
                <w:color w:val="131619"/>
              </w:rPr>
              <w:t>Brian Joubert</w:t>
            </w:r>
            <w:r w:rsidRPr="00761CEC">
              <w:rPr>
                <w:color w:val="131619"/>
              </w:rPr>
              <w:t xml:space="preserve">: </w:t>
            </w:r>
            <w:r w:rsidRPr="00761CEC">
              <w:t xml:space="preserve"> Derek Keeping has done a ton of work on cyber tracking for occurrence, density, abundance. His work is mostly in sandy places like Botswana, but the results have been impressive. Low tech, lower cost, often super useful. E.g., </w:t>
            </w:r>
            <w:hyperlink r:id="rId10">
              <w:r w:rsidRPr="00761CEC">
                <w:rPr>
                  <w:color w:val="1155CC"/>
                  <w:u w:val="single"/>
                </w:rPr>
                <w:t>https://www.sciencedirect.com/science/article/pii/S0006320717317780?via%3Dihub</w:t>
              </w:r>
            </w:hyperlink>
            <w:r w:rsidRPr="00761CEC">
              <w:t xml:space="preserve"> </w:t>
            </w:r>
          </w:p>
        </w:tc>
      </w:tr>
      <w:tr w:rsidR="00A84A3C" w:rsidRPr="00761CEC" w14:paraId="7416A43B" w14:textId="77777777" w:rsidTr="00FF2638">
        <w:trPr>
          <w:trHeight w:val="300"/>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6BB4F82A" w14:textId="77777777" w:rsidR="00A84A3C" w:rsidRPr="00761CEC" w:rsidRDefault="00000000" w:rsidP="00A071F5">
            <w:pPr>
              <w:spacing w:before="120" w:after="120"/>
              <w:ind w:left="57" w:right="57"/>
              <w:rPr>
                <w:highlight w:val="white"/>
              </w:rPr>
            </w:pPr>
            <w:r w:rsidRPr="00761CEC">
              <w:rPr>
                <w:highlight w:val="white"/>
              </w:rPr>
              <w:t>Mark Boyce</w:t>
            </w:r>
          </w:p>
        </w:tc>
        <w:tc>
          <w:tcPr>
            <w:tcW w:w="1922" w:type="dxa"/>
            <w:tcBorders>
              <w:top w:val="nil"/>
              <w:left w:val="nil"/>
              <w:bottom w:val="single" w:sz="8" w:space="0" w:color="000000"/>
              <w:right w:val="single" w:sz="8" w:space="0" w:color="000000"/>
            </w:tcBorders>
            <w:tcMar>
              <w:top w:w="0" w:type="dxa"/>
              <w:left w:w="28" w:type="dxa"/>
              <w:bottom w:w="0" w:type="dxa"/>
              <w:right w:w="28" w:type="dxa"/>
            </w:tcMar>
          </w:tcPr>
          <w:p w14:paraId="18A15693" w14:textId="77777777" w:rsidR="00A84A3C" w:rsidRPr="00761CEC" w:rsidRDefault="00000000" w:rsidP="00A071F5">
            <w:pPr>
              <w:spacing w:before="120" w:after="120"/>
              <w:ind w:left="57" w:right="57"/>
            </w:pPr>
            <w:r w:rsidRPr="00761CEC">
              <w:t>Curtis Stambaugh</w:t>
            </w:r>
          </w:p>
        </w:tc>
        <w:tc>
          <w:tcPr>
            <w:tcW w:w="11261"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3EB77D33" w14:textId="15C8B210" w:rsidR="00A84A3C" w:rsidRPr="00761CEC" w:rsidRDefault="00000000" w:rsidP="00A071F5">
            <w:pPr>
              <w:spacing w:before="120" w:after="120"/>
              <w:ind w:left="57" w:right="57"/>
              <w:rPr>
                <w:shd w:val="clear" w:color="auto" w:fill="CCCCCC"/>
              </w:rPr>
            </w:pPr>
            <w:r w:rsidRPr="00761CEC">
              <w:rPr>
                <w:shd w:val="clear" w:color="auto" w:fill="CCCCCC"/>
              </w:rPr>
              <w:t>I'd challenge your statement that 'on average WMUs get surveyed every 10 years in Alberta'. I agree there are some very large/expensive northern units with very little allocation (a few antlered tags) have not or get very little monitoring attention, but intensively managed units with multiple species concerns and multiple pressures get surveyed much more frequently. This is to your point of prioritization constraints between monitoring and management.</w:t>
            </w:r>
          </w:p>
          <w:p w14:paraId="204AE3EC" w14:textId="77777777" w:rsidR="00A84A3C" w:rsidRPr="00761CEC" w:rsidRDefault="00000000" w:rsidP="00A071F5">
            <w:pPr>
              <w:spacing w:before="120" w:after="120"/>
              <w:ind w:left="57" w:right="57"/>
            </w:pPr>
            <w:r w:rsidRPr="00761CEC">
              <w:rPr>
                <w:b/>
              </w:rPr>
              <w:t>Mark B’s reply:</w:t>
            </w:r>
            <w:r w:rsidRPr="00761CEC">
              <w:t xml:space="preserve"> as of 2012 this was the govt's target but in many units it's an overestimate and for others, as you indicated, there is a need to know that gives us more frequent monitoring. But over the 99 WMUs that have a moose season, I suspect that once every 10 yrs is not far off.</w:t>
            </w:r>
          </w:p>
        </w:tc>
      </w:tr>
      <w:tr w:rsidR="00A84A3C" w:rsidRPr="00761CEC" w14:paraId="0DD32D87" w14:textId="77777777" w:rsidTr="00FF2638">
        <w:trPr>
          <w:trHeight w:val="300"/>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23A760EC" w14:textId="77777777" w:rsidR="00A84A3C" w:rsidRPr="00761CEC" w:rsidRDefault="00000000" w:rsidP="00A071F5">
            <w:pPr>
              <w:spacing w:before="120" w:after="120"/>
              <w:ind w:left="57" w:right="57"/>
              <w:rPr>
                <w:highlight w:val="white"/>
              </w:rPr>
            </w:pPr>
            <w:r w:rsidRPr="00761CEC">
              <w:rPr>
                <w:highlight w:val="white"/>
              </w:rPr>
              <w:t>GENERAL</w:t>
            </w:r>
          </w:p>
        </w:tc>
        <w:tc>
          <w:tcPr>
            <w:tcW w:w="1922" w:type="dxa"/>
            <w:tcBorders>
              <w:top w:val="nil"/>
              <w:left w:val="nil"/>
              <w:bottom w:val="single" w:sz="8" w:space="0" w:color="000000"/>
              <w:right w:val="single" w:sz="8" w:space="0" w:color="000000"/>
            </w:tcBorders>
            <w:tcMar>
              <w:top w:w="0" w:type="dxa"/>
              <w:left w:w="28" w:type="dxa"/>
              <w:bottom w:w="0" w:type="dxa"/>
              <w:right w:w="28" w:type="dxa"/>
            </w:tcMar>
          </w:tcPr>
          <w:p w14:paraId="673E1061" w14:textId="77777777" w:rsidR="00A84A3C" w:rsidRPr="00761CEC" w:rsidRDefault="00000000" w:rsidP="00A071F5">
            <w:pPr>
              <w:spacing w:before="120" w:after="120"/>
              <w:ind w:left="57" w:right="57"/>
            </w:pPr>
            <w:r w:rsidRPr="00761CEC">
              <w:t>Rebecca Viejou (fRI Research)</w:t>
            </w:r>
          </w:p>
          <w:p w14:paraId="5307407D" w14:textId="77777777" w:rsidR="00A84A3C" w:rsidRPr="00761CEC" w:rsidRDefault="00A84A3C" w:rsidP="00A071F5">
            <w:pPr>
              <w:spacing w:before="120" w:after="120"/>
              <w:ind w:left="57" w:right="57"/>
            </w:pPr>
          </w:p>
          <w:p w14:paraId="5841E0C9" w14:textId="77777777" w:rsidR="00A84A3C" w:rsidRPr="00761CEC" w:rsidRDefault="00A84A3C" w:rsidP="00A071F5">
            <w:pPr>
              <w:spacing w:before="120" w:after="120"/>
              <w:ind w:left="57" w:right="57"/>
            </w:pPr>
          </w:p>
        </w:tc>
        <w:tc>
          <w:tcPr>
            <w:tcW w:w="11261"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72597601" w14:textId="77777777" w:rsidR="00A84A3C" w:rsidRPr="00761CEC" w:rsidRDefault="00000000" w:rsidP="00A071F5">
            <w:pPr>
              <w:spacing w:before="120" w:after="120"/>
              <w:ind w:left="57" w:right="57"/>
              <w:rPr>
                <w:shd w:val="clear" w:color="auto" w:fill="EFEFEF"/>
              </w:rPr>
            </w:pPr>
            <w:r w:rsidRPr="00761CEC">
              <w:rPr>
                <w:rFonts w:eastAsia="Roboto"/>
                <w:color w:val="131619"/>
                <w:shd w:val="clear" w:color="auto" w:fill="CCCCCC"/>
              </w:rPr>
              <w:t>For populations with long term aerial data sets: how challenging is it to maintain a consistent time series of data as new monitoring methods are adopted?</w:t>
            </w:r>
            <w:r w:rsidRPr="00761CEC">
              <w:rPr>
                <w:rFonts w:eastAsia="Roboto"/>
                <w:color w:val="131619"/>
                <w:shd w:val="clear" w:color="auto" w:fill="EFEFEF"/>
              </w:rPr>
              <w:t xml:space="preserve">  </w:t>
            </w:r>
          </w:p>
          <w:p w14:paraId="6D10EF49" w14:textId="77777777" w:rsidR="00A84A3C" w:rsidRPr="00761CEC" w:rsidRDefault="00000000" w:rsidP="00A071F5">
            <w:pPr>
              <w:spacing w:before="120" w:after="120"/>
              <w:ind w:left="57" w:right="57"/>
              <w:rPr>
                <w:rFonts w:eastAsia="Roboto"/>
                <w:color w:val="131619"/>
                <w:shd w:val="clear" w:color="auto" w:fill="CCCCCC"/>
              </w:rPr>
            </w:pPr>
            <w:r w:rsidRPr="00761CEC">
              <w:rPr>
                <w:rFonts w:eastAsia="Roboto"/>
                <w:color w:val="131619"/>
                <w:shd w:val="clear" w:color="auto" w:fill="CCCCCC"/>
              </w:rPr>
              <w:t>Are some new methods better than others in that regard?</w:t>
            </w:r>
          </w:p>
          <w:p w14:paraId="3DB8A527" w14:textId="77777777" w:rsidR="00A84A3C" w:rsidRPr="00761CEC" w:rsidRDefault="00000000" w:rsidP="00A071F5">
            <w:pPr>
              <w:spacing w:before="120" w:after="120"/>
              <w:ind w:left="57" w:right="57"/>
              <w:rPr>
                <w:rFonts w:eastAsia="Roboto"/>
                <w:color w:val="131619"/>
              </w:rPr>
            </w:pPr>
            <w:r w:rsidRPr="00761CEC">
              <w:rPr>
                <w:rFonts w:eastAsia="Roboto"/>
                <w:b/>
                <w:color w:val="131619"/>
              </w:rPr>
              <w:t>Dan’s reply:</w:t>
            </w:r>
            <w:r w:rsidRPr="00761CEC">
              <w:rPr>
                <w:rFonts w:eastAsia="Roboto"/>
                <w:color w:val="131619"/>
              </w:rPr>
              <w:t xml:space="preserve"> next session includes an element of aerial surveys that may be informative. </w:t>
            </w:r>
          </w:p>
          <w:p w14:paraId="6FA496B7" w14:textId="77777777" w:rsidR="00A84A3C" w:rsidRPr="00761CEC" w:rsidRDefault="00000000" w:rsidP="00A071F5">
            <w:pPr>
              <w:spacing w:before="120" w:after="120"/>
              <w:ind w:left="57" w:right="57"/>
              <w:rPr>
                <w:rFonts w:eastAsia="Roboto"/>
                <w:color w:val="131619"/>
              </w:rPr>
            </w:pPr>
            <w:r w:rsidRPr="00761CEC">
              <w:rPr>
                <w:rFonts w:eastAsia="Roboto"/>
                <w:b/>
                <w:color w:val="131619"/>
              </w:rPr>
              <w:lastRenderedPageBreak/>
              <w:t>Mark B’s reply:</w:t>
            </w:r>
            <w:r w:rsidRPr="00761CEC">
              <w:rPr>
                <w:rFonts w:eastAsia="Roboto"/>
                <w:color w:val="131619"/>
              </w:rPr>
              <w:t xml:space="preserve"> consistency is nice but hard to acquire year after year with the same technique. But when best available science suggests we should use something else, maybe bias associated with one method over another. Best we can do. </w:t>
            </w:r>
          </w:p>
          <w:p w14:paraId="1836EA9C" w14:textId="77777777" w:rsidR="00A84A3C" w:rsidRPr="00761CEC" w:rsidRDefault="00000000" w:rsidP="00A071F5">
            <w:pPr>
              <w:spacing w:before="120" w:after="120"/>
              <w:ind w:left="57" w:right="57"/>
              <w:rPr>
                <w:rFonts w:eastAsia="Roboto"/>
                <w:color w:val="131619"/>
              </w:rPr>
            </w:pPr>
            <w:r w:rsidRPr="00761CEC">
              <w:rPr>
                <w:rFonts w:eastAsia="Roboto"/>
                <w:b/>
                <w:color w:val="131619"/>
              </w:rPr>
              <w:t>Mark E’s reply:</w:t>
            </w:r>
            <w:r w:rsidRPr="00761CEC">
              <w:rPr>
                <w:rFonts w:eastAsia="Roboto"/>
                <w:color w:val="131619"/>
              </w:rPr>
              <w:t xml:space="preserve"> having part of study design to crosswalk data and to monitor using both methods to calibrate data helps with moving forward. </w:t>
            </w:r>
          </w:p>
        </w:tc>
      </w:tr>
      <w:tr w:rsidR="00A84A3C" w:rsidRPr="00761CEC" w14:paraId="0CC752E3" w14:textId="77777777" w:rsidTr="00FF2638">
        <w:trPr>
          <w:trHeight w:val="300"/>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79865920" w14:textId="77777777" w:rsidR="00A84A3C" w:rsidRPr="00761CEC" w:rsidRDefault="00000000" w:rsidP="00A071F5">
            <w:pPr>
              <w:spacing w:before="120" w:after="120"/>
              <w:ind w:left="57" w:right="57"/>
              <w:rPr>
                <w:highlight w:val="white"/>
              </w:rPr>
            </w:pPr>
            <w:r w:rsidRPr="00761CEC">
              <w:rPr>
                <w:highlight w:val="white"/>
              </w:rPr>
              <w:lastRenderedPageBreak/>
              <w:t>GENERAL</w:t>
            </w:r>
          </w:p>
        </w:tc>
        <w:tc>
          <w:tcPr>
            <w:tcW w:w="1922" w:type="dxa"/>
            <w:tcBorders>
              <w:top w:val="nil"/>
              <w:left w:val="nil"/>
              <w:bottom w:val="single" w:sz="8" w:space="0" w:color="000000"/>
              <w:right w:val="single" w:sz="8" w:space="0" w:color="000000"/>
            </w:tcBorders>
            <w:tcMar>
              <w:top w:w="0" w:type="dxa"/>
              <w:left w:w="28" w:type="dxa"/>
              <w:bottom w:w="0" w:type="dxa"/>
              <w:right w:w="28" w:type="dxa"/>
            </w:tcMar>
          </w:tcPr>
          <w:p w14:paraId="32160C99" w14:textId="77777777" w:rsidR="00A84A3C" w:rsidRPr="00761CEC" w:rsidRDefault="00000000" w:rsidP="00A071F5">
            <w:pPr>
              <w:spacing w:before="120" w:after="120"/>
              <w:ind w:left="57" w:right="57"/>
            </w:pPr>
            <w:r w:rsidRPr="00761CEC">
              <w:t>Brett Furnas (CDFW; California Dept Fish and Wildlife)</w:t>
            </w:r>
          </w:p>
        </w:tc>
        <w:tc>
          <w:tcPr>
            <w:tcW w:w="11261"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12EE19AF" w14:textId="77777777" w:rsidR="00A84A3C" w:rsidRPr="00761CEC" w:rsidRDefault="00000000" w:rsidP="00A071F5">
            <w:pPr>
              <w:spacing w:before="120" w:after="120"/>
              <w:ind w:left="57" w:right="57"/>
              <w:rPr>
                <w:rFonts w:eastAsia="Roboto"/>
                <w:color w:val="131619"/>
                <w:shd w:val="clear" w:color="auto" w:fill="D9D9D9"/>
              </w:rPr>
            </w:pPr>
            <w:r w:rsidRPr="00761CEC">
              <w:rPr>
                <w:rFonts w:eastAsia="Roboto"/>
                <w:color w:val="131619"/>
                <w:shd w:val="clear" w:color="auto" w:fill="D9D9D9"/>
              </w:rPr>
              <w:t>Are population estimates required for regulated hunting or our indices and harvest metrics sufficient?</w:t>
            </w:r>
          </w:p>
          <w:p w14:paraId="535C08B8" w14:textId="77777777" w:rsidR="00A84A3C" w:rsidRPr="00761CEC" w:rsidRDefault="00000000" w:rsidP="00A071F5">
            <w:pPr>
              <w:spacing w:before="120" w:after="120"/>
              <w:ind w:left="57" w:right="57"/>
              <w:rPr>
                <w:rFonts w:eastAsia="Roboto"/>
                <w:color w:val="131619"/>
              </w:rPr>
            </w:pPr>
            <w:r w:rsidRPr="00761CEC">
              <w:rPr>
                <w:rFonts w:eastAsia="Roboto"/>
                <w:b/>
                <w:color w:val="131619"/>
              </w:rPr>
              <w:t xml:space="preserve">Mark B’s reply: </w:t>
            </w:r>
            <w:r w:rsidRPr="00761CEC">
              <w:rPr>
                <w:rFonts w:eastAsia="Roboto"/>
                <w:color w:val="131619"/>
              </w:rPr>
              <w:t xml:space="preserve">we would be in trouble if so. We don’t have data to support management decisions most of the time. Management will go on. Harvest data may be informative. Various information contribute to our understanding. Monitoring is an optimization process; how much data is needed is always a challenge. </w:t>
            </w:r>
          </w:p>
        </w:tc>
      </w:tr>
      <w:tr w:rsidR="00A84A3C" w:rsidRPr="00761CEC" w14:paraId="48719943" w14:textId="77777777" w:rsidTr="00FF2638">
        <w:trPr>
          <w:trHeight w:val="300"/>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55C39259" w14:textId="77777777" w:rsidR="00A84A3C" w:rsidRPr="00761CEC" w:rsidRDefault="00000000" w:rsidP="00A071F5">
            <w:pPr>
              <w:spacing w:before="120" w:after="120"/>
              <w:ind w:left="57" w:right="57"/>
              <w:rPr>
                <w:highlight w:val="white"/>
              </w:rPr>
            </w:pPr>
            <w:r w:rsidRPr="00761CEC">
              <w:rPr>
                <w:highlight w:val="white"/>
              </w:rPr>
              <w:t>GENERAL</w:t>
            </w:r>
          </w:p>
        </w:tc>
        <w:tc>
          <w:tcPr>
            <w:tcW w:w="1922" w:type="dxa"/>
            <w:tcBorders>
              <w:top w:val="nil"/>
              <w:left w:val="nil"/>
              <w:bottom w:val="single" w:sz="8" w:space="0" w:color="000000"/>
              <w:right w:val="single" w:sz="8" w:space="0" w:color="000000"/>
            </w:tcBorders>
            <w:tcMar>
              <w:top w:w="0" w:type="dxa"/>
              <w:left w:w="28" w:type="dxa"/>
              <w:bottom w:w="0" w:type="dxa"/>
              <w:right w:w="28" w:type="dxa"/>
            </w:tcMar>
          </w:tcPr>
          <w:p w14:paraId="4AD24FE6" w14:textId="77777777" w:rsidR="00A84A3C" w:rsidRPr="00761CEC" w:rsidRDefault="00000000" w:rsidP="00A071F5">
            <w:pPr>
              <w:spacing w:before="120" w:after="120"/>
              <w:ind w:left="57" w:right="57"/>
            </w:pPr>
            <w:r w:rsidRPr="00761CEC">
              <w:t>Paul Frame (Gov. AB)</w:t>
            </w:r>
          </w:p>
        </w:tc>
        <w:tc>
          <w:tcPr>
            <w:tcW w:w="11261"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01501628" w14:textId="77777777" w:rsidR="00A84A3C" w:rsidRPr="00761CEC" w:rsidRDefault="00000000" w:rsidP="00A071F5">
            <w:pPr>
              <w:spacing w:before="120" w:after="120"/>
              <w:ind w:left="57" w:right="57"/>
              <w:rPr>
                <w:rFonts w:eastAsia="Roboto"/>
                <w:color w:val="131619"/>
                <w:shd w:val="clear" w:color="auto" w:fill="CCCCCC"/>
              </w:rPr>
            </w:pPr>
            <w:r w:rsidRPr="00761CEC">
              <w:rPr>
                <w:rFonts w:eastAsia="Roboto"/>
                <w:color w:val="131619"/>
                <w:shd w:val="clear" w:color="auto" w:fill="CCCCCC"/>
              </w:rPr>
              <w:t>So in that context, does a consistent method really matter?</w:t>
            </w:r>
          </w:p>
          <w:p w14:paraId="786EA9B6" w14:textId="77777777" w:rsidR="00A84A3C" w:rsidRPr="00761CEC" w:rsidRDefault="00000000" w:rsidP="00A071F5">
            <w:pPr>
              <w:spacing w:before="120" w:after="120"/>
              <w:ind w:left="57" w:right="57"/>
              <w:rPr>
                <w:rFonts w:eastAsia="Roboto"/>
                <w:color w:val="131619"/>
                <w:shd w:val="clear" w:color="auto" w:fill="EFEFEF"/>
              </w:rPr>
            </w:pPr>
            <w:r w:rsidRPr="00761CEC">
              <w:rPr>
                <w:rFonts w:eastAsia="Roboto"/>
                <w:b/>
                <w:color w:val="131619"/>
              </w:rPr>
              <w:t xml:space="preserve">Dan’s reply: </w:t>
            </w:r>
            <w:r w:rsidRPr="00761CEC">
              <w:rPr>
                <w:rFonts w:eastAsia="Roboto"/>
                <w:color w:val="131619"/>
              </w:rPr>
              <w:t xml:space="preserve">ABMI changed methods to monitor mammal relative abundance from snow-tracking to remote cameras. ABMI decided not to calibrate. Arguments against using both methods and calibrating was that there were limited resources and calibration efforts would take away from other work (fulsome implementation, testing &amp; developing analytical techniques etc.). </w:t>
            </w:r>
            <w:r w:rsidRPr="00761CEC">
              <w:rPr>
                <w:rFonts w:eastAsia="Roboto"/>
                <w:color w:val="131619"/>
                <w:shd w:val="clear" w:color="auto" w:fill="EFEFEF"/>
              </w:rPr>
              <w:t xml:space="preserve"> </w:t>
            </w:r>
          </w:p>
        </w:tc>
      </w:tr>
    </w:tbl>
    <w:p w14:paraId="49CCFA0A" w14:textId="206F85D4" w:rsidR="002D6853" w:rsidRDefault="002D6853" w:rsidP="005C602A"/>
    <w:sectPr w:rsidR="002D6853" w:rsidSect="00FF2638">
      <w:footerReference w:type="even" r:id="rId11"/>
      <w:footerReference w:type="default" r:id="rId12"/>
      <w:footerReference w:type="first" r:id="rId13"/>
      <w:pgSz w:w="15840" w:h="12240" w:orient="landscape"/>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E7019" w14:textId="77777777" w:rsidR="00736922" w:rsidRDefault="00736922">
      <w:pPr>
        <w:spacing w:line="240" w:lineRule="auto"/>
      </w:pPr>
      <w:r>
        <w:separator/>
      </w:r>
    </w:p>
  </w:endnote>
  <w:endnote w:type="continuationSeparator" w:id="0">
    <w:p w14:paraId="1B848809" w14:textId="77777777" w:rsidR="00736922" w:rsidRDefault="007369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945BE8E4-D801-4EC6-9D06-97E0507B8004}"/>
    <w:embedBold r:id="rId2" w:fontKey="{F3675650-7325-4D36-ACEB-66EDE13AD521}"/>
  </w:font>
  <w:font w:name="Calibri">
    <w:panose1 w:val="020F0502020204030204"/>
    <w:charset w:val="00"/>
    <w:family w:val="swiss"/>
    <w:pitch w:val="variable"/>
    <w:sig w:usb0="E4002EFF" w:usb1="C200247B" w:usb2="00000009" w:usb3="00000000" w:csb0="000001FF" w:csb1="00000000"/>
    <w:embedRegular r:id="rId3" w:fontKey="{F6B1C8F4-919D-4CAC-B35F-F39B34EF7B0A}"/>
  </w:font>
  <w:font w:name="Cambria">
    <w:panose1 w:val="02040503050406030204"/>
    <w:charset w:val="00"/>
    <w:family w:val="roman"/>
    <w:pitch w:val="variable"/>
    <w:sig w:usb0="E00006FF" w:usb1="420024FF" w:usb2="02000000" w:usb3="00000000" w:csb0="0000019F" w:csb1="00000000"/>
    <w:embedRegular r:id="rId4" w:fontKey="{DB7703C4-E36A-4AEA-BBBF-B608F700A0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A9BF7" w14:textId="77777777" w:rsidR="00A84A3C"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59264" behindDoc="0" locked="0" layoutInCell="1" hidden="0" allowOverlap="1" wp14:anchorId="1FF1EB3E" wp14:editId="1EDA7AE6">
              <wp:simplePos x="0" y="0"/>
              <wp:positionH relativeFrom="column">
                <wp:posOffset>-914399</wp:posOffset>
              </wp:positionH>
              <wp:positionV relativeFrom="paragraph">
                <wp:posOffset>0</wp:posOffset>
              </wp:positionV>
              <wp:extent cx="453390" cy="453390"/>
              <wp:effectExtent l="0" t="0" r="0" b="0"/>
              <wp:wrapNone/>
              <wp:docPr id="5" name="Rectangle 5" descr="Classification: Protected A"/>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573255AC" w14:textId="77777777" w:rsidR="00A84A3C" w:rsidRDefault="00000000">
                          <w:pPr>
                            <w:spacing w:line="275" w:lineRule="auto"/>
                            <w:textDirection w:val="btLr"/>
                          </w:pPr>
                          <w:r>
                            <w:rPr>
                              <w:rFonts w:ascii="Calibri" w:eastAsia="Calibri" w:hAnsi="Calibri" w:cs="Calibri"/>
                              <w:color w:val="000000"/>
                            </w:rPr>
                            <w:t>Classification: Protected A</w:t>
                          </w:r>
                        </w:p>
                      </w:txbxContent>
                    </wps:txbx>
                    <wps:bodyPr spcFirstLastPara="1" wrap="square" lIns="254000" tIns="0" rIns="0" bIns="190500" anchor="b" anchorCtr="0">
                      <a:noAutofit/>
                    </wps:bodyPr>
                  </wps:wsp>
                </a:graphicData>
              </a:graphic>
            </wp:anchor>
          </w:drawing>
        </mc:Choice>
        <mc:Fallback>
          <w:pict>
            <v:rect w14:anchorId="1FF1EB3E" id="Rectangle 5" o:spid="_x0000_s1026" alt="Classification: Protected A" style="position:absolute;margin-left:-1in;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ekstAEAAFMDAAAOAAAAZHJzL2Uyb0RvYy54bWysU8Fu2zAMvQ/oPwi6N7bTOMiMOMWwIsOA&#10;YgvQ7QNkWYoF2JJGKrHz96OUpGm327CL/CQSj4+P9PpxGnp2VIDG2ZoXs5wzZaVrjd3X/OeP7f2K&#10;MwzCtqJ3VtX8pJA/bu4+rEdfqbnrXN8qYERisRp9zbsQfJVlKDs1CJw5rywFtYNBBLrCPmtBjMQ+&#10;9Nk8z5fZ6KD14KRCpNenc5BvEr/WSobvWqMKrK85aQvphHQ28cw2a1HtQfjOyIsM8Q8qBmEsFX2l&#10;ehJBsAOYv6gGI8Gh02Em3ZA5rY1UqQfqpsj/6OalE16lXsgc9K824f+jld+OL34HZMPosUKCsYtJ&#10;wxC/pI9NNS+L+SJf0iRPNX8oy1XEyTg1BSYpYbF4WC1LziQlXDDFsxuRBwxflBtYBDUHmkuySxyf&#10;MZxTrymxrnVb0/epRG/fPRBnfMluaiMKUzNRdoSNa087YOjl1lCtZ4FhJ4BmWnA20pxrjr8OAhRn&#10;/VdLRs7LRZ7HzUg3AnAFTQLFx7yMcWFl52hxmiv8HNIandV9OgSnTerkJuIikyaXvLhsWVyNt/eU&#10;dfsXNr8BAAD//wMAUEsDBBQABgAIAAAAIQDG2y/+4AAAAAgBAAAPAAAAZHJzL2Rvd25yZXYueG1s&#10;TI9BS8NAEIXvgv9hGcFbukmJrcRMSikErSBi7aHHTXZNgtnZkN206b93POnlwfCG976Xb2bbi7MZ&#10;fecIIVnEIAzVTnfUIBw/y+gRhA+KtOodGYSr8bApbm9ylWl3oQ9zPoRGcAj5TCG0IQyZlL5ujVV+&#10;4QZD7H250arA59hIPaoLh9teLuN4Ja3qiBtaNZhda+rvw2QR3l7cdV/tHkr7qsiets/l/n1KEO/v&#10;5u0TiGDm8PcMv/iMDgUzVW4i7UWPECVpymMCAiv70Xq5AlEhrJMUZJHL/wOKHwAAAP//AwBQSwEC&#10;LQAUAAYACAAAACEAtoM4kv4AAADhAQAAEwAAAAAAAAAAAAAAAAAAAAAAW0NvbnRlbnRfVHlwZXNd&#10;LnhtbFBLAQItABQABgAIAAAAIQA4/SH/1gAAAJQBAAALAAAAAAAAAAAAAAAAAC8BAABfcmVscy8u&#10;cmVsc1BLAQItABQABgAIAAAAIQCh0ekstAEAAFMDAAAOAAAAAAAAAAAAAAAAAC4CAABkcnMvZTJv&#10;RG9jLnhtbFBLAQItABQABgAIAAAAIQDG2y/+4AAAAAgBAAAPAAAAAAAAAAAAAAAAAA4EAABkcnMv&#10;ZG93bnJldi54bWxQSwUGAAAAAAQABADzAAAAGwUAAAAA&#10;" filled="f" stroked="f">
              <v:textbox inset="20pt,0,0,15pt">
                <w:txbxContent>
                  <w:p w14:paraId="573255AC" w14:textId="77777777" w:rsidR="00A84A3C" w:rsidRDefault="00000000">
                    <w:pPr>
                      <w:spacing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5C877" w14:textId="77777777" w:rsidR="00A84A3C" w:rsidRDefault="00A84A3C">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ABDBB" w14:textId="77777777" w:rsidR="00A84A3C"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58240" behindDoc="0" locked="0" layoutInCell="1" hidden="0" allowOverlap="1" wp14:anchorId="3EA98712" wp14:editId="08AF9C41">
              <wp:simplePos x="0" y="0"/>
              <wp:positionH relativeFrom="column">
                <wp:posOffset>-914399</wp:posOffset>
              </wp:positionH>
              <wp:positionV relativeFrom="paragraph">
                <wp:posOffset>0</wp:posOffset>
              </wp:positionV>
              <wp:extent cx="453390" cy="453390"/>
              <wp:effectExtent l="0" t="0" r="0" b="0"/>
              <wp:wrapNone/>
              <wp:docPr id="4" name="Rectangle 4" descr="Classification: Protected A"/>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540A0D81" w14:textId="77777777" w:rsidR="00A84A3C" w:rsidRDefault="00000000">
                          <w:pPr>
                            <w:spacing w:line="275" w:lineRule="auto"/>
                            <w:textDirection w:val="btLr"/>
                          </w:pPr>
                          <w:r>
                            <w:rPr>
                              <w:rFonts w:ascii="Calibri" w:eastAsia="Calibri" w:hAnsi="Calibri" w:cs="Calibri"/>
                              <w:color w:val="000000"/>
                            </w:rPr>
                            <w:t>Classification: Protected A</w:t>
                          </w:r>
                        </w:p>
                      </w:txbxContent>
                    </wps:txbx>
                    <wps:bodyPr spcFirstLastPara="1" wrap="square" lIns="254000" tIns="0" rIns="0" bIns="190500" anchor="b" anchorCtr="0">
                      <a:noAutofit/>
                    </wps:bodyPr>
                  </wps:wsp>
                </a:graphicData>
              </a:graphic>
            </wp:anchor>
          </w:drawing>
        </mc:Choice>
        <mc:Fallback>
          <w:pict>
            <v:rect w14:anchorId="3EA98712" id="Rectangle 4" o:spid="_x0000_s1027" alt="Classification: Protected A" style="position:absolute;margin-left:-1in;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G6uAEAAFoDAAAOAAAAZHJzL2Uyb0RvYy54bWysU9uK2zAQfS/sPwi9b2xn45CaOEvpklJY&#10;2sC2HyDLUiywJXVGiZ2/70hJNrvtW+mLfObCmTMXrx+noWdHBWicrXkxyzlTVrrW2H3Nf/7Y3q84&#10;wyBsK3pnVc1PCvnj5u7DevSVmrvO9a0CRiQWq9HXvAvBV1mGslODwJnzylJQOxhEIBP2WQtiJPah&#10;z+Z5vsxGB60HJxUieZ/OQb5J/ForGb5rjSqwvuakLaQX0tvEN9usRbUH4TsjLzLEP6gYhLFU9JXq&#10;SQTBDmD+ohqMBIdOh5l0Q+a0NlKlHqibIv+jm5dOeJV6oeGgfx0T/j9a+e344ndAYxg9VkgwdjFp&#10;GOKX9LGp5mUxX+RL2uSp5g9luYo4DU5NgUlKWCweVsuSM0kJF0zx7EbkAcMX5QYWQc2B9pLGJY7P&#10;GM6p15RY17qt6ftUorfvHMQZPdlNbURhaiZmWjrAqCt6GteedsDQy62hks8Cw04ArbbgbKR11xx/&#10;HQQozvqvluY5Lxd5Hg8kWQTgCpoEio95GePCys7R/TRX+DmkazqL/HQITpvU0E3ERS0tMI3kcmzx&#10;Qt7aKev2S2x+AwAA//8DAFBLAwQUAAYACAAAACEAxtsv/uAAAAAIAQAADwAAAGRycy9kb3ducmV2&#10;LnhtbEyPQUvDQBCF74L/YRnBW7pJia3ETEopBK0gYu2hx012TYLZ2ZDdtOm/dzzp5cHwhve+l29m&#10;24uzGX3nCCFZxCAM1U531CAcP8voEYQPirTqHRmEq/GwKW5vcpVpd6EPcz6ERnAI+UwhtCEMmZS+&#10;bo1VfuEGQ+x9udGqwOfYSD2qC4fbXi7jeCWt6ogbWjWYXWvq78NkEd5e3HVf7R5K+6rInrbP5f59&#10;ShDv7+btE4hg5vD3DL/4jA4FM1VuIu1FjxAlacpjAgIr+9F6uQJRIayTFGSRy/8Dih8AAAD//wMA&#10;UEsBAi0AFAAGAAgAAAAhALaDOJL+AAAA4QEAABMAAAAAAAAAAAAAAAAAAAAAAFtDb250ZW50X1R5&#10;cGVzXS54bWxQSwECLQAUAAYACAAAACEAOP0h/9YAAACUAQAACwAAAAAAAAAAAAAAAAAvAQAAX3Jl&#10;bHMvLnJlbHNQSwECLQAUAAYACAAAACEA+3lRurgBAABaAwAADgAAAAAAAAAAAAAAAAAuAgAAZHJz&#10;L2Uyb0RvYy54bWxQSwECLQAUAAYACAAAACEAxtsv/uAAAAAIAQAADwAAAAAAAAAAAAAAAAASBAAA&#10;ZHJzL2Rvd25yZXYueG1sUEsFBgAAAAAEAAQA8wAAAB8FAAAAAA==&#10;" filled="f" stroked="f">
              <v:textbox inset="20pt,0,0,15pt">
                <w:txbxContent>
                  <w:p w14:paraId="540A0D81" w14:textId="77777777" w:rsidR="00A84A3C" w:rsidRDefault="00000000">
                    <w:pPr>
                      <w:spacing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E5CF5" w14:textId="77777777" w:rsidR="00736922" w:rsidRDefault="00736922">
      <w:pPr>
        <w:spacing w:line="240" w:lineRule="auto"/>
      </w:pPr>
      <w:r>
        <w:separator/>
      </w:r>
    </w:p>
  </w:footnote>
  <w:footnote w:type="continuationSeparator" w:id="0">
    <w:p w14:paraId="48D6B7F2" w14:textId="77777777" w:rsidR="00736922" w:rsidRDefault="0073692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A3C"/>
    <w:rsid w:val="00163AFA"/>
    <w:rsid w:val="001D4226"/>
    <w:rsid w:val="001F5E7F"/>
    <w:rsid w:val="002D6853"/>
    <w:rsid w:val="003C2B59"/>
    <w:rsid w:val="004C015A"/>
    <w:rsid w:val="005C602A"/>
    <w:rsid w:val="00736922"/>
    <w:rsid w:val="00741041"/>
    <w:rsid w:val="00761CEC"/>
    <w:rsid w:val="00A071F5"/>
    <w:rsid w:val="00A70A46"/>
    <w:rsid w:val="00A84A3C"/>
    <w:rsid w:val="00C36CF7"/>
    <w:rsid w:val="00C37197"/>
    <w:rsid w:val="00D76A9E"/>
    <w:rsid w:val="00DB6B18"/>
    <w:rsid w:val="00FF26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96F5E"/>
  <w15:docId w15:val="{97490C70-6F20-4A2B-A1D8-900EF95D5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63AFA"/>
    <w:pPr>
      <w:keepNext/>
      <w:keepLines/>
      <w:spacing w:before="240" w:after="240"/>
      <w:jc w:val="center"/>
      <w:outlineLvl w:val="0"/>
    </w:pPr>
    <w:rPr>
      <w:b/>
      <w:bCs/>
      <w:sz w:val="28"/>
      <w:szCs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C11F26"/>
    <w:pPr>
      <w:tabs>
        <w:tab w:val="center" w:pos="4680"/>
        <w:tab w:val="right" w:pos="9360"/>
      </w:tabs>
      <w:spacing w:line="240" w:lineRule="auto"/>
    </w:pPr>
  </w:style>
  <w:style w:type="character" w:customStyle="1" w:styleId="FooterChar">
    <w:name w:val="Footer Char"/>
    <w:basedOn w:val="DefaultParagraphFont"/>
    <w:link w:val="Footer"/>
    <w:uiPriority w:val="99"/>
    <w:rsid w:val="00C11F26"/>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abs/pii/S0006320707000912?via%3Dihub" TargetMode="Externa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cdnsciencepub.com/doi/10.1139/Z08-099"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sciencedirect.com/science/article/pii/S0006320717317780?via%3Dihub" TargetMode="External"/><Relationship Id="rId4" Type="http://schemas.openxmlformats.org/officeDocument/2006/relationships/webSettings" Target="webSettings.xml"/><Relationship Id="rId9" Type="http://schemas.openxmlformats.org/officeDocument/2006/relationships/hyperlink" Target="https://abmi.ca/home/publications/51-100/66"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qVTU7bOA4U1TbZwVRVcZSc5Q/A==">CgMxLjA4AHIhMTRFbUVFdEN4SzM3R1o0b2xUbTFJVUJvSkRqd0tjeWlB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613</Words>
  <Characters>3499</Characters>
  <Application>Microsoft Office Word</Application>
  <DocSecurity>0</DocSecurity>
  <Lines>29</Lines>
  <Paragraphs>8</Paragraphs>
  <ScaleCrop>false</ScaleCrop>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Hubbs</dc:creator>
  <cp:lastModifiedBy>Cassondra Stevenson</cp:lastModifiedBy>
  <cp:revision>3</cp:revision>
  <cp:lastPrinted>2024-06-26T21:05:00Z</cp:lastPrinted>
  <dcterms:created xsi:type="dcterms:W3CDTF">2024-06-26T21:15:00Z</dcterms:created>
  <dcterms:modified xsi:type="dcterms:W3CDTF">2024-06-26T21:19:00Z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#000000,11,Calibri</vt:lpwstr>
  </property>
  <property fmtid="{D5CDD505-2E9C-101B-9397-08002B2CF9AE}" pid="4" name="ClassificationContentMarkingFooterText">
    <vt:lpwstr>Classification: Protected A</vt:lpwstr>
  </property>
  <property fmtid="{D5CDD505-2E9C-101B-9397-08002B2CF9AE}" pid="5" name="MSIP_Label_abf2ea38-542c-4b75-bd7d-582ec36a519f_Enabled">
    <vt:lpwstr>true</vt:lpwstr>
  </property>
  <property fmtid="{D5CDD505-2E9C-101B-9397-08002B2CF9AE}" pid="6" name="MSIP_Label_abf2ea38-542c-4b75-bd7d-582ec36a519f_SetDate">
    <vt:lpwstr>2024-06-24T19:58:58Z</vt:lpwstr>
  </property>
  <property fmtid="{D5CDD505-2E9C-101B-9397-08002B2CF9AE}" pid="7" name="MSIP_Label_abf2ea38-542c-4b75-bd7d-582ec36a519f_Method">
    <vt:lpwstr>Standard</vt:lpwstr>
  </property>
  <property fmtid="{D5CDD505-2E9C-101B-9397-08002B2CF9AE}" pid="8" name="MSIP_Label_abf2ea38-542c-4b75-bd7d-582ec36a519f_Name">
    <vt:lpwstr>Protected A</vt:lpwstr>
  </property>
  <property fmtid="{D5CDD505-2E9C-101B-9397-08002B2CF9AE}" pid="9" name="MSIP_Label_abf2ea38-542c-4b75-bd7d-582ec36a519f_SiteId">
    <vt:lpwstr>2bb51c06-af9b-42c5-8bf5-3c3b7b10850b</vt:lpwstr>
  </property>
  <property fmtid="{D5CDD505-2E9C-101B-9397-08002B2CF9AE}" pid="10" name="MSIP_Label_abf2ea38-542c-4b75-bd7d-582ec36a519f_ActionId">
    <vt:lpwstr>00b321b4-58fe-49f4-8665-f266f250ccbb</vt:lpwstr>
  </property>
  <property fmtid="{D5CDD505-2E9C-101B-9397-08002B2CF9AE}" pid="11" name="MSIP_Label_abf2ea38-542c-4b75-bd7d-582ec36a519f_ContentBits">
    <vt:lpwstr>2</vt:lpwstr>
  </property>
</Properties>
</file>