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3qgEayMZ55yxnk8LFa1i15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base:MUR_STR_CA_30_CA30:139555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OC.EEA.a02.E9700.Sb017.0255.-</w:t>
      </w:r>
    </w:p>
    <w:p>
      <w:r>
        <w:rPr>
          <w:rFonts w:ascii="Times New Roman" w:hAnsi="Times New Roman"/>
          <w:sz w:val="22"/>
        </w:rPr>
        <w:t>GlobalId: 3wrjbaA$DCSxztP1z$$LP4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Rebar Installation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ReinforcingBar_3qgEayMZ55yxnk8LFa1i15_3wrjbaA$DCSxztP1z$$LP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ReinforcementStrengthClass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ReinforcementStrengthClass: ✓ </w:t>
      </w:r>
      <w:r>
        <w:br/>
      </w:r>
      <w:r>
        <w:t xml:space="preserve"> •  #60=IfcPropertySingleValue('ReinforcementStrengthClass','Classification of the reinforcement strength in accordance with the concrete design code which is applied in the project. The reinforcing strength class often combines strength and ductility.',IfcLabel('B450C'),$) </w:t>
      </w:r>
      <w:r>
        <w:br/>
      </w:r>
      <w:r>
        <w:t xml:space="preserve"> •  #3882=IfcPropertySingleValue('ReinforcementStrengthClass',$,IfcLabel('B450C'),$)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