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212O8SynL5OfOqjco_P6B7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B7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#965=IfcWall('212O8SynL5OfOqjco_P6B7',#21,'Muro di base:MUR_STR_CA_30_CA30:137799',$,'Muro di base:MUR_STR_CA_30_CA30',#936,#964,'137799',.NOTDEFINED.)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#1006=IfcPropertySingleValue('ConstructionMethod',$,IfcLabel('In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#1007=IfcPropertySingleValue('StructuralClass',$,IfcLabel('S4'),$)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#965=IfcWall('212O8SynL5OfOqjco_P6B7',#21,'Muro di base:MUR_STR_CA_30_CA30:137799',$,'Muro di base:MUR_STR_CA_30_CA30',#936,#964,'137799',.NOTDEFINED.)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#1008=IfcPropertySingleValue('StrengthClass',$,IfcLabel('C30/37'),$)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#1009=IfcPropertySingleValue('ExposureClass',$,IfcLabel('XC2'),$)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