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2fq2VmmPH7ffVob1Qf8kqk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base:MUR_INT_LT_15_IN1,5_LT12_IN1,5:230275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OC.EEA.a02.C0102.L0011.0265.-</w:t>
      </w:r>
    </w:p>
    <w:p>
      <w:r>
        <w:rPr>
          <w:rFonts w:ascii="Times New Roman" w:hAnsi="Times New Roman"/>
          <w:sz w:val="22"/>
        </w:rPr>
        <w:t>GlobalId: 24X$gqt1z1ZeOIEVzvAEP9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Masonry wall thickness 12cm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8_IfcWall_2fq2VmmPH7ffVob1Qf8kqk_24X$gqt1z1ZeOIEVzvAEP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IsExternal</w:t>
              <w:br/>
              <w:t>LoadBearing</w:t>
              <w:br/>
              <w:t>Width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1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#4234=IfcWall('2fq2VmmPH7ffVob1Qf8kqk',#21,'Muro di base:MUR_INT_LT_15_IN1,5_LT12_IN1,5:230275',$,'Muro di base:MUR_INT_LT_15_IN1,5_LT12_IN1,5',#4229,#4233,'230275',.NOTDEFINED.)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4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#4234=IfcWall('2fq2VmmPH7ffVob1Qf8kqk',#21,'Muro di base:MUR_INT_LT_15_IN1,5_LT12_IN1,5:230275',$,'Muro di base:MUR_INT_LT_15_IN1,5_LT12_IN1,5',#4229,#4233,'230275',.NOTDEFINED.) </w:t>
      </w:r>
      <w:r>
        <w:br/>
      </w:r>
      <w:r>
        <w:br/>
      </w:r>
      <w:r>
        <w:t xml:space="preserve">IsExternal: ✗ </w:t>
      </w:r>
      <w:r>
        <w:br/>
      </w:r>
      <w:r>
        <w:t xml:space="preserve"> •  #21=IfcPropertySingleValue('IsExternal','Indication whether the element is designed for use in the exterior (TRUE) or not (FALSE). If (TRUE) it is an external element and faces the outside of the building',IfcBoolean(.F.),$)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✗ </w:t>
      </w:r>
      <w:r>
        <w:br/>
      </w:r>
      <w:r>
        <w:t xml:space="preserve"> •  #22=IfcPropertySingleValue('LoadBearing','Whether this component is carrying (YES) or not carrying (NO)',IfcBoolean(.F.),$)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Width: ✗ </w:t>
      </w:r>
      <w:r>
        <w:br/>
      </w:r>
      <w:r>
        <w:t xml:space="preserve"> •  #26=IfcQuantityLength('Width','Thickness of the wall, the value is given only if the thickness is constant',#3,0.12,$) </w:t>
      </w:r>
      <w:r>
        <w:br/>
      </w:r>
      <w:r>
        <w:t xml:space="preserve"> •  #1942=IfcQuantityLength('Width',$,$,0.15000000000000002,$)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1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