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*Refer to the high-fidelity workspace for the colours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370"/>
        <w:gridCol w:w="3630"/>
        <w:tblGridChange w:id="0">
          <w:tblGrid>
            <w:gridCol w:w="3000"/>
            <w:gridCol w:w="237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names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 location (if any)</w:t>
            </w:r>
          </w:p>
        </w:tc>
      </w:tr>
      <w:tr>
        <w:trPr>
          <w:cantSplit w:val="0"/>
          <w:trHeight w:val="4032.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08">
            <w:pPr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images/basket-trading.png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images/currency-globe.png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images/spider-globe.png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images/trophy-leaderboard.png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images/bearbull.png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images/champion.png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images/crypto.png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images/foodstocks.png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images/guytablet.png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images/riseup.png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images/stocks.png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us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images/vino2.jpeg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images/bentley.jpeg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images/bega.jpeg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images/cass.jpg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26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2A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Iconsax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hd w:fill="ffe599" w:val="clear"/>
          <w:rtl w:val="0"/>
        </w:rPr>
        <w:t xml:space="preserve">FontAwesome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