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440" w:type="dxa"/>
        <w:jc w:val="start"/>
        <w:tblInd w:w="-612" w:type="dxa"/>
        <w:tblLayout w:type="fixed"/>
        <w:tblCellMar>
          <w:top w:w="0" w:type="dxa"/>
          <w:start w:w="108" w:type="dxa"/>
          <w:bottom w:w="0" w:type="dxa"/>
          <w:end w:w="108" w:type="dxa"/>
        </w:tblCellMar>
      </w:tblPr>
      <w:tblGrid>
        <w:gridCol w:w="3060"/>
        <w:gridCol w:w="3600"/>
        <w:gridCol w:w="3780"/>
      </w:tblGrid>
      <w:tr>
        <w:trPr>
          <w:trHeight w:val="1950" w:hRule="atLeast"/>
        </w:trPr>
        <w:tc>
          <w:tcPr>
            <w:tcW w:w="3060" w:type="dxa"/>
            <w:tcBorders>
              <w:top w:val="double" w:sz="4" w:space="0" w:color="000000"/>
              <w:start w:val="double" w:sz="4" w:space="0" w:color="000000"/>
              <w:bottom w:val="double" w:sz="4" w:space="0" w:color="000000"/>
            </w:tcBorders>
          </w:tcPr>
          <w:p>
            <w:pPr>
              <w:pStyle w:val="PlainText"/>
              <w:snapToGrid w:val="false"/>
              <w:jc w:val="center"/>
              <w:rPr>
                <w:rFonts w:ascii="Times New Roman" w:hAnsi="Times New Roman" w:cs="Times New Roman"/>
                <w:sz w:val="16"/>
                <w:szCs w:val="16"/>
              </w:rPr>
            </w:pPr>
            <w:r>
              <w:rPr>
                <w:rFonts w:cs="Times New Roman" w:ascii="Times New Roman" w:hAnsi="Times New Roman"/>
                <w:sz w:val="16"/>
                <w:szCs w:val="16"/>
              </w:rPr>
            </w:r>
          </w:p>
          <w:p>
            <w:pPr>
              <w:pStyle w:val="PlainText"/>
              <w:jc w:val="center"/>
              <w:rPr>
                <w:rFonts w:ascii="Times New Roman" w:hAnsi="Times New Roman" w:cs="Times New Roman"/>
                <w:sz w:val="24"/>
                <w:szCs w:val="24"/>
                <w:lang w:val="en-US" w:eastAsia="en-US"/>
              </w:rPr>
            </w:pPr>
            <w:r>
              <w:rPr>
                <w:rFonts w:cs="Times New Roman" w:ascii="Times New Roman" w:hAnsi="Times New Roman"/>
                <w:sz w:val="24"/>
                <w:szCs w:val="24"/>
                <w:lang w:val="en-US" w:eastAsia="en-US"/>
              </w:rPr>
              <w:drawing>
                <wp:anchor distT="0" distB="0" distL="114935" distR="114935" simplePos="0" relativeHeight="2" behindDoc="0" locked="0" layoutInCell="1" allowOverlap="1">
                  <wp:simplePos x="0" y="0"/>
                  <wp:positionH relativeFrom="column">
                    <wp:posOffset>264795</wp:posOffset>
                  </wp:positionH>
                  <wp:positionV relativeFrom="paragraph">
                    <wp:posOffset>59690</wp:posOffset>
                  </wp:positionV>
                  <wp:extent cx="1057275" cy="9525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057275" cy="952500"/>
                          </a:xfrm>
                          <a:prstGeom prst="rect">
                            <a:avLst/>
                          </a:prstGeom>
                          <a:solidFill>
                            <a:srgbClr val="FFFFFF"/>
                          </a:solidFill>
                          <a:ln w="9525">
                            <a:solidFill>
                              <a:srgbClr val="000000"/>
                            </a:solidFill>
                          </a:ln>
                        </pic:spPr>
                      </pic:pic>
                    </a:graphicData>
                  </a:graphic>
                </wp:anchor>
              </w:drawing>
            </w:r>
          </w:p>
          <w:p>
            <w:pPr>
              <w:pStyle w:val="PlainText"/>
              <w:jc w:val="center"/>
              <w:rPr>
                <w:rFonts w:ascii="Times New Roman" w:hAnsi="Times New Roman" w:cs="Times New Roman"/>
                <w:b/>
                <w:bCs/>
                <w:sz w:val="24"/>
                <w:szCs w:val="24"/>
              </w:rPr>
            </w:pPr>
            <w:r>
              <w:rPr>
                <w:rFonts w:cs="Times New Roman" w:ascii="Times New Roman" w:hAnsi="Times New Roman"/>
                <w:b/>
                <w:bCs/>
                <w:sz w:val="24"/>
                <w:szCs w:val="24"/>
              </w:rPr>
            </w:r>
          </w:p>
        </w:tc>
        <w:tc>
          <w:tcPr>
            <w:tcW w:w="3600" w:type="dxa"/>
            <w:tcBorders>
              <w:top w:val="double" w:sz="4" w:space="0" w:color="000000"/>
              <w:bottom w:val="double" w:sz="4" w:space="0" w:color="000000"/>
            </w:tcBorders>
          </w:tcPr>
          <w:p>
            <w:pPr>
              <w:pStyle w:val="PlainText"/>
              <w:snapToGrid w:val="false"/>
              <w:jc w:val="center"/>
              <w:rPr>
                <w:rFonts w:ascii="Times New Roman" w:hAnsi="Times New Roman" w:cs="Times New Roman"/>
                <w:b/>
                <w:bCs/>
                <w:sz w:val="24"/>
                <w:szCs w:val="24"/>
              </w:rPr>
            </w:pPr>
            <w:r>
              <w:rPr>
                <w:rFonts w:cs="Times New Roman" w:ascii="Times New Roman" w:hAnsi="Times New Roman"/>
                <w:b/>
                <w:bCs/>
                <w:sz w:val="24"/>
                <w:szCs w:val="24"/>
              </w:rPr>
            </w:r>
          </w:p>
          <w:p>
            <w:pPr>
              <w:pStyle w:val="PlainText"/>
              <w:jc w:val="center"/>
              <w:rPr>
                <w:rFonts w:ascii="Times New Roman" w:hAnsi="Times New Roman" w:cs="Times New Roman"/>
                <w:b/>
                <w:bCs/>
                <w:sz w:val="16"/>
                <w:szCs w:val="16"/>
              </w:rPr>
            </w:pPr>
            <w:r>
              <w:rPr>
                <w:rFonts w:cs="Times New Roman" w:ascii="Times New Roman" w:hAnsi="Times New Roman"/>
                <w:b/>
                <w:bCs/>
                <w:sz w:val="16"/>
                <w:szCs w:val="16"/>
              </w:rPr>
              <w:br/>
            </w:r>
          </w:p>
          <w:p>
            <w:pPr>
              <w:pStyle w:val="PlainText"/>
              <w:jc w:val="center"/>
              <w:rPr>
                <w:rFonts w:ascii="Times New Roman" w:hAnsi="Times New Roman" w:cs="Times New Roman"/>
                <w:b/>
                <w:bCs/>
                <w:sz w:val="10"/>
                <w:szCs w:val="10"/>
              </w:rPr>
            </w:pPr>
            <w:r>
              <w:rPr>
                <w:rFonts w:cs="Times New Roman" w:ascii="Times New Roman" w:hAnsi="Times New Roman"/>
                <w:b/>
                <w:bCs/>
                <w:sz w:val="10"/>
                <w:szCs w:val="10"/>
              </w:rPr>
            </w:r>
          </w:p>
          <w:p>
            <w:pPr>
              <w:pStyle w:val="PlainText"/>
              <w:jc w:val="center"/>
              <w:rPr>
                <w:rFonts w:ascii="Calisto MT" w:hAnsi="Calisto MT" w:cs="Times New Roman"/>
                <w:b/>
                <w:bCs/>
                <w:sz w:val="24"/>
                <w:szCs w:val="24"/>
              </w:rPr>
            </w:pPr>
            <w:r>
              <w:rPr>
                <w:rFonts w:cs="Times New Roman" w:ascii="Calisto MT" w:hAnsi="Calisto MT"/>
                <w:b/>
                <w:bCs/>
                <w:sz w:val="24"/>
                <w:szCs w:val="24"/>
              </w:rPr>
              <w:t>Liquidity Funding Policy and Contingency Liquidity Plan</w:t>
            </w:r>
          </w:p>
          <w:p>
            <w:pPr>
              <w:pStyle w:val="PlainText"/>
              <w:jc w:val="center"/>
              <w:rPr>
                <w:rFonts w:ascii="Calisto MT" w:hAnsi="Calisto MT" w:cs="Times New Roman"/>
                <w:b/>
                <w:bCs/>
                <w:sz w:val="24"/>
                <w:szCs w:val="24"/>
              </w:rPr>
            </w:pPr>
            <w:r>
              <w:rPr>
                <w:rFonts w:cs="Times New Roman" w:ascii="Calisto MT" w:hAnsi="Calisto MT"/>
                <w:b/>
                <w:bCs/>
                <w:sz w:val="24"/>
                <w:szCs w:val="24"/>
              </w:rPr>
            </w:r>
          </w:p>
        </w:tc>
        <w:tc>
          <w:tcPr>
            <w:tcW w:w="3780" w:type="dxa"/>
            <w:tcBorders>
              <w:top w:val="double" w:sz="4" w:space="0" w:color="000000"/>
              <w:bottom w:val="double" w:sz="4" w:space="0" w:color="000000"/>
              <w:end w:val="double" w:sz="4" w:space="0" w:color="000000"/>
            </w:tcBorders>
          </w:tcPr>
          <w:p>
            <w:pPr>
              <w:pStyle w:val="PlainText"/>
              <w:snapToGrid w:val="false"/>
              <w:rPr>
                <w:rFonts w:ascii="Times New Roman" w:hAnsi="Times New Roman" w:cs="Times New Roman"/>
                <w:b/>
                <w:bCs/>
                <w:sz w:val="24"/>
                <w:szCs w:val="24"/>
              </w:rPr>
            </w:pPr>
            <w:r>
              <w:rPr>
                <w:rFonts w:cs="Times New Roman" w:ascii="Times New Roman" w:hAnsi="Times New Roman"/>
                <w:b/>
                <w:bCs/>
                <w:sz w:val="24"/>
                <w:szCs w:val="24"/>
              </w:rPr>
            </w:r>
          </w:p>
          <w:p>
            <w:pPr>
              <w:pStyle w:val="PlainText"/>
              <w:rPr>
                <w:rFonts w:ascii="Times New Roman" w:hAnsi="Times New Roman" w:cs="Times New Roman"/>
                <w:b/>
                <w:bCs/>
                <w:sz w:val="24"/>
                <w:szCs w:val="24"/>
              </w:rPr>
            </w:pPr>
            <w:r>
              <w:rPr>
                <w:rFonts w:cs="Times New Roman" w:ascii="Times New Roman" w:hAnsi="Times New Roman"/>
                <w:b/>
                <w:bCs/>
                <w:sz w:val="24"/>
                <w:szCs w:val="24"/>
              </w:rPr>
              <w:t xml:space="preserve">   </w:t>
            </w:r>
          </w:p>
          <w:p>
            <w:pPr>
              <w:pStyle w:val="PlainText"/>
              <w:rPr>
                <w:rFonts w:ascii="Times New Roman" w:hAnsi="Times New Roman" w:cs="Times New Roman"/>
                <w:sz w:val="22"/>
                <w:szCs w:val="22"/>
              </w:rPr>
            </w:pPr>
            <w:r>
              <w:rPr>
                <w:rFonts w:cs="Times New Roman" w:ascii="Times New Roman" w:hAnsi="Times New Roman"/>
                <w:b/>
                <w:bCs/>
                <w:sz w:val="24"/>
                <w:szCs w:val="24"/>
              </w:rPr>
              <w:t xml:space="preserve">   </w:t>
            </w:r>
            <w:r>
              <w:rPr>
                <w:rFonts w:cs="Times New Roman" w:ascii="Times New Roman" w:hAnsi="Times New Roman"/>
                <w:b/>
                <w:bCs/>
                <w:sz w:val="22"/>
                <w:szCs w:val="22"/>
              </w:rPr>
              <w:t>Board Approved:</w:t>
            </w:r>
            <w:r>
              <w:rPr>
                <w:rFonts w:cs="Times New Roman" w:ascii="Times New Roman" w:hAnsi="Times New Roman"/>
                <w:sz w:val="22"/>
                <w:szCs w:val="22"/>
              </w:rPr>
              <w:t xml:space="preserve">       Aug 8, 2016</w:t>
            </w:r>
          </w:p>
          <w:p>
            <w:pPr>
              <w:pStyle w:val="PlainText"/>
              <w:rPr/>
            </w:pPr>
            <w:r>
              <w:rPr>
                <w:rFonts w:cs="Times New Roman" w:ascii="Times New Roman" w:hAnsi="Times New Roman"/>
                <w:b/>
                <w:bCs/>
                <w:sz w:val="22"/>
                <w:szCs w:val="22"/>
              </w:rPr>
              <w:t xml:space="preserve">  </w:t>
            </w:r>
            <w:r>
              <w:rPr>
                <w:rFonts w:cs="Times New Roman" w:ascii="Times New Roman" w:hAnsi="Times New Roman"/>
                <w:b/>
                <w:bCs/>
                <w:sz w:val="22"/>
                <w:szCs w:val="22"/>
              </w:rPr>
              <w:t xml:space="preserve">Updated:      </w:t>
            </w:r>
            <w:r>
              <w:rPr>
                <w:rFonts w:cs="Times New Roman" w:ascii="Times New Roman" w:hAnsi="Times New Roman"/>
                <w:sz w:val="22"/>
                <w:szCs w:val="22"/>
              </w:rPr>
              <w:t xml:space="preserve">                 Aug 8, 2016                </w:t>
            </w:r>
            <w:r>
              <w:rPr>
                <w:rFonts w:cs="Times New Roman" w:ascii="Times New Roman" w:hAnsi="Times New Roman"/>
                <w:b/>
                <w:bCs/>
                <w:sz w:val="22"/>
                <w:szCs w:val="22"/>
              </w:rPr>
              <w:t>Dept. Accountability:</w:t>
            </w:r>
            <w:r>
              <w:rPr>
                <w:rFonts w:cs="Times New Roman" w:ascii="Times New Roman" w:hAnsi="Times New Roman"/>
                <w:sz w:val="22"/>
                <w:szCs w:val="22"/>
              </w:rPr>
              <w:t xml:space="preserve">     Accounting </w:t>
              <w:br/>
              <w:t xml:space="preserve">   </w:t>
            </w:r>
            <w:r>
              <w:rPr>
                <w:rFonts w:cs="Times New Roman" w:ascii="Times New Roman" w:hAnsi="Times New Roman"/>
                <w:b/>
                <w:bCs/>
                <w:sz w:val="22"/>
                <w:szCs w:val="22"/>
              </w:rPr>
              <w:t>Individual Accountability:</w:t>
            </w:r>
            <w:r>
              <w:rPr>
                <w:rFonts w:cs="Times New Roman" w:ascii="Times New Roman" w:hAnsi="Times New Roman"/>
                <w:sz w:val="22"/>
                <w:szCs w:val="22"/>
              </w:rPr>
              <w:t xml:space="preserve">    CFO</w:t>
            </w:r>
            <w:r>
              <w:rPr>
                <w:rFonts w:cs="Times New Roman" w:ascii="Times New Roman" w:hAnsi="Times New Roman"/>
                <w:sz w:val="24"/>
                <w:szCs w:val="24"/>
              </w:rPr>
              <w:t xml:space="preserve"> </w:t>
              <w:br/>
            </w:r>
          </w:p>
        </w:tc>
      </w:tr>
    </w:tbl>
    <w:p>
      <w:pPr>
        <w:pStyle w:val="Heading"/>
        <w:rPr/>
      </w:pPr>
      <w:r>
        <w:rPr/>
      </w:r>
    </w:p>
    <w:p>
      <w:pPr>
        <w:pStyle w:val="Heading"/>
        <w:jc w:val="start"/>
        <w:rPr>
          <w:sz w:val="24"/>
        </w:rPr>
      </w:pPr>
      <w:r>
        <w:rPr>
          <w:sz w:val="24"/>
        </w:rPr>
        <w:t>Purpose</w:t>
      </w:r>
    </w:p>
    <w:p>
      <w:pPr>
        <w:pStyle w:val="Normal"/>
        <w:rPr>
          <w:sz w:val="18"/>
        </w:rPr>
      </w:pPr>
      <w:r>
        <w:rPr>
          <w:sz w:val="18"/>
        </w:rPr>
      </w:r>
    </w:p>
    <w:p>
      <w:pPr>
        <w:pStyle w:val="Normal"/>
        <w:jc w:val="both"/>
        <w:rPr/>
      </w:pPr>
      <w:r>
        <w:rPr/>
        <w:t>This policy is designed to provide access to liquidity sufficient to meet our daily funding needs, and cover both expected and unexpected deviations from normal operations. Liquidity is defined as a financial institution’s capacity to meet its cash and collateral obligations without adversely impacting profits. This definition recognizes that liquidity in its purest form is simply access to cash to meet obligations, and can come from both the asset side and liability side of the balance sheet. Liquidity Risk is defined as the “risk that an institution’s financial condition or overall safety and soundness is adversely affected by an inability (or perceived inability) to meet its contractual obligations.” Changes in economic conditions or exposure to credit, market, operation, legal, and reputation risks also can affect an institution’s liquidity risk profile and should be considered in the assessment of liquidity. Effective management of the Bank’s liquidity and funding risk requires regular monitoring of current as well as future cash flow, balance sheet mix, and borrowing capacity.  In accordance with industry best practice, the Bank recognizes the importance of:</w:t>
      </w:r>
    </w:p>
    <w:p>
      <w:pPr>
        <w:pStyle w:val="BodyText2"/>
        <w:rPr>
          <w:sz w:val="24"/>
        </w:rPr>
      </w:pPr>
      <w:r>
        <w:rPr>
          <w:sz w:val="24"/>
        </w:rPr>
      </w:r>
    </w:p>
    <w:p>
      <w:pPr>
        <w:pStyle w:val="BodyText2"/>
        <w:numPr>
          <w:ilvl w:val="0"/>
          <w:numId w:val="14"/>
        </w:numPr>
        <w:rPr>
          <w:sz w:val="24"/>
        </w:rPr>
      </w:pPr>
      <w:r>
        <w:rPr>
          <w:sz w:val="24"/>
        </w:rPr>
        <w:t xml:space="preserve">cash flow projections    </w:t>
      </w:r>
    </w:p>
    <w:p>
      <w:pPr>
        <w:pStyle w:val="BodyText2"/>
        <w:numPr>
          <w:ilvl w:val="0"/>
          <w:numId w:val="14"/>
        </w:numPr>
        <w:rPr>
          <w:sz w:val="24"/>
        </w:rPr>
      </w:pPr>
      <w:r>
        <w:rPr>
          <w:sz w:val="24"/>
        </w:rPr>
        <w:t xml:space="preserve">a cushion of liquid assets          </w:t>
      </w:r>
    </w:p>
    <w:p>
      <w:pPr>
        <w:pStyle w:val="BodyText2"/>
        <w:numPr>
          <w:ilvl w:val="0"/>
          <w:numId w:val="14"/>
        </w:numPr>
        <w:rPr>
          <w:sz w:val="24"/>
        </w:rPr>
      </w:pPr>
      <w:r>
        <w:rPr>
          <w:sz w:val="24"/>
        </w:rPr>
        <w:t xml:space="preserve">diversified funding sources                      </w:t>
      </w:r>
    </w:p>
    <w:p>
      <w:pPr>
        <w:pStyle w:val="BodyText2"/>
        <w:numPr>
          <w:ilvl w:val="0"/>
          <w:numId w:val="14"/>
        </w:numPr>
        <w:rPr>
          <w:sz w:val="24"/>
        </w:rPr>
      </w:pPr>
      <w:r>
        <w:rPr>
          <w:sz w:val="24"/>
        </w:rPr>
        <w:t>stress testing the liquidity position</w:t>
      </w:r>
    </w:p>
    <w:p>
      <w:pPr>
        <w:pStyle w:val="BodyText2"/>
        <w:numPr>
          <w:ilvl w:val="0"/>
          <w:numId w:val="14"/>
        </w:numPr>
        <w:rPr>
          <w:sz w:val="24"/>
        </w:rPr>
      </w:pPr>
      <w:r>
        <w:rPr>
          <w:sz w:val="24"/>
        </w:rPr>
        <w:t>an early warning system</w:t>
      </w:r>
    </w:p>
    <w:p>
      <w:pPr>
        <w:pStyle w:val="BodyText2"/>
        <w:numPr>
          <w:ilvl w:val="0"/>
          <w:numId w:val="14"/>
        </w:numPr>
        <w:rPr>
          <w:sz w:val="24"/>
        </w:rPr>
      </w:pPr>
      <w:r>
        <w:rPr>
          <w:sz w:val="24"/>
        </w:rPr>
        <w:t>a contingency funding plan</w:t>
      </w:r>
    </w:p>
    <w:p>
      <w:pPr>
        <w:pStyle w:val="BodyText2"/>
        <w:rPr>
          <w:color w:val="FF0000"/>
          <w:sz w:val="24"/>
        </w:rPr>
      </w:pPr>
      <w:r>
        <w:rPr>
          <w:color w:val="FF0000"/>
          <w:sz w:val="24"/>
        </w:rPr>
      </w:r>
    </w:p>
    <w:p>
      <w:pPr>
        <w:pStyle w:val="Normal"/>
        <w:jc w:val="both"/>
        <w:rPr/>
      </w:pPr>
      <w:r>
        <w:rPr/>
        <w:t>These components form the</w:t>
      </w:r>
      <w:r>
        <w:rPr>
          <w:color w:val="FF0000"/>
        </w:rPr>
        <w:t xml:space="preserve"> </w:t>
      </w:r>
      <w:r>
        <w:rPr/>
        <w:t>primary tools for measuring and managing liquidity risk.   As such, this policy will prescribe and set forth certain procedures and ratios which together institute sound liquidity risk management.</w:t>
      </w:r>
    </w:p>
    <w:p>
      <w:pPr>
        <w:pStyle w:val="Normal"/>
        <w:jc w:val="both"/>
        <w:rPr>
          <w:sz w:val="20"/>
        </w:rPr>
      </w:pPr>
      <w:r>
        <w:rPr>
          <w:sz w:val="20"/>
        </w:rPr>
      </w:r>
    </w:p>
    <w:p>
      <w:pPr>
        <w:pStyle w:val="Heading6"/>
        <w:ind w:hanging="0" w:start="0"/>
        <w:rPr>
          <w:sz w:val="24"/>
          <w:u w:val="none"/>
        </w:rPr>
      </w:pPr>
      <w:r>
        <w:rPr>
          <w:sz w:val="24"/>
          <w:u w:val="none"/>
        </w:rPr>
        <w:t>Corporate Governance</w:t>
      </w:r>
    </w:p>
    <w:p>
      <w:pPr>
        <w:pStyle w:val="Normal"/>
        <w:rPr>
          <w:sz w:val="24"/>
          <w:u w:val="none"/>
        </w:rPr>
      </w:pPr>
      <w:r>
        <w:rPr>
          <w:sz w:val="24"/>
          <w:u w:val="none"/>
        </w:rPr>
      </w:r>
    </w:p>
    <w:p>
      <w:pPr>
        <w:pStyle w:val="Normal"/>
        <w:jc w:val="both"/>
        <w:rPr/>
      </w:pPr>
      <w:r>
        <w:rPr/>
        <w:t xml:space="preserve">The Board of Directors is ultimately responsible for the liquidity risk assumed by the Bank.  As such, the Board will be responsible for maintaining this policy as well as insuring the Bank’s management team is following it.  It is the objective of the Board through this policy to ensure all levels of management clearly understand the Bank’s approach to managing the trade-off between liquidity risk and profits. </w:t>
      </w:r>
    </w:p>
    <w:p>
      <w:pPr>
        <w:pStyle w:val="Normal"/>
        <w:rPr/>
      </w:pPr>
      <w:r>
        <w:rPr/>
      </w:r>
    </w:p>
    <w:p>
      <w:pPr>
        <w:pStyle w:val="Normal"/>
        <w:jc w:val="both"/>
        <w:rPr/>
      </w:pPr>
      <w:r>
        <w:rPr/>
        <w:t>The Board has directed that the responsibility for compliance with this policy rests with the Bank’s Asset/Liability Committee (ALCO). Through the ALCO, management will actively monitor the Bank’s liquidity risk profile, and ensure compliance with Board approved strategies, policies, and procedures (including day to day and long term). The Bank’s ALCO is comprised of the following members:</w:t>
      </w:r>
    </w:p>
    <w:p>
      <w:pPr>
        <w:pStyle w:val="Normal"/>
        <w:numPr>
          <w:ilvl w:val="0"/>
          <w:numId w:val="17"/>
        </w:numPr>
        <w:tabs>
          <w:tab w:val="clear" w:pos="720"/>
          <w:tab w:val="left" w:pos="1080" w:leader="none"/>
        </w:tabs>
        <w:ind w:hanging="360" w:start="1080" w:end="0"/>
        <w:jc w:val="both"/>
        <w:rPr/>
      </w:pPr>
      <w:r>
        <w:rPr/>
        <w:t>President and Chief Executive Officer</w:t>
      </w:r>
    </w:p>
    <w:p>
      <w:pPr>
        <w:pStyle w:val="Normal"/>
        <w:numPr>
          <w:ilvl w:val="0"/>
          <w:numId w:val="17"/>
        </w:numPr>
        <w:tabs>
          <w:tab w:val="clear" w:pos="720"/>
          <w:tab w:val="left" w:pos="1080" w:leader="none"/>
        </w:tabs>
        <w:ind w:hanging="360" w:start="1080" w:end="0"/>
        <w:jc w:val="both"/>
        <w:rPr/>
      </w:pPr>
      <w:r>
        <w:rPr/>
        <w:t>Chief Operating Officer</w:t>
        <w:tab/>
        <w:tab/>
        <w:t xml:space="preserve"> </w:t>
      </w:r>
    </w:p>
    <w:p>
      <w:pPr>
        <w:pStyle w:val="Normal"/>
        <w:numPr>
          <w:ilvl w:val="0"/>
          <w:numId w:val="17"/>
        </w:numPr>
        <w:tabs>
          <w:tab w:val="clear" w:pos="720"/>
          <w:tab w:val="left" w:pos="1080" w:leader="none"/>
        </w:tabs>
        <w:ind w:hanging="360" w:start="1080" w:end="0"/>
        <w:jc w:val="both"/>
        <w:rPr/>
      </w:pPr>
      <w:r>
        <w:rPr/>
        <w:t>Chief Financial Officer</w:t>
      </w:r>
    </w:p>
    <w:p>
      <w:pPr>
        <w:pStyle w:val="Normal"/>
        <w:numPr>
          <w:ilvl w:val="0"/>
          <w:numId w:val="17"/>
        </w:numPr>
        <w:tabs>
          <w:tab w:val="clear" w:pos="720"/>
          <w:tab w:val="left" w:pos="1080" w:leader="none"/>
        </w:tabs>
        <w:ind w:hanging="360" w:start="1080" w:end="0"/>
        <w:jc w:val="both"/>
        <w:rPr/>
      </w:pPr>
      <w:r>
        <w:rPr/>
        <w:t>Chief Credit Officer</w:t>
      </w:r>
    </w:p>
    <w:p>
      <w:pPr>
        <w:pStyle w:val="Normal"/>
        <w:numPr>
          <w:ilvl w:val="0"/>
          <w:numId w:val="17"/>
        </w:numPr>
        <w:tabs>
          <w:tab w:val="clear" w:pos="720"/>
          <w:tab w:val="left" w:pos="1080" w:leader="none"/>
        </w:tabs>
        <w:ind w:hanging="360" w:start="1080" w:end="0"/>
        <w:jc w:val="both"/>
        <w:rPr/>
      </w:pPr>
      <w:r>
        <w:rPr/>
        <w:t xml:space="preserve">Senior Retail Officer </w:t>
      </w:r>
    </w:p>
    <w:p>
      <w:pPr>
        <w:pStyle w:val="Normal"/>
        <w:numPr>
          <w:ilvl w:val="0"/>
          <w:numId w:val="17"/>
        </w:numPr>
        <w:tabs>
          <w:tab w:val="clear" w:pos="720"/>
          <w:tab w:val="left" w:pos="1080" w:leader="none"/>
        </w:tabs>
        <w:ind w:hanging="360" w:start="1080" w:end="0"/>
        <w:jc w:val="both"/>
        <w:rPr/>
      </w:pPr>
      <w:r>
        <w:rPr/>
        <w:t>Deposit Operations Manager</w:t>
      </w:r>
    </w:p>
    <w:p>
      <w:pPr>
        <w:pStyle w:val="Normal"/>
        <w:numPr>
          <w:ilvl w:val="0"/>
          <w:numId w:val="17"/>
        </w:numPr>
        <w:tabs>
          <w:tab w:val="clear" w:pos="720"/>
          <w:tab w:val="left" w:pos="1080" w:leader="none"/>
        </w:tabs>
        <w:ind w:hanging="360" w:start="1080" w:end="0"/>
        <w:jc w:val="both"/>
        <w:rPr/>
      </w:pPr>
      <w:r>
        <w:rPr/>
        <w:t>Chief Wealth Management Officer</w:t>
        <w:tab/>
        <w:tab/>
        <w:tab/>
        <w:tab/>
        <w:tab/>
        <w:t xml:space="preserve"> </w:t>
      </w:r>
    </w:p>
    <w:p>
      <w:pPr>
        <w:pStyle w:val="Normal"/>
        <w:jc w:val="both"/>
        <w:rPr>
          <w:sz w:val="20"/>
        </w:rPr>
      </w:pPr>
      <w:r>
        <w:rPr/>
        <w:tab/>
        <w:tab/>
        <w:tab/>
        <w:tab/>
        <w:tab/>
        <w:tab/>
      </w:r>
    </w:p>
    <w:p>
      <w:pPr>
        <w:pStyle w:val="Normal"/>
        <w:jc w:val="both"/>
        <w:rPr/>
      </w:pPr>
      <w:r>
        <w:rPr/>
        <w:t xml:space="preserve">Executive Management will be responsible for overseeing the development and implementation of appropriate risk measurement and reporting systems, a Contingency Funding Plan (CFP), and adequate internal control infrastructures. Executive Management will ensure the procedures and guidelines in this policy are reviewed once a calendar year during the internal audit function, with the results, key issues requiring attention and instances of non-compliance reported.  The audit process will assess the extent to which the liquidity risk management complies with both supervisory guidance and industry sound practices, taking into account the level of sophistication and complexity of the Bank’s liquidity risk profile.  Management responses will be reviewed, notated, and submitted to the Audit Committee of the Board.  </w:t>
      </w:r>
    </w:p>
    <w:p>
      <w:pPr>
        <w:pStyle w:val="Normal"/>
        <w:jc w:val="both"/>
        <w:rPr>
          <w:sz w:val="20"/>
        </w:rPr>
      </w:pPr>
      <w:r>
        <w:rPr>
          <w:sz w:val="20"/>
        </w:rPr>
      </w:r>
    </w:p>
    <w:p>
      <w:pPr>
        <w:pStyle w:val="Heading7"/>
        <w:ind w:hanging="0" w:start="0"/>
        <w:rPr>
          <w:sz w:val="24"/>
        </w:rPr>
      </w:pPr>
      <w:r>
        <w:rPr>
          <w:sz w:val="24"/>
        </w:rPr>
        <w:t>Liquidity and Funding Strategy</w:t>
      </w:r>
    </w:p>
    <w:p>
      <w:pPr>
        <w:pStyle w:val="Normal"/>
        <w:rPr>
          <w:sz w:val="24"/>
        </w:rPr>
      </w:pPr>
      <w:r>
        <w:rPr>
          <w:sz w:val="24"/>
        </w:rPr>
      </w:r>
    </w:p>
    <w:p>
      <w:pPr>
        <w:pStyle w:val="Normal"/>
        <w:jc w:val="both"/>
        <w:rPr/>
      </w:pPr>
      <w:r>
        <w:rPr/>
        <w:t>The Bank will strive to optimize the funding of the balance sheet, continually balancing the stability and cost factors of our various funding sources.  To achieve this goal, the Bank will embrace a funding strategy that provides effective diversification in the sources and uses of funding.  The Bank will consistently strive to utilize retail deposits as the primary funding source for the balance sheet, supplemented by alternative and wholesale funding sources.  The objective is a funding mix diversified across a full range of retail as well as secured and unsecured wholesales sources of funds. In general, funding concentrations (including specific retail products) will be avoided to prevent over-reliance on any one source, maintaining an appropriately diverse mix of existing and potential future funding sources. The Bank may use this variety of funding sources to manage the funding cost or balance the interest rate risk position.</w:t>
      </w:r>
    </w:p>
    <w:p>
      <w:pPr>
        <w:pStyle w:val="Normal"/>
        <w:rPr/>
      </w:pPr>
      <w:r>
        <w:rPr/>
      </w:r>
    </w:p>
    <w:p>
      <w:pPr>
        <w:pStyle w:val="Normal"/>
        <w:jc w:val="both"/>
        <w:rPr/>
      </w:pPr>
      <w:r>
        <w:rPr/>
        <w:t xml:space="preserve">These sources will include, but not be limited to retail deposit growth, Fed Funds purchased, brokered deposits, internet deposits, wholesale funding, dealer repos, and other short-term alternatives. Management will ensure access to these sources is being actively managed, monitored and tested.  Alternatively, if necessary the Bank may liquidate assets or take other measures consistent with the CFP. </w:t>
      </w:r>
    </w:p>
    <w:p>
      <w:pPr>
        <w:pStyle w:val="Normal"/>
        <w:jc w:val="both"/>
        <w:rPr>
          <w:b/>
          <w:u w:val="single"/>
        </w:rPr>
      </w:pPr>
      <w:r>
        <w:rPr>
          <w:b/>
          <w:u w:val="single"/>
        </w:rPr>
      </w:r>
    </w:p>
    <w:p>
      <w:pPr>
        <w:pStyle w:val="Heading2"/>
        <w:ind w:hanging="0" w:start="0"/>
        <w:rPr>
          <w:u w:val="none"/>
        </w:rPr>
      </w:pPr>
      <w:r>
        <w:rPr>
          <w:u w:val="none"/>
        </w:rPr>
        <w:t>Measurement Ratios for Liquidity and Risk Tolerance</w:t>
      </w:r>
    </w:p>
    <w:p>
      <w:pPr>
        <w:pStyle w:val="Normal"/>
        <w:rPr>
          <w:u w:val="none"/>
        </w:rPr>
      </w:pPr>
      <w:r>
        <w:rPr>
          <w:u w:val="none"/>
        </w:rPr>
      </w:r>
    </w:p>
    <w:p>
      <w:pPr>
        <w:pStyle w:val="Heading8"/>
        <w:numPr>
          <w:ilvl w:val="0"/>
          <w:numId w:val="19"/>
        </w:numPr>
        <w:rPr>
          <w:b/>
          <w:sz w:val="24"/>
          <w:u w:val="none"/>
        </w:rPr>
      </w:pPr>
      <w:r>
        <w:rPr>
          <w:b/>
          <w:sz w:val="24"/>
          <w:u w:val="none"/>
        </w:rPr>
        <w:t>Key Liquidity Management Targets</w:t>
      </w:r>
    </w:p>
    <w:p>
      <w:pPr>
        <w:pStyle w:val="Normal"/>
        <w:rPr>
          <w:b/>
          <w:sz w:val="24"/>
          <w:u w:val="none"/>
        </w:rPr>
      </w:pPr>
      <w:r>
        <w:rPr>
          <w:b/>
          <w:sz w:val="24"/>
          <w:u w:val="none"/>
        </w:rPr>
      </w:r>
    </w:p>
    <w:p>
      <w:pPr>
        <w:pStyle w:val="Normal"/>
        <w:jc w:val="both"/>
        <w:rPr/>
      </w:pPr>
      <w:r>
        <w:rPr/>
        <w:t xml:space="preserve">The Bank recognizes that monitoring key liquidity ratios is a critical tool for adequately managing liquidity risk.  On a monthly basis, the Bank will submit to ALCO and the Board key liquidity management ratios and compare the ratios to policy and/or minimum guidelines. Additionally, each year the Executive Management team will develop targets (guidelines) for these key ratios. </w:t>
      </w:r>
      <w:r>
        <w:rPr>
          <w:i/>
        </w:rPr>
        <w:t>These guidelines are NOT meant to be absolute but to assist ALCO and the Board of Directors in risk management and management of the bank’s financial position given current conditions and regulatory guidance, all of which change from time to time.</w:t>
      </w:r>
      <w:r>
        <w:rPr/>
        <w:t xml:space="preserve"> The Bank will use the template in </w:t>
      </w:r>
      <w:r>
        <w:rPr>
          <w:b/>
          <w:i/>
        </w:rPr>
        <w:t>Exhibit 1</w:t>
      </w:r>
      <w:r>
        <w:rPr/>
        <w:t xml:space="preserve"> Key Liquidity Management Ratios to produce the measures.</w:t>
      </w:r>
    </w:p>
    <w:p>
      <w:pPr>
        <w:pStyle w:val="Normal"/>
        <w:jc w:val="both"/>
        <w:rPr/>
      </w:pPr>
      <w:r>
        <w:rPr/>
      </w:r>
    </w:p>
    <w:p>
      <w:pPr>
        <w:pStyle w:val="Heading8"/>
        <w:numPr>
          <w:ilvl w:val="0"/>
          <w:numId w:val="19"/>
        </w:numPr>
        <w:rPr>
          <w:b/>
          <w:sz w:val="24"/>
          <w:u w:val="none"/>
        </w:rPr>
      </w:pPr>
      <w:r>
        <w:rPr>
          <w:b/>
          <w:sz w:val="24"/>
          <w:u w:val="none"/>
        </w:rPr>
        <w:t>Sources and Uses (Cash Flow)</w:t>
      </w:r>
    </w:p>
    <w:p>
      <w:pPr>
        <w:pStyle w:val="Normal"/>
        <w:rPr>
          <w:b/>
          <w:sz w:val="24"/>
          <w:u w:val="none"/>
        </w:rPr>
      </w:pPr>
      <w:r>
        <w:rPr>
          <w:b/>
          <w:sz w:val="24"/>
          <w:u w:val="none"/>
        </w:rPr>
      </w:r>
    </w:p>
    <w:p>
      <w:pPr>
        <w:pStyle w:val="Normal"/>
        <w:jc w:val="both"/>
        <w:rPr/>
      </w:pPr>
      <w:r>
        <w:rPr/>
        <w:t xml:space="preserve">The Bank recognizes that pro-forma cash flow statements are a critical tool for adequately managing liquidity risk.  On a quarterly basis, the Bank will project funding needs and sources for the next three, six and twelve-month time horizons.  The Bank will use the template in </w:t>
      </w:r>
      <w:r>
        <w:rPr>
          <w:b/>
          <w:i/>
        </w:rPr>
        <w:t>Exhibit 2</w:t>
      </w:r>
      <w:r>
        <w:rPr/>
        <w:t xml:space="preserve"> Projected Sources &amp; Uses to produce the measures, which will be used as the basis for dynamic liquidity measures, and will serve as the base scenario for the CFP and other ratios or measures defined by this policy.</w:t>
      </w:r>
    </w:p>
    <w:p>
      <w:pPr>
        <w:pStyle w:val="Normal"/>
        <w:ind w:start="360" w:end="0"/>
        <w:rPr/>
      </w:pPr>
      <w:r>
        <w:rPr/>
      </w:r>
    </w:p>
    <w:p>
      <w:pPr>
        <w:pStyle w:val="Heading8"/>
        <w:numPr>
          <w:ilvl w:val="0"/>
          <w:numId w:val="19"/>
        </w:numPr>
        <w:rPr>
          <w:b/>
          <w:sz w:val="24"/>
          <w:u w:val="none"/>
        </w:rPr>
      </w:pPr>
      <w:r>
        <w:rPr>
          <w:b/>
          <w:sz w:val="24"/>
          <w:u w:val="none"/>
        </w:rPr>
        <w:t>Primary Funding Source</w:t>
      </w:r>
    </w:p>
    <w:p>
      <w:pPr>
        <w:pStyle w:val="Normal"/>
        <w:rPr>
          <w:b/>
          <w:sz w:val="24"/>
          <w:u w:val="none"/>
        </w:rPr>
      </w:pPr>
      <w:r>
        <w:rPr>
          <w:b/>
          <w:sz w:val="24"/>
          <w:u w:val="none"/>
        </w:rPr>
      </w:r>
    </w:p>
    <w:p>
      <w:pPr>
        <w:pStyle w:val="Normal"/>
        <w:jc w:val="both"/>
        <w:rPr/>
      </w:pPr>
      <w:r>
        <w:rPr/>
        <w:t>The basis for the Bank’s liquidity management process rests on the availability of funding, referred to as Primary Funding Source.   This calculation measures the net of sources of liquidity routinely used by the Bank against the expected uses for time frames for a 30 day period.  The Bank will utilize primary funding source to policy levels without restriction.</w:t>
      </w:r>
    </w:p>
    <w:p>
      <w:pPr>
        <w:pStyle w:val="Normal"/>
        <w:rPr/>
      </w:pPr>
      <w:r>
        <w:rPr/>
      </w:r>
    </w:p>
    <w:p>
      <w:pPr>
        <w:pStyle w:val="Normal"/>
        <w:rPr/>
      </w:pPr>
      <w:r>
        <w:rPr/>
        <w:t>Operating liquidity consists of three components:</w:t>
      </w:r>
    </w:p>
    <w:p>
      <w:pPr>
        <w:pStyle w:val="Normal"/>
        <w:rPr/>
      </w:pPr>
      <w:r>
        <w:rPr/>
      </w:r>
    </w:p>
    <w:p>
      <w:pPr>
        <w:pStyle w:val="Normal"/>
        <w:numPr>
          <w:ilvl w:val="1"/>
          <w:numId w:val="19"/>
        </w:numPr>
        <w:jc w:val="both"/>
        <w:rPr/>
      </w:pPr>
      <w:r>
        <w:rPr/>
        <w:t>Cash on hand, including federal funds sold and equivalents, and may also include net securities cash flows and loan reductions.</w:t>
      </w:r>
    </w:p>
    <w:p>
      <w:pPr>
        <w:pStyle w:val="Normal"/>
        <w:jc w:val="both"/>
        <w:rPr/>
      </w:pPr>
      <w:r>
        <w:rPr/>
      </w:r>
    </w:p>
    <w:p>
      <w:pPr>
        <w:pStyle w:val="Normal"/>
        <w:numPr>
          <w:ilvl w:val="1"/>
          <w:numId w:val="19"/>
        </w:numPr>
        <w:jc w:val="both"/>
        <w:rPr/>
      </w:pPr>
      <w:r>
        <w:rPr/>
        <w:t>Uncollateralized borrowing lines, including Federal Funds Purchased and similar.  While these lines are likely to be a primary source of day to day funding, we recognize that in times of stress, these lines may not be available.  As such, these sources will not be included in any stressed ratios compliance ratios.</w:t>
      </w:r>
    </w:p>
    <w:p>
      <w:pPr>
        <w:pStyle w:val="Normal"/>
        <w:rPr/>
      </w:pPr>
      <w:r>
        <w:rPr/>
      </w:r>
    </w:p>
    <w:p>
      <w:pPr>
        <w:pStyle w:val="Normal"/>
        <w:numPr>
          <w:ilvl w:val="1"/>
          <w:numId w:val="19"/>
        </w:numPr>
        <w:jc w:val="both"/>
        <w:rPr/>
      </w:pPr>
      <w:r>
        <w:rPr/>
        <w:t>Total unused collateralized lines of credit (with the FHLB, Federal Discount Window, and other borrowing sources) which will be routinely used as funding sources, net of any outstanding uncollateralized borrowings due.</w:t>
      </w:r>
    </w:p>
    <w:p>
      <w:pPr>
        <w:pStyle w:val="Normal"/>
        <w:jc w:val="both"/>
        <w:rPr/>
      </w:pPr>
      <w:r>
        <w:rPr/>
      </w:r>
    </w:p>
    <w:p>
      <w:pPr>
        <w:pStyle w:val="Normal"/>
        <w:jc w:val="both"/>
        <w:rPr/>
      </w:pPr>
      <w:r>
        <w:rPr/>
        <w:t xml:space="preserve">The primary funding sources available for any forecast time period should be at least 10% of the Bank’s assets, with compliance reflected in </w:t>
      </w:r>
      <w:r>
        <w:rPr>
          <w:b/>
          <w:i/>
        </w:rPr>
        <w:t>Exhibit 3</w:t>
      </w:r>
      <w:r>
        <w:rPr/>
        <w:t xml:space="preserve"> Cash Flow Model.  The Bank will calculate primary funding sources monthly.</w:t>
      </w:r>
    </w:p>
    <w:p>
      <w:pPr>
        <w:pStyle w:val="Normal"/>
        <w:jc w:val="both"/>
        <w:rPr/>
      </w:pPr>
      <w:r>
        <w:rPr/>
      </w:r>
    </w:p>
    <w:p>
      <w:pPr>
        <w:pStyle w:val="Heading8"/>
        <w:numPr>
          <w:ilvl w:val="0"/>
          <w:numId w:val="19"/>
        </w:numPr>
        <w:rPr>
          <w:b/>
          <w:sz w:val="24"/>
          <w:u w:val="none"/>
        </w:rPr>
      </w:pPr>
      <w:r>
        <w:rPr>
          <w:b/>
          <w:sz w:val="24"/>
          <w:u w:val="none"/>
        </w:rPr>
        <w:t>Secondary Source Analysis</w:t>
      </w:r>
    </w:p>
    <w:p>
      <w:pPr>
        <w:pStyle w:val="Normal"/>
        <w:rPr>
          <w:b/>
          <w:sz w:val="24"/>
          <w:u w:val="none"/>
        </w:rPr>
      </w:pPr>
      <w:r>
        <w:rPr>
          <w:b/>
          <w:sz w:val="24"/>
          <w:u w:val="none"/>
        </w:rPr>
      </w:r>
    </w:p>
    <w:p>
      <w:pPr>
        <w:pStyle w:val="Normal"/>
        <w:jc w:val="both"/>
        <w:rPr/>
      </w:pPr>
      <w:r>
        <w:rPr/>
        <w:t>While the Bank will routinely utilize primary funding sources for daily funding needs, the Bank will also maintain secondary or contingent sources of liquidity.  The calculation for secondary sources estimates the amount of funds the Bank can raise in the allocated time frames, subject to policy allocation limitations.  The sources are designated as contingent due to the amount of time needed to access, or an inconsistency with the Bank’s desired strategic funding mix.  As such, the contingent sources will be utilized at the direction of the ALCO.</w:t>
      </w:r>
    </w:p>
    <w:p>
      <w:pPr>
        <w:pStyle w:val="Normal"/>
        <w:rPr/>
      </w:pPr>
      <w:r>
        <w:rPr/>
      </w:r>
    </w:p>
    <w:p>
      <w:pPr>
        <w:pStyle w:val="Normal"/>
        <w:rPr/>
      </w:pPr>
      <w:r>
        <w:rPr/>
      </w:r>
    </w:p>
    <w:p>
      <w:pPr>
        <w:pStyle w:val="Normal"/>
        <w:rPr/>
      </w:pPr>
      <w:r>
        <w:rPr/>
      </w:r>
    </w:p>
    <w:p>
      <w:pPr>
        <w:pStyle w:val="Normal"/>
        <w:rPr/>
      </w:pPr>
      <w:r>
        <w:rPr/>
      </w:r>
    </w:p>
    <w:p>
      <w:pPr>
        <w:pStyle w:val="Normal"/>
        <w:rPr/>
      </w:pPr>
      <w:r>
        <w:rPr/>
        <w:t>Contingent or Secondary liquidity may consist of these components:</w:t>
      </w:r>
    </w:p>
    <w:p>
      <w:pPr>
        <w:pStyle w:val="Normal"/>
        <w:rPr/>
      </w:pPr>
      <w:r>
        <w:rPr/>
      </w:r>
    </w:p>
    <w:p>
      <w:pPr>
        <w:pStyle w:val="Normal"/>
        <w:numPr>
          <w:ilvl w:val="1"/>
          <w:numId w:val="2"/>
        </w:numPr>
        <w:jc w:val="both"/>
        <w:rPr/>
      </w:pPr>
      <w:r>
        <w:rPr/>
        <w:t>Brokered timed deposits, subject to allocation limitations of this policy.</w:t>
      </w:r>
    </w:p>
    <w:p>
      <w:pPr>
        <w:pStyle w:val="Normal"/>
        <w:jc w:val="both"/>
        <w:rPr/>
      </w:pPr>
      <w:r>
        <w:rPr/>
      </w:r>
    </w:p>
    <w:p>
      <w:pPr>
        <w:pStyle w:val="Normal"/>
        <w:numPr>
          <w:ilvl w:val="1"/>
          <w:numId w:val="2"/>
        </w:numPr>
        <w:jc w:val="both"/>
        <w:rPr/>
      </w:pPr>
      <w:r>
        <w:rPr/>
        <w:t>Internet deposits including Quick Rate and/or CDARS.</w:t>
      </w:r>
    </w:p>
    <w:p>
      <w:pPr>
        <w:pStyle w:val="Normal"/>
        <w:jc w:val="both"/>
        <w:rPr/>
      </w:pPr>
      <w:r>
        <w:rPr/>
      </w:r>
    </w:p>
    <w:p>
      <w:pPr>
        <w:pStyle w:val="Normal"/>
        <w:numPr>
          <w:ilvl w:val="1"/>
          <w:numId w:val="2"/>
        </w:numPr>
        <w:jc w:val="both"/>
        <w:rPr/>
      </w:pPr>
      <w:r>
        <w:rPr/>
        <w:t xml:space="preserve">Total unused collateralized lines of credit (with the FHLB, Federal Discount Window, and other borrowing sources) which would not be routinely used as funding sources.  This includes any over-collateralized balances on current borrowings, and additional FHLB capacity available by purchase of additional stock. </w:t>
      </w:r>
    </w:p>
    <w:p>
      <w:pPr>
        <w:pStyle w:val="Normal"/>
        <w:rPr/>
      </w:pPr>
      <w:r>
        <w:rPr/>
      </w:r>
    </w:p>
    <w:p>
      <w:pPr>
        <w:pStyle w:val="Normal"/>
        <w:numPr>
          <w:ilvl w:val="1"/>
          <w:numId w:val="2"/>
        </w:numPr>
        <w:rPr/>
      </w:pPr>
      <w:r>
        <w:rPr/>
        <w:t>The market value of securities designated as available for sale, not included in operating liquidity, and other assets available for sale.</w:t>
      </w:r>
    </w:p>
    <w:p>
      <w:pPr>
        <w:pStyle w:val="Normal"/>
        <w:jc w:val="both"/>
        <w:rPr/>
      </w:pPr>
      <w:r>
        <w:rPr/>
      </w:r>
    </w:p>
    <w:p>
      <w:pPr>
        <w:pStyle w:val="Normal"/>
        <w:jc w:val="both"/>
        <w:rPr/>
      </w:pPr>
      <w:r>
        <w:rPr/>
        <w:t xml:space="preserve">In combination, the primary funding sources and secondary funding sources of the Bank represent the total liquidity position for the time frame specified.  The Bank’s total liquidity position will be maintained at 20% of assets. Compliance is reflected in </w:t>
      </w:r>
      <w:r>
        <w:rPr>
          <w:b/>
          <w:i/>
        </w:rPr>
        <w:t>Exhibit 3</w:t>
      </w:r>
      <w:r>
        <w:rPr/>
        <w:t xml:space="preserve"> Cash Flow Model.  The Bank will calculate total liquidity monthly.</w:t>
      </w:r>
    </w:p>
    <w:p>
      <w:pPr>
        <w:pStyle w:val="Normal"/>
        <w:jc w:val="both"/>
        <w:rPr/>
      </w:pPr>
      <w:r>
        <w:rPr/>
      </w:r>
    </w:p>
    <w:p>
      <w:pPr>
        <w:pStyle w:val="Normal"/>
        <w:numPr>
          <w:ilvl w:val="0"/>
          <w:numId w:val="19"/>
        </w:numPr>
        <w:jc w:val="both"/>
        <w:rPr>
          <w:b/>
        </w:rPr>
      </w:pPr>
      <w:r>
        <w:rPr>
          <w:b/>
        </w:rPr>
        <w:t xml:space="preserve">Additional Liquidity </w:t>
      </w:r>
    </w:p>
    <w:p>
      <w:pPr>
        <w:pStyle w:val="Normal"/>
        <w:jc w:val="both"/>
        <w:rPr>
          <w:b/>
        </w:rPr>
      </w:pPr>
      <w:r>
        <w:rPr>
          <w:b/>
        </w:rPr>
      </w:r>
    </w:p>
    <w:p>
      <w:pPr>
        <w:pStyle w:val="Normal"/>
        <w:jc w:val="both"/>
        <w:rPr/>
      </w:pPr>
      <w:r>
        <w:rPr/>
        <w:t>Senior management has determined that the participation of our institution in the Certificate of Deposit Account Registry Service</w:t>
      </w:r>
      <w:r>
        <w:rPr>
          <w:i/>
          <w:sz w:val="22"/>
          <w:szCs w:val="22"/>
          <w:vertAlign w:val="superscript"/>
        </w:rPr>
        <w:t>®</w:t>
      </w:r>
      <w:r>
        <w:rPr/>
        <w:t>, or CDARS</w:t>
      </w:r>
      <w:r>
        <w:rPr>
          <w:i/>
          <w:sz w:val="22"/>
          <w:szCs w:val="22"/>
          <w:vertAlign w:val="superscript"/>
        </w:rPr>
        <w:t>®</w:t>
      </w:r>
      <w:r>
        <w:rPr/>
        <w:t xml:space="preserve"> and ICS</w:t>
      </w:r>
      <w:r>
        <w:rPr>
          <w:i/>
          <w:sz w:val="22"/>
          <w:szCs w:val="22"/>
          <w:vertAlign w:val="superscript"/>
        </w:rPr>
        <w:t>®</w:t>
      </w:r>
      <w:r>
        <w:rPr/>
        <w:t>, or the Insured Cash Sweep</w:t>
      </w:r>
      <w:r>
        <w:rPr>
          <w:i/>
          <w:sz w:val="22"/>
          <w:szCs w:val="22"/>
          <w:vertAlign w:val="superscript"/>
        </w:rPr>
        <w:t>®</w:t>
      </w:r>
      <w:r>
        <w:rPr/>
        <w:t xml:space="preserve"> service offered by Promontory Interfinancial Network is desirable and, accordingly, has joined the  Network. Through CDARS and ICS, the bank can provide our customers with access to multi-million-dollar FDIC insurance beyond the standard FDIC insurance maximum of $250,000. ICS permits customers to earn interest on funds placed into demand deposit accounts and/or money market deposit accounts.  ICS also provides our customers with the flexibility to manage their liquidity needs.  Our customers can choose to place funds using an ICS demand option, which provides liquidity by allowing unlimited program withdrawals of funds, or they can choose the ICS savings option, which may provide a higher interest rate and allows up to six program withdrawals per month. This permits our institution to attract and retain large deposits from businesses, non-profit organizations, individuals, local governmental entities and other safety-conscious customers, and to reduce collateralization costs.  </w:t>
      </w:r>
    </w:p>
    <w:p>
      <w:pPr>
        <w:pStyle w:val="Normal"/>
        <w:jc w:val="both"/>
        <w:rPr/>
      </w:pPr>
      <w:r>
        <w:rPr/>
      </w:r>
    </w:p>
    <w:p>
      <w:pPr>
        <w:pStyle w:val="Normal"/>
        <w:jc w:val="both"/>
        <w:rPr>
          <w:color w:val="FF0000"/>
        </w:rPr>
      </w:pPr>
      <w:r>
        <w:rPr/>
        <w:t>We consider CDARS and ICS a safe and important source of funding for our institution.  Although CDs issued through CDARS and ICS are classified as “brokered deposits” on our Call Report, our CDARS</w:t>
      </w:r>
      <w:r>
        <w:rPr>
          <w:i/>
          <w:sz w:val="22"/>
          <w:szCs w:val="22"/>
          <w:vertAlign w:val="superscript"/>
        </w:rPr>
        <w:t>®</w:t>
      </w:r>
      <w:r>
        <w:rPr/>
        <w:t xml:space="preserve"> Reciprocal</w:t>
      </w:r>
      <w:r>
        <w:rPr>
          <w:sz w:val="22"/>
          <w:szCs w:val="22"/>
          <w:vertAlign w:val="superscript"/>
        </w:rPr>
        <w:t>SM</w:t>
      </w:r>
      <w:r>
        <w:rPr/>
        <w:t xml:space="preserve"> and ICS deposits are generally far less volatile than traditional brokered deposits. Traditional brokered deposits are usually out-of-market deposits that are highly sensitive to interest rates on CDs. In contrast, we use CDARS and ICS primarily to obtain deposits from customers with whom our institution has, or wishes to have, a direct and ongoing relationship. As a result, although for regulatory purposes all CDARS and ICS placements are considered “brokered,” we look to the underlying volatility of each CDARS deposit when determining our liability risk profile.  When CDARS-generated and ICS generated deposits are obtained from customers with whom our institution has a direct relationship they are not subject to internal discretionary limitations on volume that we normally would impose on traditional brokered deposits. </w:t>
      </w:r>
    </w:p>
    <w:p>
      <w:pPr>
        <w:pStyle w:val="Normal"/>
        <w:jc w:val="both"/>
        <w:rPr>
          <w:color w:val="FF0000"/>
        </w:rPr>
      </w:pPr>
      <w:r>
        <w:rPr>
          <w:color w:val="FF0000"/>
        </w:rPr>
      </w:r>
    </w:p>
    <w:p>
      <w:pPr>
        <w:pStyle w:val="Normal"/>
        <w:jc w:val="both"/>
        <w:rPr/>
      </w:pPr>
      <w:r>
        <w:rPr/>
        <w:t>ICS compares favorably to other alternatives, particularly repo sweeps and collateralized deposits, because with ICS, our institution can save time by reducing ongoing collateralization and tracking burdens and preserve our asset liquidity.</w:t>
      </w:r>
    </w:p>
    <w:p>
      <w:pPr>
        <w:pStyle w:val="Normal"/>
        <w:jc w:val="both"/>
        <w:rPr/>
      </w:pPr>
      <w:r>
        <w:rPr/>
      </w:r>
    </w:p>
    <w:p>
      <w:pPr>
        <w:pStyle w:val="Normal"/>
        <w:jc w:val="both"/>
        <w:rPr/>
      </w:pPr>
      <w:r>
        <w:rPr/>
        <w:t>With ICS, customers’ funds are “swept” out of transaction accounts at our institution into demand deposit accounts and/or money market deposit accounts (at other ICS Network banks) that earn interest.  ICS offers reciprocal funding—matching funds are sent back to our institution—and full ownership of the customer relationship remains with our bank.  The service enables our institution to keep the full amount of customer funds on balance sheet and to independently set the rates offered to our customers.  However, the ALCO committee will monitor our use of the ICS service on a regular basis to observe the total volume of ICS deposits in relation to our total liabilities.</w:t>
      </w:r>
    </w:p>
    <w:p>
      <w:pPr>
        <w:pStyle w:val="Normal"/>
        <w:jc w:val="both"/>
        <w:rPr/>
      </w:pPr>
      <w:r>
        <w:rPr/>
        <w:br/>
        <w:t xml:space="preserve">Of note, with CDARS, we have the option to keep deposits on our balance sheet or, with customer permission, to turn around and sell them (just the funding, not the relationship) to other members of the Promontory Network in exchange for fee income. Moreover, these deposits can create an off-balance sheet source of potential liquidity if reinvested at maturity (CDARS reinvestment rates are approximately 80%). Thus, CDARS can serve not only as a deposit-gathering tool, but also as a liquidity management tool.  </w:t>
      </w:r>
    </w:p>
    <w:p>
      <w:pPr>
        <w:pStyle w:val="Normal"/>
        <w:jc w:val="both"/>
        <w:rPr/>
      </w:pPr>
      <w:r>
        <w:rPr/>
      </w:r>
    </w:p>
    <w:p>
      <w:pPr>
        <w:pStyle w:val="Normal"/>
        <w:jc w:val="both"/>
        <w:rPr/>
      </w:pPr>
      <w:r>
        <w:rPr/>
        <w:t>CDARS also provides our bank with an option to invest excess liquidity for our own portfolio. We have the ability to ladder CDARS</w:t>
      </w:r>
      <w:r>
        <w:rPr>
          <w:i/>
          <w:sz w:val="22"/>
          <w:szCs w:val="22"/>
          <w:vertAlign w:val="superscript"/>
        </w:rPr>
        <w:t>®</w:t>
      </w:r>
      <w:r>
        <w:rPr/>
        <w:t xml:space="preserve"> One-Way Sell</w:t>
      </w:r>
      <w:r>
        <w:rPr>
          <w:sz w:val="18"/>
          <w:szCs w:val="18"/>
          <w:vertAlign w:val="superscript"/>
        </w:rPr>
        <w:t>SM</w:t>
      </w:r>
      <w:r>
        <w:rPr/>
        <w:t xml:space="preserve"> in short-, intermediate and long-term horizons based upon the bank’s cash flow needs. The investment rates should be compared against our other alternatives, including Fed Funds sold, U.S. Treasury, and Agency securities. We classify these assets as held-to-maturity investments for accounting and regulatory reporting.</w:t>
      </w:r>
    </w:p>
    <w:p>
      <w:pPr>
        <w:pStyle w:val="Normal"/>
        <w:jc w:val="both"/>
        <w:rPr/>
      </w:pPr>
      <w:r>
        <w:rPr/>
      </w:r>
    </w:p>
    <w:p>
      <w:pPr>
        <w:pStyle w:val="Normal"/>
        <w:jc w:val="both"/>
        <w:rPr/>
      </w:pPr>
      <w:r>
        <w:rPr/>
        <w:t>The interest rates and terms of maturity of CDARS and ICS deposits will be tracked and monitored like any other deposits</w:t>
      </w:r>
    </w:p>
    <w:p>
      <w:pPr>
        <w:pStyle w:val="Normal"/>
        <w:jc w:val="both"/>
        <w:rPr/>
      </w:pPr>
      <w:r>
        <w:rPr>
          <w:rFonts w:cs="Arial" w:ascii="Arial" w:hAnsi="Arial"/>
          <w:color w:val="000080"/>
        </w:rPr>
        <w:br/>
      </w:r>
      <w:r>
        <w:rPr/>
        <w:t>Additionally, subject to certain limits, our bank can use CDARS</w:t>
      </w:r>
      <w:r>
        <w:rPr>
          <w:i/>
          <w:sz w:val="22"/>
          <w:szCs w:val="22"/>
          <w:vertAlign w:val="superscript"/>
        </w:rPr>
        <w:t>®</w:t>
      </w:r>
      <w:r>
        <w:rPr/>
        <w:t xml:space="preserve"> One-Way Buy</w:t>
      </w:r>
      <w:r>
        <w:rPr>
          <w:i/>
          <w:sz w:val="22"/>
          <w:szCs w:val="22"/>
          <w:vertAlign w:val="superscript"/>
        </w:rPr>
        <w:t>®</w:t>
      </w:r>
      <w:r>
        <w:rPr/>
        <w:t xml:space="preserve"> to purchase cost-effective funding without collateralization (and in lieu of generating funds through “traditional” brokered CDs or the Federal Home Loan Bank). These funds are accessed through a weekly auction. The auction typically takes place on Wednesdays with next-day settlement. There are seven maturities available ranging from 4 weeks to 5 years. If we are allotted funds in the auction, we incur no transaction fees or commissions. Although the process to compete for these deposits is different from the process for traditional brokered CDs, they are still considered brokered for Call Report purposes and – unlike amounts placed through CDARS Reciprocal – are subject to discretionary limitations on volume that we normally would impose on traditional brokered deposits. In this manner, CDARS can provide our institution with another funding option.</w:t>
      </w:r>
    </w:p>
    <w:p>
      <w:pPr>
        <w:pStyle w:val="Normal"/>
        <w:jc w:val="both"/>
        <w:rPr/>
      </w:pPr>
      <w:r>
        <w:rPr/>
      </w:r>
    </w:p>
    <w:p>
      <w:pPr>
        <w:pStyle w:val="Heading8"/>
        <w:ind w:hanging="0" w:start="360" w:end="0"/>
        <w:rPr>
          <w:sz w:val="24"/>
        </w:rPr>
      </w:pPr>
      <w:r>
        <w:rPr>
          <w:b/>
          <w:sz w:val="24"/>
          <w:u w:val="none"/>
        </w:rPr>
        <w:t>F. Funding Mix</w:t>
      </w:r>
    </w:p>
    <w:p>
      <w:pPr>
        <w:pStyle w:val="Normal"/>
        <w:rPr>
          <w:sz w:val="24"/>
        </w:rPr>
      </w:pPr>
      <w:r>
        <w:rPr>
          <w:sz w:val="24"/>
        </w:rPr>
      </w:r>
    </w:p>
    <w:p>
      <w:pPr>
        <w:pStyle w:val="Normal"/>
        <w:jc w:val="both"/>
        <w:rPr/>
      </w:pPr>
      <w:r>
        <w:rPr/>
        <w:t>The Bank will continually monitor its total funding sources and the mix between core deposits and alternative sources. Core deposits are defined in the Uniform Bank Performance Report (UBPR) User Guide as the sum of demand deposits, NOW accounts, MMDA savings, other savings deposits, and time deposits under $250,000. Core deposits may be utilized without restriction.</w:t>
      </w:r>
    </w:p>
    <w:p>
      <w:pPr>
        <w:pStyle w:val="Header"/>
        <w:tabs>
          <w:tab w:val="clear" w:pos="4320"/>
          <w:tab w:val="clear" w:pos="8640"/>
        </w:tabs>
        <w:jc w:val="both"/>
        <w:rPr/>
      </w:pPr>
      <w:r>
        <w:rPr/>
      </w:r>
    </w:p>
    <w:p>
      <w:pPr>
        <w:pStyle w:val="Normal"/>
        <w:jc w:val="both"/>
        <w:rPr/>
      </w:pPr>
      <w:r>
        <w:rPr/>
        <w:t>Alternative funding sources will be defined as items not classified as core deposits according to this policy, including but not limited to the following: public funds, brokered deposits, internet deposits, FHLB advances, and other wholesale borrowings.</w:t>
      </w:r>
    </w:p>
    <w:p>
      <w:pPr>
        <w:pStyle w:val="Normal"/>
        <w:jc w:val="both"/>
        <w:rPr/>
      </w:pPr>
      <w:r>
        <w:rPr/>
      </w:r>
    </w:p>
    <w:p>
      <w:pPr>
        <w:pStyle w:val="Normal"/>
        <w:jc w:val="both"/>
        <w:rPr/>
      </w:pPr>
      <w:r>
        <w:rPr/>
        <w:t>Alternative funding sources excluding retail originated time deposits over $250,000 should not be less than 10% of the Bank’s assets and not exceed 40% of the Bank’s assets.  The exposure to any single alternative funding source is limited by this policy, and will be monitored for each reporting period in the key liquidity management report. Individual limitations of alternative funding are:</w:t>
      </w:r>
    </w:p>
    <w:p>
      <w:pPr>
        <w:pStyle w:val="Normal"/>
        <w:jc w:val="both"/>
        <w:rPr/>
      </w:pPr>
      <w:r>
        <w:rPr/>
        <w:tab/>
      </w:r>
    </w:p>
    <w:p>
      <w:pPr>
        <w:pStyle w:val="Normal"/>
        <w:numPr>
          <w:ilvl w:val="0"/>
          <w:numId w:val="24"/>
        </w:numPr>
        <w:rPr/>
      </w:pPr>
      <w:r>
        <w:rPr/>
        <w:t>Total Term Wholesale Funds</w:t>
        <w:tab/>
        <w:tab/>
        <w:tab/>
        <w:t>30% of assets</w:t>
      </w:r>
    </w:p>
    <w:p>
      <w:pPr>
        <w:pStyle w:val="Normal"/>
        <w:numPr>
          <w:ilvl w:val="0"/>
          <w:numId w:val="24"/>
        </w:numPr>
        <w:rPr/>
      </w:pPr>
      <w:r>
        <w:rPr/>
        <w:t>Brokered deposits</w:t>
        <w:tab/>
        <w:tab/>
        <w:tab/>
        <w:tab/>
        <w:t>15% of assets</w:t>
      </w:r>
    </w:p>
    <w:p>
      <w:pPr>
        <w:pStyle w:val="Normal"/>
        <w:numPr>
          <w:ilvl w:val="0"/>
          <w:numId w:val="24"/>
        </w:numPr>
        <w:rPr/>
      </w:pPr>
      <w:r>
        <w:rPr/>
        <w:t>FHLB advances</w:t>
        <w:tab/>
        <w:tab/>
        <w:tab/>
        <w:tab/>
        <w:t>15% of assets</w:t>
      </w:r>
    </w:p>
    <w:p>
      <w:pPr>
        <w:pStyle w:val="Normal"/>
        <w:numPr>
          <w:ilvl w:val="0"/>
          <w:numId w:val="24"/>
        </w:numPr>
        <w:rPr/>
      </w:pPr>
      <w:r>
        <w:rPr/>
        <w:t>Public Funding</w:t>
        <w:tab/>
        <w:tab/>
        <w:tab/>
        <w:tab/>
        <w:t>15% of assets</w:t>
      </w:r>
    </w:p>
    <w:p>
      <w:pPr>
        <w:pStyle w:val="Normal"/>
        <w:rPr/>
      </w:pPr>
      <w:r>
        <w:rPr/>
      </w:r>
    </w:p>
    <w:p>
      <w:pPr>
        <w:pStyle w:val="Normal"/>
        <w:jc w:val="both"/>
        <w:rPr/>
      </w:pPr>
      <w:r>
        <w:rPr/>
        <w:t xml:space="preserve">In times of stressed liquidity, management decision or activities outlined in the CFP may produce ratios that are in violation of these limits.  In such an event, management will address the funding mix and evaluate opportunities to return to compliance at each meeting of the ALCO. Compliance is outlined in </w:t>
      </w:r>
      <w:r>
        <w:rPr>
          <w:b/>
          <w:i/>
        </w:rPr>
        <w:t>Exhibit 1</w:t>
      </w:r>
      <w:r>
        <w:rPr/>
        <w:t xml:space="preserve"> Key Liquidity Management Ratios.</w:t>
      </w:r>
    </w:p>
    <w:p>
      <w:pPr>
        <w:pStyle w:val="Normal"/>
        <w:rPr/>
      </w:pPr>
      <w:r>
        <w:rPr/>
      </w:r>
    </w:p>
    <w:p>
      <w:pPr>
        <w:pStyle w:val="Heading5"/>
        <w:ind w:hanging="0" w:start="0"/>
        <w:rPr>
          <w:u w:val="none"/>
        </w:rPr>
      </w:pPr>
      <w:r>
        <w:rPr>
          <w:u w:val="none"/>
        </w:rPr>
        <w:t>Reporting Procedures and Corrective Action</w:t>
      </w:r>
    </w:p>
    <w:p>
      <w:pPr>
        <w:pStyle w:val="Normal"/>
        <w:rPr>
          <w:u w:val="none"/>
        </w:rPr>
      </w:pPr>
      <w:r>
        <w:rPr>
          <w:u w:val="none"/>
        </w:rPr>
      </w:r>
    </w:p>
    <w:p>
      <w:pPr>
        <w:pStyle w:val="Normal"/>
        <w:jc w:val="both"/>
        <w:rPr/>
      </w:pPr>
      <w:r>
        <w:rPr/>
        <w:t xml:space="preserve">The computed ratios described will be compared to the policy limits and reported to ALCO and the Board monthly. Such reporting will include, but is not limited to calculation of operating liquidity, primary funding sources, availability of secondary sources, forecast sources and uses, funding gaps, and other ratios as defined in this policy. In the event that any or all of the liquidity ratios are outside policy limits, the Board will initiate a plan that should prevent the policy exceptions from becoming an actual liquidity problem. </w:t>
      </w:r>
    </w:p>
    <w:p>
      <w:pPr>
        <w:pStyle w:val="BodyText"/>
        <w:rPr/>
      </w:pPr>
      <w:r>
        <w:rPr/>
      </w:r>
    </w:p>
    <w:p>
      <w:pPr>
        <w:pStyle w:val="Heading8"/>
        <w:ind w:hanging="0" w:start="0"/>
        <w:rPr>
          <w:b/>
          <w:sz w:val="24"/>
          <w:u w:val="none"/>
        </w:rPr>
      </w:pPr>
      <w:r>
        <w:rPr>
          <w:b/>
          <w:sz w:val="24"/>
          <w:u w:val="none"/>
        </w:rPr>
        <w:t>Early Warning Systems (EWS)</w:t>
      </w:r>
    </w:p>
    <w:p>
      <w:pPr>
        <w:pStyle w:val="Normal"/>
        <w:rPr>
          <w:b/>
          <w:sz w:val="24"/>
          <w:u w:val="none"/>
        </w:rPr>
      </w:pPr>
      <w:r>
        <w:rPr>
          <w:b/>
          <w:sz w:val="24"/>
          <w:u w:val="none"/>
        </w:rPr>
      </w:r>
    </w:p>
    <w:p>
      <w:pPr>
        <w:pStyle w:val="Normal"/>
        <w:jc w:val="both"/>
        <w:rPr/>
      </w:pPr>
      <w:r>
        <w:rPr/>
        <w:t>Management will monitor for potential liquidity stress events by using early-warning indicators and event triggers. These events will be monitored using the Key Liquidity Management Ratio quarterly report (Exhibit 8), Credit Quality report (Exhibit 9), Regulatory Capital report (Exhibit 10), Liquidity Ratio report (Exhibit 11) and Alternate Funding Sources plus triggers (Exhibit 12).  The early recognition of potential events allows the Bank to position itself into progressive states of readiness as an event evolves.  These indicators include both subjective measures such as negative publicity or decreased credit quality and financial condition, and other objective measures and ratios deemed to be key indications of stress. While no liquidity measurement system can address all possibilities, the measures included in the EWS are well understood by the Bank, and are tailored to our specific liquidity risk profile.  Together, they provide a framework to report and communicate within the Bank and to outside parties.</w:t>
      </w:r>
    </w:p>
    <w:p>
      <w:pPr>
        <w:pStyle w:val="Normal"/>
        <w:jc w:val="both"/>
        <w:rPr/>
      </w:pPr>
      <w:r>
        <w:rPr/>
      </w:r>
    </w:p>
    <w:p>
      <w:pPr>
        <w:pStyle w:val="Normal"/>
        <w:jc w:val="both"/>
        <w:rPr/>
      </w:pPr>
      <w:r>
        <w:rPr/>
        <w:t xml:space="preserve">Specific conditions are being established to alert management to potential funding problems that could surface in the future.  If any of the following conditions exist, it is essential for the ALCO Committee to exercise judgment and determine what if any action would be necessary as a result of the specific trigger.  ALCO Committee discussion and action steps (if any) will be documented in the minutes of ALCO and communicated to the Board of Directors. </w:t>
      </w:r>
    </w:p>
    <w:p>
      <w:pPr>
        <w:pStyle w:val="Normal"/>
        <w:rPr>
          <w:b/>
        </w:rPr>
      </w:pPr>
      <w:r>
        <w:rPr>
          <w:b/>
        </w:rPr>
      </w:r>
    </w:p>
    <w:p>
      <w:pPr>
        <w:pStyle w:val="ListParagraph"/>
        <w:numPr>
          <w:ilvl w:val="1"/>
          <w:numId w:val="16"/>
        </w:numPr>
        <w:rPr>
          <w:b/>
        </w:rPr>
      </w:pPr>
      <w:r>
        <w:rPr/>
        <w:t xml:space="preserve">Declining Credit Quality will have the quickest and most severe impact on liquidity.  Out-of-market suppliers of funding will withdraw that funding should the financial strength of the Bank deteriorate.  The Bank will monitor the following indications of credit quality:                </w:t>
      </w:r>
    </w:p>
    <w:p>
      <w:pPr>
        <w:pStyle w:val="ListParagraph"/>
        <w:numPr>
          <w:ilvl w:val="0"/>
          <w:numId w:val="9"/>
        </w:numPr>
        <w:rPr>
          <w:b/>
        </w:rPr>
      </w:pPr>
      <w:r>
        <w:rPr/>
        <w:t>Three consecutive months of past due loans (60 days or greater), not including classified loans exceeding 5% of total loans</w:t>
      </w:r>
    </w:p>
    <w:p>
      <w:pPr>
        <w:pStyle w:val="ListParagraph"/>
        <w:numPr>
          <w:ilvl w:val="0"/>
          <w:numId w:val="9"/>
        </w:numPr>
        <w:rPr>
          <w:b/>
        </w:rPr>
      </w:pPr>
      <w:r>
        <w:rPr/>
        <w:t>Classified loans (substandard, doubtful and non-accrual) exceeding 10% of total loans</w:t>
      </w:r>
    </w:p>
    <w:p>
      <w:pPr>
        <w:pStyle w:val="ListParagraph"/>
        <w:rPr>
          <w:b/>
        </w:rPr>
      </w:pPr>
      <w:r>
        <w:rPr>
          <w:b/>
        </w:rPr>
      </w:r>
    </w:p>
    <w:p>
      <w:pPr>
        <w:pStyle w:val="ListParagraph"/>
        <w:ind w:hanging="360" w:start="1440" w:end="0"/>
        <w:rPr/>
      </w:pPr>
      <w:r>
        <w:rPr/>
        <w:t>2. Unanticipated declines in current funding balances may indicate a future funding    problem. The Bank will monitor balances in each deposit and borrowings category for the following changes:</w:t>
      </w:r>
      <w:r>
        <w:rPr>
          <w:b/>
          <w:szCs w:val="24"/>
        </w:rPr>
        <w:t xml:space="preserve">                                                                                                                                                                      </w:t>
      </w:r>
    </w:p>
    <w:p>
      <w:pPr>
        <w:pStyle w:val="ListParagraph"/>
        <w:numPr>
          <w:ilvl w:val="0"/>
          <w:numId w:val="12"/>
        </w:numPr>
        <w:rPr/>
      </w:pPr>
      <w:r>
        <w:rPr/>
        <w:t>A decline in balances for any single funding category that exceeds 10% of the balances in that category over a thirty day period</w:t>
      </w:r>
    </w:p>
    <w:p>
      <w:pPr>
        <w:pStyle w:val="ListParagraph"/>
        <w:numPr>
          <w:ilvl w:val="0"/>
          <w:numId w:val="12"/>
        </w:numPr>
        <w:rPr/>
      </w:pPr>
      <w:r>
        <w:rPr/>
        <w:t>The Bank is no longer eligible to obtain short-term borrowings from any single source.  This would include the loss of a Fed funds line from current sources.</w:t>
      </w:r>
    </w:p>
    <w:p>
      <w:pPr>
        <w:pStyle w:val="ListParagraph"/>
        <w:ind w:start="1440" w:end="0"/>
        <w:rPr/>
      </w:pPr>
      <w:r>
        <w:rPr/>
      </w:r>
    </w:p>
    <w:p>
      <w:pPr>
        <w:pStyle w:val="ListParagraph"/>
        <w:ind w:hanging="360" w:start="1440" w:end="0"/>
        <w:rPr>
          <w:b/>
        </w:rPr>
      </w:pPr>
      <w:r>
        <w:rPr/>
        <w:t>3.</w:t>
        <w:tab/>
        <w:t>A significant change in the local economic environment such as the closing of a        major employer resulting in the loss of jobs in the Bank’s primary market.</w:t>
      </w:r>
    </w:p>
    <w:p>
      <w:pPr>
        <w:pStyle w:val="ListParagraph"/>
        <w:rPr>
          <w:b/>
        </w:rPr>
      </w:pPr>
      <w:r>
        <w:rPr>
          <w:b/>
        </w:rPr>
      </w:r>
    </w:p>
    <w:p>
      <w:pPr>
        <w:pStyle w:val="ListParagraph"/>
        <w:numPr>
          <w:ilvl w:val="1"/>
          <w:numId w:val="2"/>
        </w:numPr>
        <w:rPr/>
      </w:pPr>
      <w:r>
        <w:rPr/>
        <w:t>A change in the expected level of the next 12 months earnings of the Bank totaling more than a 50% percent decline, or a deviation from expected earnings of the Bank by more than 50% for six consecutive months.</w:t>
      </w:r>
    </w:p>
    <w:p>
      <w:pPr>
        <w:pStyle w:val="ListParagraph"/>
        <w:rPr/>
      </w:pPr>
      <w:r>
        <w:rPr/>
      </w:r>
    </w:p>
    <w:p>
      <w:pPr>
        <w:pStyle w:val="ListParagraph"/>
        <w:numPr>
          <w:ilvl w:val="1"/>
          <w:numId w:val="2"/>
        </w:numPr>
        <w:rPr/>
      </w:pPr>
      <w:r>
        <w:rPr/>
        <w:t>A natural disaster near a branch location.</w:t>
      </w:r>
    </w:p>
    <w:p>
      <w:pPr>
        <w:pStyle w:val="ListParagraph"/>
        <w:ind w:start="0" w:end="0"/>
        <w:rPr/>
      </w:pPr>
      <w:r>
        <w:rPr/>
      </w:r>
    </w:p>
    <w:p>
      <w:pPr>
        <w:pStyle w:val="ListParagraph"/>
        <w:numPr>
          <w:ilvl w:val="1"/>
          <w:numId w:val="2"/>
        </w:numPr>
        <w:rPr/>
      </w:pPr>
      <w:r>
        <w:rPr/>
        <w:t>Negative bank press relating to banking in general or a local competitor bank.</w:t>
      </w:r>
    </w:p>
    <w:p>
      <w:pPr>
        <w:pStyle w:val="Normal"/>
        <w:jc w:val="both"/>
        <w:rPr/>
      </w:pPr>
      <w:r>
        <w:rPr/>
      </w:r>
    </w:p>
    <w:p>
      <w:pPr>
        <w:pStyle w:val="Normal"/>
        <w:jc w:val="both"/>
        <w:rPr/>
      </w:pPr>
      <w:r>
        <w:rPr/>
        <w:t>In the event that any of the liquidity ratios in the EWS are outside policy limits, management will assess the severity of the variance and possible plans for returning to compliance. Depending on the severity of the exception, the immediacy of the exception, and the likelihood of the exception becoming an actual liquidity problem, the plan may include, but is not limited to one or more of the following:</w:t>
      </w:r>
    </w:p>
    <w:p>
      <w:pPr>
        <w:pStyle w:val="Normal"/>
        <w:jc w:val="both"/>
        <w:rPr/>
      </w:pPr>
      <w:r>
        <w:rPr/>
      </w:r>
    </w:p>
    <w:p>
      <w:pPr>
        <w:pStyle w:val="BodyText"/>
        <w:numPr>
          <w:ilvl w:val="1"/>
          <w:numId w:val="22"/>
        </w:numPr>
        <w:rPr/>
      </w:pPr>
      <w:r>
        <w:rPr/>
        <w:t>Secure additional sources of alternative funds.</w:t>
      </w:r>
    </w:p>
    <w:p>
      <w:pPr>
        <w:pStyle w:val="BodyText"/>
        <w:numPr>
          <w:ilvl w:val="1"/>
          <w:numId w:val="22"/>
        </w:numPr>
        <w:rPr/>
      </w:pPr>
      <w:r>
        <w:rPr/>
        <w:t>Curtail lending to a level that can be met by liquidity availability. This could be accomplished in a variety of ways including increasing rates or fees, tightening credit criteria, or changes to the Bank’s loan offerings.</w:t>
      </w:r>
    </w:p>
    <w:p>
      <w:pPr>
        <w:pStyle w:val="BodyText"/>
        <w:numPr>
          <w:ilvl w:val="1"/>
          <w:numId w:val="22"/>
        </w:numPr>
        <w:rPr/>
      </w:pPr>
      <w:r>
        <w:rPr/>
        <w:t>Sell or securitize assets that are not pledged.</w:t>
      </w:r>
    </w:p>
    <w:p>
      <w:pPr>
        <w:pStyle w:val="BodyText"/>
        <w:numPr>
          <w:ilvl w:val="1"/>
          <w:numId w:val="22"/>
        </w:numPr>
        <w:rPr/>
      </w:pPr>
      <w:r>
        <w:rPr/>
        <w:t>Generate additional core deposits and/or public funds through actions that have a good likelihood of producing additional funds within the timeframe needed.</w:t>
      </w:r>
    </w:p>
    <w:p>
      <w:pPr>
        <w:pStyle w:val="BodyText"/>
        <w:numPr>
          <w:ilvl w:val="1"/>
          <w:numId w:val="22"/>
        </w:numPr>
        <w:rPr/>
      </w:pPr>
      <w:r>
        <w:rPr/>
        <w:t>Reclassify HTM securities to AFS and consider replacing securities, which cannot be pledged with ones, which can be pledged (if there is a significant amount of non-AFS securities which cannot be pledged).</w:t>
      </w:r>
    </w:p>
    <w:p>
      <w:pPr>
        <w:pStyle w:val="BodyText"/>
        <w:rPr/>
      </w:pPr>
      <w:r>
        <w:rPr/>
      </w:r>
    </w:p>
    <w:p>
      <w:pPr>
        <w:pStyle w:val="BodyText"/>
        <w:rPr/>
      </w:pPr>
      <w:r>
        <w:rPr/>
        <w:t>In conjunction with (a) through (e) above, or should the exception to policy be deemed low risk, the Board at its discretion may instruct management to closely monitor the ratios and report back to the Board within a specified period with updated ratios and, if necessary, a recommended plan of action to address the risk and return the ratio(s) to compliance. Conversely, certain measures calculated to be out of compliance with policy will require activation of the Bank’s Contingency Funding Plan.</w:t>
      </w:r>
    </w:p>
    <w:p>
      <w:pPr>
        <w:pStyle w:val="Heading3"/>
        <w:ind w:hanging="0" w:start="0"/>
        <w:rPr>
          <w:b/>
        </w:rPr>
      </w:pPr>
      <w:r>
        <w:rPr>
          <w:b/>
        </w:rPr>
      </w:r>
    </w:p>
    <w:p>
      <w:pPr>
        <w:pStyle w:val="Heading5"/>
        <w:ind w:hanging="0" w:start="0"/>
        <w:rPr>
          <w:u w:val="none"/>
        </w:rPr>
      </w:pPr>
      <w:r>
        <w:rPr>
          <w:u w:val="none"/>
        </w:rPr>
        <w:t>Contingency Funding Plan</w:t>
      </w:r>
    </w:p>
    <w:p>
      <w:pPr>
        <w:pStyle w:val="Header"/>
        <w:tabs>
          <w:tab w:val="clear" w:pos="4320"/>
          <w:tab w:val="clear" w:pos="8640"/>
        </w:tabs>
        <w:rPr>
          <w:u w:val="none"/>
        </w:rPr>
      </w:pPr>
      <w:r>
        <w:rPr>
          <w:u w:val="none"/>
        </w:rPr>
      </w:r>
    </w:p>
    <w:p>
      <w:pPr>
        <w:pStyle w:val="Normal"/>
        <w:jc w:val="both"/>
        <w:rPr/>
      </w:pPr>
      <w:r>
        <w:rPr/>
        <w:t xml:space="preserve">Unexpected situations or business conditions may increase liquidity risk.  These events may be institution specific, or arise from external factors, including an inability to fund asset growth, an inability to replace maturing funding, customers unexpectedly withdrawing deposits or drawing off-balance-sheet commitments, changes in market values of various asset types, changes in economic conditions, market perception or dislocation in financial markets, or disturbances from local disasters.  The contingency funding plan provides a framework for the Bank to evaluate increasingly severe illiquidity situations, and monitor the availability of funding over these scenarios.  This plan incorporates hypothetical events that could rapidly affect the liquidity, including a sudden inability to securitize assets, tightening of collateral requirements, or other restrictive terms associated with secured borrowings, or the loss of a large depositor or counterparty.  The plan outlines actions to be taken should circumstances warrant and provides for a reporting and communications program in the event of a liquidity crisis. Non-compliance with policy limits, the result of the stress tests, or the Banks’ Early Warning System may indicate a level of illiquidity prompting the execution of this Contingency Funding Plan.    </w:t>
      </w:r>
    </w:p>
    <w:p>
      <w:pPr>
        <w:pStyle w:val="Normal"/>
        <w:jc w:val="both"/>
        <w:rPr/>
      </w:pPr>
      <w:r>
        <w:rPr/>
      </w:r>
    </w:p>
    <w:p>
      <w:pPr>
        <w:pStyle w:val="Normal"/>
        <w:jc w:val="both"/>
        <w:rPr/>
      </w:pPr>
      <w:r>
        <w:rPr/>
        <w:t>Although these contingent liquidity events range from high probability / low impact events to low probability / high impact events, the CFP will focus on possible events that, while relatively infrequent, could significantly impact the Bank’s operations.  The Bank’s early warning system will serve as a monitoring framework for contingent events.  In conjunction with the early warning system and the framework of this policy, the CFP will:</w:t>
      </w:r>
    </w:p>
    <w:p>
      <w:pPr>
        <w:pStyle w:val="Header"/>
        <w:tabs>
          <w:tab w:val="clear" w:pos="4320"/>
          <w:tab w:val="clear" w:pos="8640"/>
        </w:tabs>
        <w:rPr/>
      </w:pPr>
      <w:r>
        <w:rPr/>
      </w:r>
    </w:p>
    <w:p>
      <w:pPr>
        <w:pStyle w:val="Header"/>
        <w:numPr>
          <w:ilvl w:val="0"/>
          <w:numId w:val="23"/>
        </w:numPr>
        <w:tabs>
          <w:tab w:val="clear" w:pos="4320"/>
          <w:tab w:val="clear" w:pos="8640"/>
        </w:tabs>
        <w:rPr/>
      </w:pPr>
      <w:r>
        <w:rPr/>
        <w:t>Identify possible stress events</w:t>
      </w:r>
    </w:p>
    <w:p>
      <w:pPr>
        <w:pStyle w:val="Header"/>
        <w:numPr>
          <w:ilvl w:val="0"/>
          <w:numId w:val="23"/>
        </w:numPr>
        <w:tabs>
          <w:tab w:val="clear" w:pos="4320"/>
          <w:tab w:val="clear" w:pos="8640"/>
        </w:tabs>
        <w:rPr/>
      </w:pPr>
      <w:r>
        <w:rPr/>
        <w:t>Assess levels of severity and timing</w:t>
      </w:r>
    </w:p>
    <w:p>
      <w:pPr>
        <w:pStyle w:val="Header"/>
        <w:numPr>
          <w:ilvl w:val="0"/>
          <w:numId w:val="23"/>
        </w:numPr>
        <w:tabs>
          <w:tab w:val="clear" w:pos="4320"/>
          <w:tab w:val="clear" w:pos="8640"/>
        </w:tabs>
        <w:rPr/>
      </w:pPr>
      <w:r>
        <w:rPr/>
        <w:t>Assess funding sources and needs.</w:t>
      </w:r>
    </w:p>
    <w:p>
      <w:pPr>
        <w:pStyle w:val="Header"/>
        <w:numPr>
          <w:ilvl w:val="0"/>
          <w:numId w:val="23"/>
        </w:numPr>
        <w:tabs>
          <w:tab w:val="clear" w:pos="4320"/>
          <w:tab w:val="clear" w:pos="8640"/>
        </w:tabs>
        <w:rPr/>
      </w:pPr>
      <w:r>
        <w:rPr/>
        <w:t xml:space="preserve">Identify potential funding sources </w:t>
      </w:r>
    </w:p>
    <w:p>
      <w:pPr>
        <w:pStyle w:val="Header"/>
        <w:numPr>
          <w:ilvl w:val="0"/>
          <w:numId w:val="23"/>
        </w:numPr>
        <w:tabs>
          <w:tab w:val="clear" w:pos="4320"/>
          <w:tab w:val="clear" w:pos="8640"/>
        </w:tabs>
        <w:rPr/>
      </w:pPr>
      <w:r>
        <w:rPr/>
        <w:t>Establish a liquidity event management process</w:t>
      </w:r>
    </w:p>
    <w:p>
      <w:pPr>
        <w:pStyle w:val="Header"/>
        <w:tabs>
          <w:tab w:val="clear" w:pos="4320"/>
          <w:tab w:val="clear" w:pos="8640"/>
        </w:tabs>
        <w:rPr/>
      </w:pPr>
      <w:r>
        <w:rPr/>
      </w:r>
    </w:p>
    <w:p>
      <w:pPr>
        <w:pStyle w:val="Normal"/>
        <w:jc w:val="both"/>
        <w:rPr/>
      </w:pPr>
      <w:r>
        <w:rPr/>
        <w:t xml:space="preserve">Non-compliance with policy limits, the result of the stress tests, or the Bank’s Early Warning System may indicate a level of illiquidity prompting the execution of the CFP.  </w:t>
      </w:r>
    </w:p>
    <w:p>
      <w:pPr>
        <w:pStyle w:val="Normal"/>
        <w:jc w:val="both"/>
        <w:rPr/>
      </w:pPr>
      <w:r>
        <w:rPr/>
      </w:r>
    </w:p>
    <w:p>
      <w:pPr>
        <w:pStyle w:val="Normal"/>
        <w:jc w:val="both"/>
        <w:rPr/>
      </w:pPr>
      <w:r>
        <w:rPr/>
        <w:t>Management’s response to any stressed liquidity condition will be guided by the amount of calculated liquidity over the defined period regardless of individual events that produce the result.  When prompted, Chief Financial Officer (CFO) will activate the contingency funding plan at the level deemed appropriate</w:t>
      </w:r>
    </w:p>
    <w:p>
      <w:pPr>
        <w:pStyle w:val="Normal"/>
        <w:ind w:end="-720"/>
        <w:rPr>
          <w:b/>
        </w:rPr>
      </w:pPr>
      <w:r>
        <w:rPr>
          <w:b/>
        </w:rPr>
      </w:r>
    </w:p>
    <w:p>
      <w:pPr>
        <w:pStyle w:val="Normal"/>
        <w:ind w:end="-720"/>
        <w:rPr>
          <w:b/>
        </w:rPr>
      </w:pPr>
      <w:r>
        <w:rPr>
          <w:b/>
        </w:rPr>
        <w:t>Approach</w:t>
      </w:r>
    </w:p>
    <w:p>
      <w:pPr>
        <w:pStyle w:val="Normal"/>
        <w:ind w:end="-720"/>
        <w:rPr>
          <w:b/>
        </w:rPr>
      </w:pPr>
      <w:r>
        <w:rPr>
          <w:b/>
        </w:rPr>
      </w:r>
    </w:p>
    <w:p>
      <w:pPr>
        <w:pStyle w:val="Normal"/>
        <w:jc w:val="both"/>
        <w:rPr/>
      </w:pPr>
      <w:r>
        <w:rPr/>
        <w:t>This plan outlines practical and realistic funding alternatives that can be implemented in the various scenarios.  In assessing liquidity risk, it is natural to assume that funding will deteriorate in direct proportion to the corporation’s financial condition and its credit quality as perceived by various constituencies.  These constituencies may include shareholders, the media, regulators, uncollateralized debt holders, and individual and institutional depositors.  Additionally, liquidity sources may become stressed due to local or national conditions outside of the Bank’s financial condition or control.</w:t>
      </w:r>
    </w:p>
    <w:p>
      <w:pPr>
        <w:pStyle w:val="Normal"/>
        <w:jc w:val="both"/>
        <w:rPr/>
      </w:pPr>
      <w:r>
        <w:rPr/>
      </w:r>
    </w:p>
    <w:p>
      <w:pPr>
        <w:pStyle w:val="Normal"/>
        <w:jc w:val="both"/>
        <w:rPr/>
      </w:pPr>
      <w:r>
        <w:rPr/>
        <w:t>Management believes a reasonable level of liquidity planning can be fairly embodied by three sets of assumptions, each one representing an increasingly restrictive liquidity position when compared to the Bank’s base liquidity posture.   The scenarios are reflective of available funding over a 1 year horizon as outlined in the Bank’s liquidity policy.  These scenarios are:</w:t>
      </w:r>
    </w:p>
    <w:p>
      <w:pPr>
        <w:pStyle w:val="Normal"/>
        <w:ind w:end="-720"/>
        <w:rPr/>
      </w:pPr>
      <w:r>
        <w:rPr/>
      </w:r>
    </w:p>
    <w:p>
      <w:pPr>
        <w:pStyle w:val="Normal"/>
        <w:numPr>
          <w:ilvl w:val="0"/>
          <w:numId w:val="4"/>
        </w:numPr>
        <w:ind w:hanging="360" w:start="1080" w:end="-720"/>
        <w:jc w:val="both"/>
        <w:rPr/>
      </w:pPr>
      <w:r>
        <w:rPr>
          <w:b/>
        </w:rPr>
        <w:t>Temporary Disruption</w:t>
      </w:r>
      <w:r>
        <w:rPr/>
        <w:t xml:space="preserve"> – represents a sudden and immediate effective to liquidity.</w:t>
      </w:r>
    </w:p>
    <w:p>
      <w:pPr>
        <w:pStyle w:val="Normal"/>
        <w:numPr>
          <w:ilvl w:val="0"/>
          <w:numId w:val="5"/>
        </w:numPr>
        <w:tabs>
          <w:tab w:val="clear" w:pos="720"/>
          <w:tab w:val="left" w:pos="1080" w:leader="none"/>
        </w:tabs>
        <w:ind w:hanging="360" w:start="1080" w:end="0"/>
        <w:jc w:val="both"/>
        <w:rPr/>
      </w:pPr>
      <w:r>
        <w:rPr>
          <w:b/>
        </w:rPr>
        <w:t>Moderate Illiquidity</w:t>
      </w:r>
      <w:r>
        <w:rPr/>
        <w:t xml:space="preserve"> – represents a relatively light stress condition, due primarily to an unusual increase in normal activities, but credit and asset quality remain strong.</w:t>
      </w:r>
    </w:p>
    <w:p>
      <w:pPr>
        <w:pStyle w:val="Normal"/>
        <w:numPr>
          <w:ilvl w:val="0"/>
          <w:numId w:val="5"/>
        </w:numPr>
        <w:tabs>
          <w:tab w:val="clear" w:pos="720"/>
          <w:tab w:val="left" w:pos="1080" w:leader="none"/>
        </w:tabs>
        <w:ind w:hanging="360" w:start="1080" w:end="0"/>
        <w:jc w:val="both"/>
        <w:rPr/>
      </w:pPr>
      <w:r>
        <w:rPr>
          <w:b/>
        </w:rPr>
        <w:t>Severe Illiquidity</w:t>
      </w:r>
      <w:r>
        <w:rPr/>
        <w:t xml:space="preserve"> – represents a more significant stress, including the conditions in scenario 1 combined with an increase in asset quality problems and modest earnings losses, combined with a lack of confidence in local depositors and uncollateralized funding sources.   </w:t>
      </w:r>
    </w:p>
    <w:p>
      <w:pPr>
        <w:pStyle w:val="Normal"/>
        <w:numPr>
          <w:ilvl w:val="0"/>
          <w:numId w:val="5"/>
        </w:numPr>
        <w:tabs>
          <w:tab w:val="clear" w:pos="720"/>
          <w:tab w:val="left" w:pos="1080" w:leader="none"/>
        </w:tabs>
        <w:ind w:hanging="360" w:start="1080" w:end="0"/>
        <w:jc w:val="both"/>
        <w:rPr/>
      </w:pPr>
      <w:r>
        <w:rPr>
          <w:b/>
        </w:rPr>
        <w:t>Extreme Illiquidity</w:t>
      </w:r>
      <w:r>
        <w:rPr/>
        <w:t xml:space="preserve"> – represents a maximum stress on all sources and uses of the bank while maintaining the nature of banking as a viable enterprise. All assumptions of scenarios 1 &amp; 2 remain in effect, combined with a loss of all wholesale funding sources.</w:t>
      </w:r>
    </w:p>
    <w:p>
      <w:pPr>
        <w:pStyle w:val="Normal"/>
        <w:ind w:end="-720"/>
        <w:jc w:val="both"/>
        <w:rPr/>
      </w:pPr>
      <w:r>
        <w:rPr/>
        <w:t xml:space="preserve"> </w:t>
      </w:r>
    </w:p>
    <w:p>
      <w:pPr>
        <w:pStyle w:val="Normal"/>
        <w:jc w:val="both"/>
        <w:rPr/>
      </w:pPr>
      <w:r>
        <w:rPr/>
        <w:t xml:space="preserve">The plan organizes and codifies the above scenarios into three models, updated and submitted by the CFO to the Board of Directors and to the Asset Liability Committee (ALCO) twice per calendar year.  The Bank will use the template in </w:t>
      </w:r>
      <w:r>
        <w:rPr>
          <w:b/>
          <w:i/>
        </w:rPr>
        <w:t>Exhibits 4-7</w:t>
      </w:r>
      <w:r>
        <w:rPr/>
        <w:t xml:space="preserve"> Cash Flow Model to produce the results of the assumptions. Based on specific assumptions, each model quantifies amounts of cash flows, balance sheet growth by financial instrument, and quantifies the borrowing capacity or secondary liquidity available to the Bank.  These assumptions are examples only.  Management’s response to each scenario will be guided by the amount of calculated net liquidity over the defined period regardless of individual events that produce the result.  </w:t>
      </w:r>
    </w:p>
    <w:p>
      <w:pPr>
        <w:pStyle w:val="Normal"/>
        <w:ind w:end="-720"/>
        <w:jc w:val="both"/>
        <w:rPr/>
      </w:pPr>
      <w:r>
        <w:rPr/>
      </w:r>
    </w:p>
    <w:p>
      <w:pPr>
        <w:pStyle w:val="Normal"/>
        <w:ind w:end="-720"/>
        <w:rPr>
          <w:b/>
        </w:rPr>
      </w:pPr>
      <w:r>
        <w:rPr>
          <w:b/>
        </w:rPr>
        <w:t>General Assumptions</w:t>
      </w:r>
    </w:p>
    <w:p>
      <w:pPr>
        <w:pStyle w:val="Normal"/>
        <w:ind w:end="-720"/>
        <w:rPr>
          <w:b/>
          <w:u w:val="single"/>
        </w:rPr>
      </w:pPr>
      <w:r>
        <w:rPr>
          <w:b/>
          <w:u w:val="single"/>
        </w:rPr>
      </w:r>
    </w:p>
    <w:p>
      <w:pPr>
        <w:pStyle w:val="Normal"/>
        <w:ind w:end="-720"/>
        <w:rPr/>
      </w:pPr>
      <w:r>
        <w:rPr/>
        <w:t>The general assumptions governing the entire plan are:</w:t>
      </w:r>
    </w:p>
    <w:p>
      <w:pPr>
        <w:pStyle w:val="Normal"/>
        <w:ind w:end="-720"/>
        <w:rPr/>
      </w:pPr>
      <w:r>
        <w:rPr/>
      </w:r>
    </w:p>
    <w:p>
      <w:pPr>
        <w:pStyle w:val="Normal"/>
        <w:numPr>
          <w:ilvl w:val="0"/>
          <w:numId w:val="21"/>
        </w:numPr>
        <w:jc w:val="both"/>
        <w:rPr/>
      </w:pPr>
      <w:r>
        <w:rPr/>
        <w:t>The Bank is managed to continue as a viable entity.</w:t>
      </w:r>
    </w:p>
    <w:p>
      <w:pPr>
        <w:pStyle w:val="Normal"/>
        <w:numPr>
          <w:ilvl w:val="0"/>
          <w:numId w:val="21"/>
        </w:numPr>
        <w:jc w:val="both"/>
        <w:rPr/>
      </w:pPr>
      <w:r>
        <w:rPr/>
        <w:t>The Bank continues to be run by responsible management.</w:t>
      </w:r>
    </w:p>
    <w:p>
      <w:pPr>
        <w:pStyle w:val="Normal"/>
        <w:numPr>
          <w:ilvl w:val="0"/>
          <w:numId w:val="21"/>
        </w:numPr>
        <w:jc w:val="both"/>
        <w:rPr/>
      </w:pPr>
      <w:r>
        <w:rPr/>
        <w:t>The current interest rate risk management philosophy of relative rate risk neutrality remains in place.  However, liquidity objectives will supersede interest rate risk policies when the two are in conflict.</w:t>
      </w:r>
    </w:p>
    <w:p>
      <w:pPr>
        <w:pStyle w:val="Normal"/>
        <w:numPr>
          <w:ilvl w:val="0"/>
          <w:numId w:val="21"/>
        </w:numPr>
        <w:jc w:val="both"/>
        <w:rPr/>
      </w:pPr>
      <w:r>
        <w:rPr/>
        <w:t>The Bank adheres to all applicable banking laws and regulatory requirements.</w:t>
      </w:r>
    </w:p>
    <w:p>
      <w:pPr>
        <w:pStyle w:val="Normal"/>
        <w:numPr>
          <w:ilvl w:val="0"/>
          <w:numId w:val="21"/>
        </w:numPr>
        <w:jc w:val="both"/>
        <w:rPr/>
      </w:pPr>
      <w:r>
        <w:rPr/>
        <w:t>The various regulatory support mechanisms will continue unabated and unchanged (e.g. FDIC insurance and Fed Discount window borrowing capacity)</w:t>
      </w:r>
    </w:p>
    <w:p>
      <w:pPr>
        <w:pStyle w:val="Normal"/>
        <w:numPr>
          <w:ilvl w:val="0"/>
          <w:numId w:val="21"/>
        </w:numPr>
        <w:jc w:val="both"/>
        <w:rPr/>
      </w:pPr>
      <w:r>
        <w:rPr/>
        <w:t>There are no independent or unconnected interruptions to the normal physical or economic environment.</w:t>
      </w:r>
    </w:p>
    <w:p>
      <w:pPr>
        <w:pStyle w:val="Normal"/>
        <w:numPr>
          <w:ilvl w:val="0"/>
          <w:numId w:val="21"/>
        </w:numPr>
        <w:jc w:val="both"/>
        <w:rPr/>
      </w:pPr>
      <w:r>
        <w:rPr/>
        <w:t>Impacts of customer illiquidity due to economic climates have been estimated and are reflected in deposit elasticity and unused commitment draw downs in these environments.</w:t>
      </w:r>
    </w:p>
    <w:p>
      <w:pPr>
        <w:pStyle w:val="Normal"/>
        <w:numPr>
          <w:ilvl w:val="0"/>
          <w:numId w:val="21"/>
        </w:numPr>
        <w:jc w:val="both"/>
        <w:rPr/>
      </w:pPr>
      <w:r>
        <w:rPr/>
        <w:t>Collateralized borrowings continue to be available although “haircuts” may be altered.</w:t>
      </w:r>
    </w:p>
    <w:p>
      <w:pPr>
        <w:pStyle w:val="Normal"/>
        <w:numPr>
          <w:ilvl w:val="0"/>
          <w:numId w:val="21"/>
        </w:numPr>
        <w:jc w:val="both"/>
        <w:rPr/>
      </w:pPr>
      <w:r>
        <w:rPr/>
        <w:t>The Bank’s loan portfolio maintains sufficient quality to provide the opportunity to sell select credits to upstream correspondents or other banks.</w:t>
      </w:r>
    </w:p>
    <w:p>
      <w:pPr>
        <w:pStyle w:val="Normal"/>
        <w:numPr>
          <w:ilvl w:val="0"/>
          <w:numId w:val="21"/>
        </w:numPr>
        <w:jc w:val="both"/>
        <w:rPr/>
      </w:pPr>
      <w:r>
        <w:rPr/>
        <w:t>Depositors and investors continue to honor contractual terms.</w:t>
      </w:r>
    </w:p>
    <w:p>
      <w:pPr>
        <w:pStyle w:val="Normal"/>
        <w:jc w:val="both"/>
        <w:rPr/>
      </w:pPr>
      <w:r>
        <w:rPr/>
      </w:r>
    </w:p>
    <w:p>
      <w:pPr>
        <w:pStyle w:val="Normal"/>
        <w:jc w:val="both"/>
        <w:rPr>
          <w:b/>
        </w:rPr>
      </w:pPr>
      <w:r>
        <w:rPr>
          <w:b/>
        </w:rPr>
        <w:t>Communications and Responsibilities</w:t>
      </w:r>
    </w:p>
    <w:p>
      <w:pPr>
        <w:pStyle w:val="Normal"/>
        <w:jc w:val="both"/>
        <w:rPr>
          <w:b/>
          <w:u w:val="single"/>
        </w:rPr>
      </w:pPr>
      <w:r>
        <w:rPr>
          <w:b/>
          <w:u w:val="single"/>
        </w:rPr>
      </w:r>
    </w:p>
    <w:p>
      <w:pPr>
        <w:pStyle w:val="Normal"/>
        <w:jc w:val="both"/>
        <w:rPr/>
      </w:pPr>
      <w:r>
        <w:rPr/>
        <w:t>The Board of Directors of the Bank will oversee liquidity processes managed by the Bank’s ALCO.  The Bank’s CFO, under ALCO’s direction and guidance, will coordinate execution of the various plans outlined in policy.   Any actions or programs which impact other areas of the Bank will be developed and executed in conjunction with key personnel from those areas. It shall be the responsibility of the CFO or other designed officer to establish and maintain communication within the Bank.</w:t>
      </w:r>
    </w:p>
    <w:p>
      <w:pPr>
        <w:pStyle w:val="Normal"/>
        <w:jc w:val="both"/>
        <w:rPr/>
      </w:pPr>
      <w:r>
        <w:rPr/>
      </w:r>
    </w:p>
    <w:p>
      <w:pPr>
        <w:pStyle w:val="Normal"/>
        <w:jc w:val="both"/>
        <w:rPr>
          <w:color w:val="000000"/>
        </w:rPr>
      </w:pPr>
      <w:r>
        <w:rPr/>
        <w:t xml:space="preserve">The CFO of the Bank will be responsible for maintaining daily vigilance on the liquidity condition of the Bank, and will report changes in the condition to the ALCO immediately.  Additionally, the CFO will be responsible for </w:t>
      </w:r>
      <w:r>
        <w:rPr>
          <w:color w:val="000000"/>
        </w:rPr>
        <w:t>updating the liquidity planning matrix.</w:t>
      </w:r>
    </w:p>
    <w:p>
      <w:pPr>
        <w:pStyle w:val="Normal"/>
        <w:jc w:val="both"/>
        <w:rPr>
          <w:color w:val="000000"/>
        </w:rPr>
      </w:pPr>
      <w:r>
        <w:rPr>
          <w:color w:val="000000"/>
        </w:rPr>
      </w:r>
    </w:p>
    <w:p>
      <w:pPr>
        <w:pStyle w:val="Normal"/>
        <w:jc w:val="both"/>
        <w:rPr/>
      </w:pPr>
      <w:r>
        <w:rPr/>
        <w:t>Management believes that forethought and preparedness, embodied in a plan, are prudent and useful responses to liquidity needs.  However, no policy approach to real problems can substitute for thoughtful and intelligent actions by experienced personnel.  The Executive Management team of the Bank will maintain a close vigilance on the various constituencies’ reaction to adverse changes in condition, and take actions considered appropriate in light of specific circumstance.  Actions to be taken may include:</w:t>
      </w:r>
    </w:p>
    <w:p>
      <w:pPr>
        <w:pStyle w:val="Normal"/>
        <w:jc w:val="both"/>
        <w:rPr/>
      </w:pPr>
      <w:r>
        <w:rPr/>
      </w:r>
    </w:p>
    <w:p>
      <w:pPr>
        <w:pStyle w:val="Normal"/>
        <w:numPr>
          <w:ilvl w:val="0"/>
          <w:numId w:val="20"/>
        </w:numPr>
        <w:ind w:hanging="360" w:start="720" w:end="-720"/>
        <w:rPr/>
      </w:pPr>
      <w:r>
        <w:rPr/>
        <w:t>Personal contact with large funds suppliers and individual depositors.</w:t>
      </w:r>
    </w:p>
    <w:p>
      <w:pPr>
        <w:pStyle w:val="Normal"/>
        <w:numPr>
          <w:ilvl w:val="0"/>
          <w:numId w:val="20"/>
        </w:numPr>
        <w:ind w:hanging="360" w:start="720" w:end="-720"/>
        <w:rPr/>
      </w:pPr>
      <w:r>
        <w:rPr/>
        <w:t>Notification of regulatory authorities.</w:t>
      </w:r>
    </w:p>
    <w:p>
      <w:pPr>
        <w:pStyle w:val="Normal"/>
        <w:numPr>
          <w:ilvl w:val="0"/>
          <w:numId w:val="20"/>
        </w:numPr>
        <w:ind w:hanging="360" w:start="720" w:end="-720"/>
        <w:rPr/>
      </w:pPr>
      <w:r>
        <w:rPr/>
        <w:t>Notification of shareholders.</w:t>
      </w:r>
    </w:p>
    <w:p>
      <w:pPr>
        <w:pStyle w:val="Normal"/>
        <w:numPr>
          <w:ilvl w:val="0"/>
          <w:numId w:val="20"/>
        </w:numPr>
        <w:ind w:hanging="360" w:start="720" w:end="-720"/>
        <w:rPr/>
      </w:pPr>
      <w:r>
        <w:rPr/>
        <w:t xml:space="preserve">Contact with media, including prompt issuance of press releases. </w:t>
      </w:r>
    </w:p>
    <w:p>
      <w:pPr>
        <w:pStyle w:val="Normal"/>
        <w:numPr>
          <w:ilvl w:val="0"/>
          <w:numId w:val="20"/>
        </w:numPr>
        <w:rPr/>
      </w:pPr>
      <w:r>
        <w:rPr/>
        <w:t>Informational meetings with all staff levels, including development and dissemination of fact sheets and official responses.</w:t>
      </w:r>
    </w:p>
    <w:p>
      <w:pPr>
        <w:pStyle w:val="Normal"/>
        <w:numPr>
          <w:ilvl w:val="0"/>
          <w:numId w:val="20"/>
        </w:numPr>
        <w:ind w:hanging="360" w:start="720" w:end="-720"/>
        <w:rPr/>
      </w:pPr>
      <w:r>
        <w:rPr/>
        <w:t>Preparation for select assets sales.</w:t>
      </w:r>
    </w:p>
    <w:p>
      <w:pPr>
        <w:pStyle w:val="Normal"/>
        <w:numPr>
          <w:ilvl w:val="0"/>
          <w:numId w:val="20"/>
        </w:numPr>
        <w:ind w:hanging="360" w:start="720" w:end="-720"/>
        <w:rPr/>
      </w:pPr>
      <w:r>
        <w:rPr/>
        <w:t>Draw down of existing liquidity lines.</w:t>
      </w:r>
    </w:p>
    <w:p>
      <w:pPr>
        <w:pStyle w:val="Normal"/>
        <w:ind w:end="-720"/>
        <w:rPr/>
      </w:pPr>
      <w:r>
        <w:rPr/>
      </w:r>
    </w:p>
    <w:p>
      <w:pPr>
        <w:pStyle w:val="Normal"/>
        <w:ind w:end="-720"/>
        <w:rPr>
          <w:b/>
        </w:rPr>
      </w:pPr>
      <w:r>
        <w:rPr>
          <w:b/>
        </w:rPr>
        <w:t>Liquidity Planning Matrix Description</w:t>
      </w:r>
    </w:p>
    <w:p>
      <w:pPr>
        <w:pStyle w:val="Normal"/>
        <w:ind w:end="-720"/>
        <w:rPr>
          <w:b/>
          <w:u w:val="single"/>
        </w:rPr>
      </w:pPr>
      <w:r>
        <w:rPr>
          <w:b/>
          <w:u w:val="single"/>
        </w:rPr>
      </w:r>
    </w:p>
    <w:p>
      <w:pPr>
        <w:pStyle w:val="Normal"/>
        <w:jc w:val="both"/>
        <w:rPr/>
      </w:pPr>
      <w:r>
        <w:rPr/>
        <w:t xml:space="preserve">Severe or extreme liquidity positions may warrant implementing asset sales.  Should the analysis reflect a liquidity shortage, management will begin the process of such sales, including cost/benefit implication, timing, and process documentation.   The following is a list of assets that will be evaluated for purposes of liquidation.  The order of the list represents the expected speed and preference order of liquidation from the fastest to the most time-consuming.  </w:t>
      </w:r>
    </w:p>
    <w:p>
      <w:pPr>
        <w:pStyle w:val="Normal"/>
        <w:jc w:val="both"/>
        <w:rPr/>
      </w:pPr>
      <w:r>
        <w:rPr/>
      </w:r>
    </w:p>
    <w:p>
      <w:pPr>
        <w:pStyle w:val="Normal"/>
        <w:numPr>
          <w:ilvl w:val="0"/>
          <w:numId w:val="11"/>
        </w:numPr>
        <w:jc w:val="both"/>
        <w:rPr/>
      </w:pPr>
      <w:r>
        <w:rPr/>
        <w:t>Un-pledged municipal bonds.</w:t>
      </w:r>
    </w:p>
    <w:p>
      <w:pPr>
        <w:pStyle w:val="Normal"/>
        <w:numPr>
          <w:ilvl w:val="0"/>
          <w:numId w:val="11"/>
        </w:numPr>
        <w:jc w:val="both"/>
        <w:rPr/>
      </w:pPr>
      <w:r>
        <w:rPr/>
        <w:t>Securities not pledged as collateral.</w:t>
      </w:r>
    </w:p>
    <w:p>
      <w:pPr>
        <w:pStyle w:val="Normal"/>
        <w:numPr>
          <w:ilvl w:val="0"/>
          <w:numId w:val="11"/>
        </w:numPr>
        <w:jc w:val="both"/>
        <w:rPr/>
      </w:pPr>
      <w:r>
        <w:rPr/>
        <w:t>Mortgages held for sale.</w:t>
      </w:r>
    </w:p>
    <w:p>
      <w:pPr>
        <w:pStyle w:val="Normal"/>
        <w:numPr>
          <w:ilvl w:val="0"/>
          <w:numId w:val="11"/>
        </w:numPr>
        <w:jc w:val="both"/>
        <w:rPr/>
      </w:pPr>
      <w:r>
        <w:rPr/>
        <w:t>Whole loan mortgages which could be securitized and either sold or used as collateral.</w:t>
      </w:r>
    </w:p>
    <w:p>
      <w:pPr>
        <w:pStyle w:val="Normal"/>
        <w:numPr>
          <w:ilvl w:val="0"/>
          <w:numId w:val="11"/>
        </w:numPr>
        <w:ind w:hanging="360" w:start="720" w:end="-720"/>
        <w:rPr/>
      </w:pPr>
      <w:r>
        <w:rPr/>
        <w:t>Personal Lines of Credit (home equity lines), either securitized or sold.</w:t>
      </w:r>
    </w:p>
    <w:p>
      <w:pPr>
        <w:pStyle w:val="Heading3"/>
        <w:ind w:hanging="0" w:start="0"/>
        <w:rPr>
          <w:b/>
        </w:rPr>
      </w:pPr>
      <w:r>
        <w:rPr>
          <w:b/>
        </w:rPr>
        <w:t>Contingency Liquidity Actions</w:t>
      </w:r>
    </w:p>
    <w:p>
      <w:pPr>
        <w:pStyle w:val="Normal"/>
        <w:keepNext w:val="true"/>
        <w:keepLines/>
        <w:rPr>
          <w:b/>
        </w:rPr>
      </w:pPr>
      <w:r>
        <w:rPr>
          <w:b/>
        </w:rPr>
      </w:r>
    </w:p>
    <w:p>
      <w:pPr>
        <w:pStyle w:val="Normal"/>
        <w:keepNext w:val="true"/>
        <w:keepLines/>
        <w:jc w:val="both"/>
        <w:rPr/>
      </w:pPr>
      <w:r>
        <w:rPr/>
        <w:t>Management will monitor the triggers which are outlined in this policy and implement the following actions as necessary:</w:t>
      </w:r>
    </w:p>
    <w:p>
      <w:pPr>
        <w:pStyle w:val="Normal"/>
        <w:keepNext w:val="true"/>
        <w:keepLines/>
        <w:jc w:val="both"/>
        <w:rPr>
          <w:b/>
        </w:rPr>
      </w:pPr>
      <w:r>
        <w:rPr>
          <w:b/>
        </w:rPr>
      </w:r>
    </w:p>
    <w:p>
      <w:pPr>
        <w:pStyle w:val="ListParagraph"/>
        <w:keepNext w:val="true"/>
        <w:keepLines/>
        <w:numPr>
          <w:ilvl w:val="0"/>
          <w:numId w:val="8"/>
        </w:numPr>
        <w:rPr>
          <w:b/>
        </w:rPr>
      </w:pPr>
      <w:r>
        <w:rPr/>
        <w:t>Deposit pricing will be reviewed to identify opportunities to increase core retail deposit growth.</w:t>
      </w:r>
    </w:p>
    <w:p>
      <w:pPr>
        <w:pStyle w:val="ListParagraph"/>
        <w:keepNext w:val="true"/>
        <w:keepLines/>
        <w:rPr>
          <w:b/>
        </w:rPr>
      </w:pPr>
      <w:r>
        <w:rPr>
          <w:b/>
        </w:rPr>
      </w:r>
    </w:p>
    <w:p>
      <w:pPr>
        <w:pStyle w:val="ListParagraph"/>
        <w:numPr>
          <w:ilvl w:val="0"/>
          <w:numId w:val="8"/>
        </w:numPr>
        <w:rPr>
          <w:b/>
        </w:rPr>
      </w:pPr>
      <w:r>
        <w:rPr/>
        <w:t>Fed Fund lines will be tested to determine availability including possible term Fed Funds.</w:t>
      </w:r>
    </w:p>
    <w:p>
      <w:pPr>
        <w:pStyle w:val="Normal"/>
        <w:jc w:val="both"/>
        <w:rPr>
          <w:b/>
        </w:rPr>
      </w:pPr>
      <w:r>
        <w:rPr>
          <w:b/>
        </w:rPr>
      </w:r>
    </w:p>
    <w:p>
      <w:pPr>
        <w:pStyle w:val="ListParagraph"/>
        <w:numPr>
          <w:ilvl w:val="0"/>
          <w:numId w:val="8"/>
        </w:numPr>
        <w:rPr>
          <w:b/>
        </w:rPr>
      </w:pPr>
      <w:r>
        <w:rPr/>
        <w:t>Securities in the investment portfolio that can be sold will be identified.</w:t>
      </w:r>
    </w:p>
    <w:p>
      <w:pPr>
        <w:pStyle w:val="ListParagraph"/>
        <w:rPr>
          <w:b/>
        </w:rPr>
      </w:pPr>
      <w:r>
        <w:rPr>
          <w:b/>
        </w:rPr>
      </w:r>
    </w:p>
    <w:p>
      <w:pPr>
        <w:pStyle w:val="ListParagraph"/>
        <w:numPr>
          <w:ilvl w:val="0"/>
          <w:numId w:val="8"/>
        </w:numPr>
        <w:rPr>
          <w:b/>
        </w:rPr>
      </w:pPr>
      <w:r>
        <w:rPr/>
        <w:t>Longer-term fixed advances from the Federal Home Loan Bank will reviewed.</w:t>
      </w:r>
    </w:p>
    <w:p>
      <w:pPr>
        <w:pStyle w:val="ListParagraph"/>
        <w:ind w:start="0" w:end="0"/>
        <w:rPr>
          <w:b/>
        </w:rPr>
      </w:pPr>
      <w:r>
        <w:rPr>
          <w:b/>
        </w:rPr>
      </w:r>
    </w:p>
    <w:p>
      <w:pPr>
        <w:pStyle w:val="ListParagraph"/>
        <w:numPr>
          <w:ilvl w:val="0"/>
          <w:numId w:val="8"/>
        </w:numPr>
        <w:rPr>
          <w:b/>
        </w:rPr>
      </w:pPr>
      <w:r>
        <w:rPr/>
        <w:t>The Bank will identify mortgage loans, commercial and commercial real estate loans that can be sold or participated to other financial institutions.  These assets would be sold in order to manage exposure to legal or house lending limits, the need for liquidity, balanced against the opportunity loss of net interest income, if any.</w:t>
      </w:r>
    </w:p>
    <w:p>
      <w:pPr>
        <w:pStyle w:val="ListParagraph"/>
        <w:ind w:start="0" w:end="0"/>
        <w:rPr>
          <w:b/>
        </w:rPr>
      </w:pPr>
      <w:r>
        <w:rPr>
          <w:b/>
        </w:rPr>
      </w:r>
    </w:p>
    <w:p>
      <w:pPr>
        <w:pStyle w:val="ListParagraph"/>
        <w:numPr>
          <w:ilvl w:val="0"/>
          <w:numId w:val="8"/>
        </w:numPr>
        <w:rPr>
          <w:b/>
        </w:rPr>
      </w:pPr>
      <w:r>
        <w:rPr/>
        <w:t>The Bank will, from time to time, identify other sources of core and non-core funding, and will seek approval from ALCO to activate such programs.</w:t>
      </w:r>
    </w:p>
    <w:p>
      <w:pPr>
        <w:pStyle w:val="Normal"/>
        <w:jc w:val="both"/>
        <w:rPr>
          <w:b/>
        </w:rPr>
      </w:pPr>
      <w:r>
        <w:rPr>
          <w:b/>
        </w:rPr>
      </w:r>
    </w:p>
    <w:p>
      <w:pPr>
        <w:pStyle w:val="ListParagraph"/>
        <w:numPr>
          <w:ilvl w:val="0"/>
          <w:numId w:val="8"/>
        </w:numPr>
        <w:rPr>
          <w:b/>
        </w:rPr>
      </w:pPr>
      <w:r>
        <w:rPr/>
        <w:t>Should market conditions create an illiquid condition after the above steps have been taken, the Bank will curtail its lending activities in the following order:</w:t>
      </w:r>
    </w:p>
    <w:p>
      <w:pPr>
        <w:pStyle w:val="ListParagraph"/>
        <w:numPr>
          <w:ilvl w:val="1"/>
          <w:numId w:val="8"/>
        </w:numPr>
        <w:rPr>
          <w:b/>
        </w:rPr>
      </w:pPr>
      <w:r>
        <w:rPr/>
        <w:t>New loan customers</w:t>
      </w:r>
    </w:p>
    <w:p>
      <w:pPr>
        <w:pStyle w:val="ListParagraph"/>
        <w:numPr>
          <w:ilvl w:val="1"/>
          <w:numId w:val="8"/>
        </w:numPr>
        <w:rPr>
          <w:b/>
        </w:rPr>
      </w:pPr>
      <w:r>
        <w:rPr/>
        <w:t>Term real estate and commercial loans</w:t>
      </w:r>
    </w:p>
    <w:p>
      <w:pPr>
        <w:pStyle w:val="ListParagraph"/>
        <w:numPr>
          <w:ilvl w:val="1"/>
          <w:numId w:val="8"/>
        </w:numPr>
        <w:rPr>
          <w:b/>
        </w:rPr>
      </w:pPr>
      <w:r>
        <w:rPr/>
        <w:t>Tighten consumer lending approvals</w:t>
      </w:r>
    </w:p>
    <w:p>
      <w:pPr>
        <w:pStyle w:val="ListParagraph"/>
        <w:numPr>
          <w:ilvl w:val="1"/>
          <w:numId w:val="8"/>
        </w:numPr>
        <w:rPr>
          <w:b/>
        </w:rPr>
      </w:pPr>
      <w:r>
        <w:rPr/>
        <w:t>Only as a last resort will the Bank curtail short-term working capital loans to existing commercial customers.</w:t>
      </w:r>
    </w:p>
    <w:p>
      <w:pPr>
        <w:pStyle w:val="ListParagraph"/>
        <w:rPr>
          <w:b/>
        </w:rPr>
      </w:pPr>
      <w:r>
        <w:rPr>
          <w:b/>
        </w:rPr>
      </w:r>
    </w:p>
    <w:p>
      <w:pPr>
        <w:pStyle w:val="Heading3"/>
        <w:ind w:hanging="0" w:start="0"/>
        <w:rPr>
          <w:b/>
        </w:rPr>
      </w:pPr>
      <w:r>
        <w:rPr>
          <w:b/>
        </w:rPr>
        <w:t>Modeling and Stressing CFP Scenarios</w:t>
      </w:r>
    </w:p>
    <w:p>
      <w:pPr>
        <w:pStyle w:val="Normal"/>
        <w:jc w:val="both"/>
        <w:rPr>
          <w:b/>
        </w:rPr>
      </w:pPr>
      <w:r>
        <w:rPr>
          <w:b/>
        </w:rPr>
      </w:r>
    </w:p>
    <w:p>
      <w:pPr>
        <w:pStyle w:val="Normal"/>
        <w:ind w:end="-720"/>
        <w:jc w:val="both"/>
        <w:rPr/>
      </w:pPr>
      <w:r>
        <w:rPr/>
        <w:t xml:space="preserve">The following scenarios are analyses that will be run by the Bank twice per calendar year and are meant to satisfy the Board and Executive management’s commitment to the approach outlined earlier in the plan. They may incorporate many, but not necessarily all, of the triggers and actions identified in earlier sections of the document. These are “what-if” scenarios, are meant to </w:t>
      </w:r>
      <w:r>
        <w:rPr>
          <w:i/>
        </w:rPr>
        <w:t>anticipate</w:t>
      </w:r>
      <w:r>
        <w:rPr/>
        <w:t xml:space="preserve"> stress events and include action items that correspond to the modeled stress events. </w:t>
      </w:r>
      <w:r>
        <w:rPr>
          <w:b/>
        </w:rPr>
        <w:t>Actual events will not likely match modeled events and therefore the action items in an actual event will not necessarily match modeled action items.</w:t>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u w:val="single"/>
        </w:rPr>
      </w:pPr>
      <w:r>
        <w:rPr>
          <w:b/>
          <w:u w:val="single"/>
        </w:rPr>
      </w:r>
    </w:p>
    <w:p>
      <w:pPr>
        <w:pStyle w:val="Normal"/>
        <w:ind w:end="-720"/>
        <w:jc w:val="both"/>
        <w:rPr>
          <w:b/>
        </w:rPr>
      </w:pPr>
      <w:r>
        <w:rPr>
          <w:b/>
        </w:rPr>
        <w:t>A. Temporary Disruption</w:t>
      </w:r>
    </w:p>
    <w:p>
      <w:pPr>
        <w:pStyle w:val="Normal"/>
        <w:ind w:end="-720"/>
        <w:jc w:val="both"/>
        <w:rPr>
          <w:b/>
        </w:rPr>
      </w:pPr>
      <w:r>
        <w:rPr>
          <w:b/>
        </w:rPr>
      </w:r>
    </w:p>
    <w:p>
      <w:pPr>
        <w:pStyle w:val="Normal"/>
        <w:ind w:end="-720"/>
        <w:jc w:val="both"/>
        <w:rPr>
          <w:b/>
        </w:rPr>
      </w:pPr>
      <w:r>
        <w:rPr>
          <w:b/>
        </w:rPr>
      </w:r>
    </w:p>
    <w:p>
      <w:pPr>
        <w:pStyle w:val="Normal"/>
        <w:rPr>
          <w:color w:val="FF0000"/>
        </w:rPr>
      </w:pPr>
      <w:r>
        <w:rPr/>
        <w:t xml:space="preserve">Scenario Description:  </w:t>
      </w:r>
    </w:p>
    <w:p>
      <w:pPr>
        <w:pStyle w:val="Normal"/>
        <w:rPr>
          <w:color w:val="FF0000"/>
        </w:rPr>
      </w:pPr>
      <w:r>
        <w:rPr>
          <w:color w:val="FF0000"/>
        </w:rPr>
      </w:r>
    </w:p>
    <w:p>
      <w:pPr>
        <w:pStyle w:val="Normal"/>
        <w:rPr/>
      </w:pPr>
      <w:r>
        <w:rPr/>
        <w:t>Temporary Disruption represents a stabilized financial condition for the Bank .</w:t>
      </w:r>
    </w:p>
    <w:p>
      <w:pPr>
        <w:pStyle w:val="Normal"/>
        <w:rPr/>
      </w:pPr>
      <w:r>
        <w:rPr/>
        <w:t xml:space="preserve"> </w:t>
      </w:r>
    </w:p>
    <w:p>
      <w:pPr>
        <w:pStyle w:val="Normal"/>
        <w:rPr/>
      </w:pPr>
      <w:r>
        <w:rPr/>
        <w:t xml:space="preserve">Assumptions in the model:  </w:t>
      </w:r>
    </w:p>
    <w:p>
      <w:pPr>
        <w:pStyle w:val="Normal"/>
        <w:rPr/>
      </w:pPr>
      <w:r>
        <w:rPr/>
      </w:r>
    </w:p>
    <w:p>
      <w:pPr>
        <w:pStyle w:val="Normal"/>
        <w:ind w:start="360" w:end="0"/>
        <w:rPr/>
      </w:pPr>
      <w:r>
        <w:rPr/>
        <w:t>The Bank’s largest depositor withdraws all funds from the bank.</w:t>
      </w:r>
    </w:p>
    <w:p>
      <w:pPr>
        <w:pStyle w:val="Normal"/>
        <w:rPr/>
      </w:pPr>
      <w:r>
        <w:rPr/>
      </w:r>
    </w:p>
    <w:p>
      <w:pPr>
        <w:pStyle w:val="Normal"/>
        <w:rPr/>
      </w:pPr>
      <w:r>
        <w:rPr/>
      </w:r>
    </w:p>
    <w:p>
      <w:pPr>
        <w:pStyle w:val="Normal"/>
        <w:rPr/>
      </w:pPr>
      <w:r>
        <w:rPr/>
        <w:t xml:space="preserve">Actions: </w:t>
      </w:r>
    </w:p>
    <w:p>
      <w:pPr>
        <w:pStyle w:val="Normal"/>
        <w:rPr/>
      </w:pPr>
      <w:r>
        <w:rPr/>
      </w:r>
    </w:p>
    <w:p>
      <w:pPr>
        <w:pStyle w:val="Normal"/>
        <w:numPr>
          <w:ilvl w:val="0"/>
          <w:numId w:val="6"/>
        </w:numPr>
        <w:rPr/>
      </w:pPr>
      <w:r>
        <w:rPr/>
        <w:t>The CFO will notify the ALCO committee by email to inform the committee of the impact on the liquidity.</w:t>
      </w:r>
    </w:p>
    <w:p>
      <w:pPr>
        <w:pStyle w:val="Normal"/>
        <w:rPr/>
      </w:pPr>
      <w:r>
        <w:rPr/>
      </w:r>
    </w:p>
    <w:p>
      <w:pPr>
        <w:pStyle w:val="Normal"/>
        <w:numPr>
          <w:ilvl w:val="0"/>
          <w:numId w:val="6"/>
        </w:numPr>
        <w:rPr/>
      </w:pPr>
      <w:r>
        <w:rPr/>
        <w:t>The CFO will discuss with the Chief Credit Officer (COO) the outstanding loan commitments.</w:t>
      </w:r>
    </w:p>
    <w:p>
      <w:pPr>
        <w:pStyle w:val="Normal"/>
        <w:rPr/>
      </w:pPr>
      <w:r>
        <w:rPr/>
      </w:r>
    </w:p>
    <w:p>
      <w:pPr>
        <w:pStyle w:val="Normal"/>
        <w:numPr>
          <w:ilvl w:val="0"/>
          <w:numId w:val="6"/>
        </w:numPr>
        <w:rPr/>
      </w:pPr>
      <w:r>
        <w:rPr/>
        <w:t>If there is a need for additional funds, the CFO will review the option to lengthen maturities with FHLB and extend brokered deposit funding.</w:t>
      </w:r>
    </w:p>
    <w:p>
      <w:pPr>
        <w:pStyle w:val="ListParagraph"/>
        <w:jc w:val="start"/>
        <w:rPr/>
      </w:pPr>
      <w:r>
        <w:rPr/>
      </w:r>
    </w:p>
    <w:p>
      <w:pPr>
        <w:pStyle w:val="Normal"/>
        <w:ind w:end="-720"/>
        <w:jc w:val="both"/>
        <w:rPr/>
      </w:pPr>
      <w:r>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jc w:val="both"/>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b/>
        </w:rPr>
      </w:pPr>
      <w:r>
        <w:rPr>
          <w:b/>
        </w:rPr>
      </w:r>
    </w:p>
    <w:p>
      <w:pPr>
        <w:pStyle w:val="Normal"/>
        <w:ind w:end="-720"/>
        <w:rPr/>
      </w:pPr>
      <w:r>
        <w:rPr>
          <w:b/>
        </w:rPr>
        <w:t>B. Moderate Illiquidity</w:t>
      </w:r>
    </w:p>
    <w:p>
      <w:pPr>
        <w:pStyle w:val="Normal"/>
        <w:ind w:end="-720"/>
        <w:rPr>
          <w:b/>
          <w:u w:val="single"/>
        </w:rPr>
      </w:pPr>
      <w:r>
        <w:rPr>
          <w:b/>
          <w:u w:val="single"/>
        </w:rPr>
      </w:r>
    </w:p>
    <w:p>
      <w:pPr>
        <w:pStyle w:val="Normal"/>
        <w:ind w:end="-720"/>
        <w:rPr>
          <w:color w:val="FF0000"/>
        </w:rPr>
      </w:pPr>
      <w:r>
        <w:rPr/>
        <w:t xml:space="preserve">Scenario Description:  </w:t>
      </w:r>
    </w:p>
    <w:p>
      <w:pPr>
        <w:pStyle w:val="Normal"/>
        <w:ind w:end="-720"/>
        <w:rPr>
          <w:color w:val="FF0000"/>
        </w:rPr>
      </w:pPr>
      <w:r>
        <w:rPr>
          <w:color w:val="FF0000"/>
        </w:rPr>
      </w:r>
    </w:p>
    <w:p>
      <w:pPr>
        <w:pStyle w:val="Normal"/>
        <w:ind w:end="-720"/>
        <w:rPr/>
      </w:pPr>
      <w:r>
        <w:rPr/>
        <w:t>Moderate illiquidity represents a stabilized financial condition for the Bank. The Bank is operating in a stagnant economic environment. Nonperforming assets are increasing.  Net income is positive for the year but below expectations.  The Bank meets or exceeds all minimum regulatory requirements for capital.  Media coverage is benign.</w:t>
      </w:r>
    </w:p>
    <w:p>
      <w:pPr>
        <w:pStyle w:val="Normal"/>
        <w:ind w:end="-720"/>
        <w:rPr/>
      </w:pPr>
      <w:r>
        <w:rPr/>
      </w:r>
    </w:p>
    <w:p>
      <w:pPr>
        <w:pStyle w:val="Normal"/>
        <w:ind w:end="-720"/>
        <w:rPr/>
      </w:pPr>
      <w:r>
        <w:rPr/>
        <w:t xml:space="preserve">Assumptions in the model:  </w:t>
      </w:r>
    </w:p>
    <w:p>
      <w:pPr>
        <w:pStyle w:val="Normal"/>
        <w:ind w:end="-720"/>
        <w:rPr/>
      </w:pPr>
      <w:r>
        <w:rPr/>
      </w:r>
    </w:p>
    <w:p>
      <w:pPr>
        <w:pStyle w:val="Normal"/>
        <w:numPr>
          <w:ilvl w:val="0"/>
          <w:numId w:val="10"/>
        </w:numPr>
        <w:tabs>
          <w:tab w:val="clear" w:pos="720"/>
          <w:tab w:val="left" w:pos="1440" w:leader="none"/>
        </w:tabs>
        <w:ind w:hanging="720" w:start="1440" w:end="-720"/>
        <w:rPr/>
      </w:pPr>
      <w:r>
        <w:rPr/>
        <w:t>Demand deposit balances, both interest bearing and non-interest bearing decline at an annual rate of 5%.</w:t>
      </w:r>
    </w:p>
    <w:p>
      <w:pPr>
        <w:pStyle w:val="Normal"/>
        <w:ind w:end="-720"/>
        <w:rPr/>
      </w:pPr>
      <w:r>
        <w:rPr/>
      </w:r>
    </w:p>
    <w:p>
      <w:pPr>
        <w:pStyle w:val="Normal"/>
        <w:numPr>
          <w:ilvl w:val="0"/>
          <w:numId w:val="10"/>
        </w:numPr>
        <w:tabs>
          <w:tab w:val="clear" w:pos="720"/>
          <w:tab w:val="left" w:pos="1440" w:leader="none"/>
        </w:tabs>
        <w:ind w:hanging="720" w:start="1440" w:end="-720"/>
        <w:rPr/>
      </w:pPr>
      <w:r>
        <w:rPr/>
        <w:t>Core time deposits decline by 5%.</w:t>
      </w:r>
    </w:p>
    <w:p>
      <w:pPr>
        <w:pStyle w:val="Normal"/>
        <w:ind w:end="-720"/>
        <w:rPr/>
      </w:pPr>
      <w:r>
        <w:rPr/>
      </w:r>
    </w:p>
    <w:p>
      <w:pPr>
        <w:pStyle w:val="Normal"/>
        <w:numPr>
          <w:ilvl w:val="0"/>
          <w:numId w:val="10"/>
        </w:numPr>
        <w:tabs>
          <w:tab w:val="clear" w:pos="720"/>
          <w:tab w:val="left" w:pos="1440" w:leader="none"/>
        </w:tabs>
        <w:ind w:hanging="720" w:start="1440" w:end="-720"/>
        <w:rPr/>
      </w:pPr>
      <w:r>
        <w:rPr/>
        <w:t>No unsecured lines of credit available to the bank.</w:t>
      </w:r>
    </w:p>
    <w:p>
      <w:pPr>
        <w:pStyle w:val="Normal"/>
        <w:ind w:end="-720"/>
        <w:rPr/>
      </w:pPr>
      <w:r>
        <w:rPr/>
      </w:r>
    </w:p>
    <w:p>
      <w:pPr>
        <w:pStyle w:val="Normal"/>
        <w:ind w:end="-720"/>
        <w:rPr/>
      </w:pPr>
      <w:r>
        <w:rPr/>
        <w:t xml:space="preserve">Actions: </w:t>
      </w:r>
    </w:p>
    <w:p>
      <w:pPr>
        <w:pStyle w:val="Normal"/>
        <w:ind w:end="-720"/>
        <w:rPr/>
      </w:pPr>
      <w:r>
        <w:rPr/>
      </w:r>
    </w:p>
    <w:p>
      <w:pPr>
        <w:pStyle w:val="Normal"/>
        <w:numPr>
          <w:ilvl w:val="0"/>
          <w:numId w:val="15"/>
        </w:numPr>
        <w:ind w:hanging="360" w:start="1080" w:end="-720"/>
        <w:rPr/>
      </w:pPr>
      <w:r>
        <w:rPr/>
        <w:t>The CFO will increase the frequency of ALCO meetings based on the severity to ensure proper flow of information.</w:t>
      </w:r>
    </w:p>
    <w:p>
      <w:pPr>
        <w:pStyle w:val="Normal"/>
        <w:ind w:end="-720"/>
        <w:rPr/>
      </w:pPr>
      <w:r>
        <w:rPr/>
      </w:r>
    </w:p>
    <w:p>
      <w:pPr>
        <w:pStyle w:val="Normal"/>
        <w:numPr>
          <w:ilvl w:val="0"/>
          <w:numId w:val="15"/>
        </w:numPr>
        <w:ind w:hanging="360" w:start="1080" w:end="-720"/>
        <w:rPr/>
      </w:pPr>
      <w:r>
        <w:rPr/>
        <w:t>The CFO will prepare additional funding gap reports and an alternative funding report to review with ALCO.</w:t>
      </w:r>
    </w:p>
    <w:p>
      <w:pPr>
        <w:pStyle w:val="Normal"/>
        <w:ind w:end="-720"/>
        <w:rPr/>
      </w:pPr>
      <w:r>
        <w:rPr/>
      </w:r>
    </w:p>
    <w:p>
      <w:pPr>
        <w:pStyle w:val="Normal"/>
        <w:numPr>
          <w:ilvl w:val="0"/>
          <w:numId w:val="15"/>
        </w:numPr>
        <w:ind w:hanging="360" w:start="1080" w:end="-720"/>
        <w:rPr/>
      </w:pPr>
      <w:r>
        <w:rPr/>
        <w:t>The Chief Credit Officer (CCO) will begin to tighten credit quality requirements and pricing to slow the net use of funds.</w:t>
      </w:r>
    </w:p>
    <w:p>
      <w:pPr>
        <w:pStyle w:val="Normal"/>
        <w:ind w:end="-720"/>
        <w:rPr/>
      </w:pPr>
      <w:r>
        <w:rPr/>
      </w:r>
    </w:p>
    <w:p>
      <w:pPr>
        <w:pStyle w:val="Normal"/>
        <w:numPr>
          <w:ilvl w:val="0"/>
          <w:numId w:val="15"/>
        </w:numPr>
        <w:ind w:hanging="360" w:start="1080" w:end="-720"/>
        <w:rPr/>
      </w:pPr>
      <w:r>
        <w:rPr/>
        <w:t>The CFO will review the option to lengthen maturities with FHLB and extend brokered deposit funding.</w:t>
      </w:r>
    </w:p>
    <w:p>
      <w:pPr>
        <w:pStyle w:val="Normal"/>
        <w:ind w:end="-720"/>
        <w:rPr/>
      </w:pPr>
      <w:r>
        <w:rPr/>
      </w:r>
      <w:r>
        <w:br w:type="page"/>
      </w:r>
    </w:p>
    <w:p>
      <w:pPr>
        <w:pStyle w:val="Normal"/>
        <w:ind w:start="-360" w:end="-720"/>
        <w:rPr>
          <w:b/>
          <w:u w:val="single"/>
        </w:rPr>
      </w:pPr>
      <w:r>
        <w:rPr/>
        <w:t>C</w:t>
      </w:r>
      <w:r>
        <w:rPr>
          <w:b/>
        </w:rPr>
        <w:t>. Severe Illiquidity</w:t>
      </w:r>
    </w:p>
    <w:p>
      <w:pPr>
        <w:pStyle w:val="Normal"/>
        <w:ind w:end="-720"/>
        <w:rPr>
          <w:b/>
          <w:u w:val="single"/>
        </w:rPr>
      </w:pPr>
      <w:r>
        <w:rPr>
          <w:b/>
          <w:u w:val="single"/>
        </w:rPr>
      </w:r>
    </w:p>
    <w:p>
      <w:pPr>
        <w:pStyle w:val="Normal"/>
        <w:ind w:end="-720"/>
        <w:rPr/>
      </w:pPr>
      <w:r>
        <w:rPr/>
        <w:t xml:space="preserve">Scenario Description:  </w:t>
      </w:r>
    </w:p>
    <w:p>
      <w:pPr>
        <w:pStyle w:val="Normal"/>
        <w:ind w:end="-720"/>
        <w:rPr/>
      </w:pPr>
      <w:r>
        <w:rPr/>
      </w:r>
    </w:p>
    <w:p>
      <w:pPr>
        <w:pStyle w:val="Normal"/>
        <w:ind w:end="-720"/>
        <w:rPr/>
      </w:pPr>
      <w:r>
        <w:rPr/>
        <w:t>Severe illiquidity represents a mixture of some signs of stability coupled with some deterioration of financial condition.  The Bank continues to operate in a stagnant economic environment.</w:t>
      </w:r>
    </w:p>
    <w:p>
      <w:pPr>
        <w:pStyle w:val="Normal"/>
        <w:ind w:end="-720"/>
        <w:rPr/>
      </w:pPr>
      <w:r>
        <w:rPr/>
      </w:r>
    </w:p>
    <w:p>
      <w:pPr>
        <w:pStyle w:val="Normal"/>
        <w:ind w:end="-720"/>
        <w:rPr/>
      </w:pPr>
      <w:r>
        <w:rPr/>
        <w:t>Non-performing assets continue to increase.  Net income declines to modestly positive to break-even levels due to increased provision expense and loss of interest income on non-accrual loans.  The Bank meets or exceeds all minimum regulatory capital ratios.  Media coverage is negative, with stories primarily limited to general discussions of the continued decline in local economic conditions.</w:t>
      </w:r>
    </w:p>
    <w:p>
      <w:pPr>
        <w:pStyle w:val="Normal"/>
        <w:ind w:end="-720"/>
        <w:rPr/>
      </w:pPr>
      <w:r>
        <w:rPr/>
      </w:r>
    </w:p>
    <w:p>
      <w:pPr>
        <w:pStyle w:val="Normal"/>
        <w:ind w:end="-720"/>
        <w:rPr/>
      </w:pPr>
      <w:r>
        <w:rPr/>
        <w:t>Assumptions:</w:t>
      </w:r>
    </w:p>
    <w:p>
      <w:pPr>
        <w:pStyle w:val="Normal"/>
        <w:ind w:end="-720"/>
        <w:rPr/>
      </w:pPr>
      <w:r>
        <w:rPr/>
      </w:r>
    </w:p>
    <w:p>
      <w:pPr>
        <w:pStyle w:val="Normal"/>
        <w:numPr>
          <w:ilvl w:val="0"/>
          <w:numId w:val="3"/>
        </w:numPr>
        <w:ind w:hanging="360" w:start="1080" w:end="-720"/>
        <w:rPr/>
      </w:pPr>
      <w:r>
        <w:rPr/>
        <w:t>Demand deposit balances, both interest bearing and non-interest bearing decline at an annual rate of 10%.</w:t>
      </w:r>
    </w:p>
    <w:p>
      <w:pPr>
        <w:pStyle w:val="Normal"/>
        <w:ind w:end="-720"/>
        <w:rPr/>
      </w:pPr>
      <w:r>
        <w:rPr/>
      </w:r>
    </w:p>
    <w:p>
      <w:pPr>
        <w:pStyle w:val="Normal"/>
        <w:numPr>
          <w:ilvl w:val="0"/>
          <w:numId w:val="3"/>
        </w:numPr>
        <w:ind w:hanging="360" w:start="1080" w:end="-720"/>
        <w:rPr/>
      </w:pPr>
      <w:r>
        <w:rPr/>
        <w:t>Core time deposits decline by a 10% annualized rate.</w:t>
      </w:r>
    </w:p>
    <w:p>
      <w:pPr>
        <w:pStyle w:val="Normal"/>
        <w:ind w:end="-720"/>
        <w:rPr/>
      </w:pPr>
      <w:r>
        <w:rPr/>
      </w:r>
    </w:p>
    <w:p>
      <w:pPr>
        <w:pStyle w:val="Normal"/>
        <w:numPr>
          <w:ilvl w:val="0"/>
          <w:numId w:val="3"/>
        </w:numPr>
        <w:ind w:hanging="360" w:start="1080" w:end="-720"/>
        <w:rPr/>
      </w:pPr>
      <w:r>
        <w:rPr/>
        <w:t>All uncollateralized Large CD balances decline a 10% annualized rate.</w:t>
      </w:r>
    </w:p>
    <w:p>
      <w:pPr>
        <w:pStyle w:val="Normal"/>
        <w:ind w:end="-720"/>
        <w:rPr/>
      </w:pPr>
      <w:r>
        <w:rPr/>
      </w:r>
    </w:p>
    <w:p>
      <w:pPr>
        <w:pStyle w:val="Normal"/>
        <w:numPr>
          <w:ilvl w:val="0"/>
          <w:numId w:val="3"/>
        </w:numPr>
        <w:ind w:hanging="360" w:start="1080" w:end="-720"/>
        <w:rPr/>
      </w:pPr>
      <w:r>
        <w:rPr/>
        <w:t>Collateralized Borrowings are reduced 25%, reflecting correspondent views of the Bank’s financial condition.</w:t>
      </w:r>
    </w:p>
    <w:p>
      <w:pPr>
        <w:pStyle w:val="Normal"/>
        <w:ind w:end="-720"/>
        <w:rPr/>
      </w:pPr>
      <w:r>
        <w:rPr/>
      </w:r>
    </w:p>
    <w:p>
      <w:pPr>
        <w:pStyle w:val="Normal"/>
        <w:numPr>
          <w:ilvl w:val="0"/>
          <w:numId w:val="3"/>
        </w:numPr>
        <w:ind w:hanging="360" w:start="1080" w:end="-720"/>
        <w:rPr/>
      </w:pPr>
      <w:r>
        <w:rPr/>
        <w:t>No unsecured lines of credit available to the bank.</w:t>
      </w:r>
    </w:p>
    <w:p>
      <w:pPr>
        <w:pStyle w:val="Normal"/>
        <w:ind w:end="-720"/>
        <w:rPr/>
      </w:pPr>
      <w:r>
        <w:rPr/>
      </w:r>
    </w:p>
    <w:p>
      <w:pPr>
        <w:pStyle w:val="Normal"/>
        <w:numPr>
          <w:ilvl w:val="0"/>
          <w:numId w:val="3"/>
        </w:numPr>
        <w:ind w:hanging="360" w:start="1080" w:end="-720"/>
        <w:rPr/>
      </w:pPr>
      <w:r>
        <w:rPr/>
        <w:t>Cash flows from loans have decreased due to the increase in nonaccruals.</w:t>
      </w:r>
    </w:p>
    <w:p>
      <w:pPr>
        <w:pStyle w:val="Normal"/>
        <w:ind w:end="-720"/>
        <w:rPr/>
      </w:pPr>
      <w:r>
        <w:rPr/>
      </w:r>
    </w:p>
    <w:p>
      <w:pPr>
        <w:pStyle w:val="Normal"/>
        <w:ind w:end="-720"/>
        <w:rPr/>
      </w:pPr>
      <w:r>
        <w:rPr/>
      </w:r>
    </w:p>
    <w:p>
      <w:pPr>
        <w:pStyle w:val="Normal"/>
        <w:ind w:end="-720"/>
        <w:rPr>
          <w:b/>
          <w:u w:val="single"/>
        </w:rPr>
      </w:pPr>
      <w:r>
        <w:rPr>
          <w:b/>
          <w:u w:val="single"/>
        </w:rPr>
      </w:r>
    </w:p>
    <w:p>
      <w:pPr>
        <w:pStyle w:val="Normal"/>
        <w:ind w:end="-720"/>
        <w:rPr/>
      </w:pPr>
      <w:r>
        <w:rPr/>
        <w:t xml:space="preserve">Actions: </w:t>
      </w:r>
    </w:p>
    <w:p>
      <w:pPr>
        <w:pStyle w:val="Normal"/>
        <w:ind w:end="-720"/>
        <w:rPr>
          <w:b/>
          <w:u w:val="single"/>
        </w:rPr>
      </w:pPr>
      <w:r>
        <w:rPr>
          <w:b/>
          <w:u w:val="single"/>
        </w:rPr>
      </w:r>
    </w:p>
    <w:p>
      <w:pPr>
        <w:pStyle w:val="Normal"/>
        <w:numPr>
          <w:ilvl w:val="0"/>
          <w:numId w:val="7"/>
        </w:numPr>
        <w:jc w:val="both"/>
        <w:rPr/>
      </w:pPr>
      <w:r>
        <w:rPr/>
        <w:t>The CFO will coordinate the identification of all assets that can provide liquidity. For example indentify un-pledgable securities in the investment portfolio that could be sold.</w:t>
      </w:r>
    </w:p>
    <w:p>
      <w:pPr>
        <w:pStyle w:val="Normal"/>
        <w:ind w:end="-720"/>
        <w:rPr/>
      </w:pPr>
      <w:r>
        <w:rPr/>
      </w:r>
    </w:p>
    <w:p>
      <w:pPr>
        <w:pStyle w:val="Normal"/>
        <w:numPr>
          <w:ilvl w:val="0"/>
          <w:numId w:val="7"/>
        </w:numPr>
        <w:jc w:val="both"/>
        <w:rPr/>
      </w:pPr>
      <w:r>
        <w:rPr/>
        <w:t>The CFO will increase CD rates to attract longer deposits and offer higher rates to brokers to extend funding.</w:t>
      </w:r>
    </w:p>
    <w:p>
      <w:pPr>
        <w:pStyle w:val="Normal"/>
        <w:ind w:end="-720"/>
        <w:rPr/>
      </w:pPr>
      <w:r>
        <w:rPr/>
      </w:r>
    </w:p>
    <w:p>
      <w:pPr>
        <w:pStyle w:val="Normal"/>
        <w:numPr>
          <w:ilvl w:val="0"/>
          <w:numId w:val="7"/>
        </w:numPr>
        <w:jc w:val="both"/>
        <w:rPr/>
      </w:pPr>
      <w:r>
        <w:rPr/>
        <w:t xml:space="preserve">The CFO will prepare a report of all funding source exposures for the next 3 months, ranking all current sources as to their responsiveness to credit deterioration. The report will list large dollar customers, State Treasurer CDs and FHLB advances to mature over the next few months. </w:t>
      </w:r>
    </w:p>
    <w:p>
      <w:pPr>
        <w:pStyle w:val="Normal"/>
        <w:ind w:end="-720"/>
        <w:rPr/>
      </w:pPr>
      <w:r>
        <w:rPr/>
      </w:r>
    </w:p>
    <w:p>
      <w:pPr>
        <w:pStyle w:val="Normal"/>
        <w:numPr>
          <w:ilvl w:val="0"/>
          <w:numId w:val="7"/>
        </w:numPr>
        <w:jc w:val="both"/>
        <w:rPr/>
      </w:pPr>
      <w:r>
        <w:rPr/>
        <w:t>The CFO will identify all items which based on rating change, or any other defined event evidencing a downgrade of the Bank’s creditworthiness, can reduce liquidity.</w:t>
      </w:r>
    </w:p>
    <w:p>
      <w:pPr>
        <w:pStyle w:val="Normal"/>
        <w:ind w:end="-720"/>
        <w:jc w:val="both"/>
        <w:rPr/>
      </w:pPr>
      <w:r>
        <w:rPr/>
      </w:r>
    </w:p>
    <w:p>
      <w:pPr>
        <w:pStyle w:val="Normal"/>
        <w:numPr>
          <w:ilvl w:val="0"/>
          <w:numId w:val="7"/>
        </w:numPr>
        <w:jc w:val="both"/>
        <w:rPr/>
      </w:pPr>
      <w:r>
        <w:rPr/>
        <w:t>The CCO will continue to tighten credit quality requirements and pricing to continue to slow the net use of funds, as well as apply lending restrictions.</w:t>
      </w:r>
    </w:p>
    <w:p>
      <w:pPr>
        <w:pStyle w:val="Normal"/>
        <w:ind w:end="-720"/>
        <w:rPr/>
      </w:pPr>
      <w:r>
        <w:rPr/>
      </w:r>
    </w:p>
    <w:p>
      <w:pPr>
        <w:pStyle w:val="Normal"/>
        <w:ind w:end="-720"/>
        <w:rPr/>
      </w:pPr>
      <w:r>
        <w:rPr>
          <w:b/>
        </w:rPr>
        <w:t>D. Extreme Illiquidity</w:t>
      </w:r>
    </w:p>
    <w:p>
      <w:pPr>
        <w:pStyle w:val="Normal"/>
        <w:ind w:end="-720"/>
        <w:rPr>
          <w:b/>
          <w:u w:val="single"/>
        </w:rPr>
      </w:pPr>
      <w:r>
        <w:rPr>
          <w:b/>
          <w:u w:val="single"/>
        </w:rPr>
      </w:r>
    </w:p>
    <w:p>
      <w:pPr>
        <w:pStyle w:val="Normal"/>
        <w:ind w:end="-720"/>
        <w:rPr>
          <w:color w:val="FF0000"/>
        </w:rPr>
      </w:pPr>
      <w:r>
        <w:rPr/>
        <w:t xml:space="preserve">Scenario Description:  </w:t>
      </w:r>
    </w:p>
    <w:p>
      <w:pPr>
        <w:pStyle w:val="Normal"/>
        <w:ind w:end="-720"/>
        <w:rPr>
          <w:color w:val="FF0000"/>
        </w:rPr>
      </w:pPr>
      <w:r>
        <w:rPr>
          <w:color w:val="FF0000"/>
        </w:rPr>
      </w:r>
    </w:p>
    <w:p>
      <w:pPr>
        <w:pStyle w:val="Normal"/>
        <w:rPr/>
      </w:pPr>
      <w:r>
        <w:rPr/>
        <w:t>Extreme illiquidity represents further substantial deterioration of the Bank’s financial condition.  The corporation is functioning in a recessionary economic environment.</w:t>
      </w:r>
    </w:p>
    <w:p>
      <w:pPr>
        <w:pStyle w:val="Normal"/>
        <w:ind w:end="-720"/>
        <w:rPr/>
      </w:pPr>
      <w:r>
        <w:rPr/>
      </w:r>
    </w:p>
    <w:p>
      <w:pPr>
        <w:pStyle w:val="Normal"/>
        <w:jc w:val="both"/>
        <w:rPr/>
      </w:pPr>
      <w:r>
        <w:rPr/>
        <w:t>Non-performing asset levels are up to approximately 125% of Tier 1 Capital.  Net income is negative due to high levels of charge –offs and further increases in the loan loss reserve.  The Bank does not meet the regulatory minimum capital requirements.  National and local economic media coverage continues to be negative.  There is speculation that the Bank is in extreme difficulty, and all counterparties have restricted relations with the Bank.</w:t>
      </w:r>
    </w:p>
    <w:p>
      <w:pPr>
        <w:pStyle w:val="Normal"/>
        <w:ind w:end="-720"/>
        <w:jc w:val="both"/>
        <w:rPr/>
      </w:pPr>
      <w:r>
        <w:rPr/>
        <w:t xml:space="preserve"> </w:t>
      </w:r>
    </w:p>
    <w:p>
      <w:pPr>
        <w:pStyle w:val="Normal"/>
        <w:ind w:end="-720"/>
        <w:rPr/>
      </w:pPr>
      <w:r>
        <w:rPr/>
        <w:t>Assumptions:</w:t>
      </w:r>
    </w:p>
    <w:p>
      <w:pPr>
        <w:pStyle w:val="Normal"/>
        <w:ind w:end="-720"/>
        <w:rPr/>
      </w:pPr>
      <w:r>
        <w:rPr/>
      </w:r>
    </w:p>
    <w:p>
      <w:pPr>
        <w:pStyle w:val="Normal"/>
        <w:numPr>
          <w:ilvl w:val="0"/>
          <w:numId w:val="18"/>
        </w:numPr>
        <w:rPr/>
      </w:pPr>
      <w:r>
        <w:rPr/>
        <w:t>Demand deposit balances, both interest bearing and non-interest bearing decline at an annual rate of 20%.</w:t>
      </w:r>
    </w:p>
    <w:p>
      <w:pPr>
        <w:pStyle w:val="Normal"/>
        <w:ind w:end="-720"/>
        <w:rPr/>
      </w:pPr>
      <w:r>
        <w:rPr/>
      </w:r>
    </w:p>
    <w:p>
      <w:pPr>
        <w:pStyle w:val="Normal"/>
        <w:numPr>
          <w:ilvl w:val="0"/>
          <w:numId w:val="18"/>
        </w:numPr>
        <w:rPr/>
      </w:pPr>
      <w:r>
        <w:rPr/>
        <w:t>Core time deposits decline at a 25% annual rate, although all contractual agreements are met.</w:t>
      </w:r>
    </w:p>
    <w:p>
      <w:pPr>
        <w:pStyle w:val="Normal"/>
        <w:ind w:end="-720"/>
        <w:rPr/>
      </w:pPr>
      <w:r>
        <w:rPr/>
      </w:r>
    </w:p>
    <w:p>
      <w:pPr>
        <w:pStyle w:val="Normal"/>
        <w:numPr>
          <w:ilvl w:val="0"/>
          <w:numId w:val="18"/>
        </w:numPr>
        <w:ind w:hanging="360" w:start="1080" w:end="-720"/>
        <w:rPr/>
      </w:pPr>
      <w:r>
        <w:rPr/>
        <w:t>All uncollateralized Large CDs balances decline at a 25% annual rate.</w:t>
      </w:r>
    </w:p>
    <w:p>
      <w:pPr>
        <w:pStyle w:val="Normal"/>
        <w:ind w:end="-720"/>
        <w:rPr/>
      </w:pPr>
      <w:r>
        <w:rPr/>
      </w:r>
    </w:p>
    <w:p>
      <w:pPr>
        <w:pStyle w:val="Normal"/>
        <w:numPr>
          <w:ilvl w:val="0"/>
          <w:numId w:val="18"/>
        </w:numPr>
        <w:ind w:hanging="360" w:start="1080" w:end="-720"/>
        <w:rPr/>
      </w:pPr>
      <w:r>
        <w:rPr/>
        <w:t>Collateralized Borrowings are reduced 25%, reflecting correspondent views of Bank’s financial condition.</w:t>
      </w:r>
    </w:p>
    <w:p>
      <w:pPr>
        <w:pStyle w:val="Normal"/>
        <w:ind w:end="-720"/>
        <w:rPr/>
      </w:pPr>
      <w:r>
        <w:rPr/>
      </w:r>
    </w:p>
    <w:p>
      <w:pPr>
        <w:pStyle w:val="Normal"/>
        <w:numPr>
          <w:ilvl w:val="0"/>
          <w:numId w:val="18"/>
        </w:numPr>
        <w:ind w:hanging="360" w:start="1080" w:end="-720"/>
        <w:rPr/>
      </w:pPr>
      <w:r>
        <w:rPr/>
        <w:t>There is no access to brokered deposits.</w:t>
      </w:r>
    </w:p>
    <w:p>
      <w:pPr>
        <w:pStyle w:val="Normal"/>
        <w:ind w:end="-720"/>
        <w:rPr/>
      </w:pPr>
      <w:r>
        <w:rPr/>
      </w:r>
    </w:p>
    <w:p>
      <w:pPr>
        <w:pStyle w:val="Normal"/>
        <w:numPr>
          <w:ilvl w:val="0"/>
          <w:numId w:val="18"/>
        </w:numPr>
        <w:ind w:hanging="360" w:start="1080" w:end="-720"/>
        <w:rPr/>
      </w:pPr>
      <w:r>
        <w:rPr/>
        <w:t xml:space="preserve">Fair value declines in securities and other collateral devaluation. </w:t>
      </w:r>
    </w:p>
    <w:p>
      <w:pPr>
        <w:pStyle w:val="Normal"/>
        <w:ind w:end="-720"/>
        <w:rPr/>
      </w:pPr>
      <w:r>
        <w:rPr/>
      </w:r>
    </w:p>
    <w:p>
      <w:pPr>
        <w:pStyle w:val="Normal"/>
        <w:numPr>
          <w:ilvl w:val="0"/>
          <w:numId w:val="18"/>
        </w:numPr>
        <w:ind w:hanging="360" w:start="1080" w:end="-720"/>
        <w:rPr/>
      </w:pPr>
      <w:r>
        <w:rPr/>
        <w:t>FDIC rate cap restrictions, which is 75pb of the weekly national rate as published  http://www.fdic.gov/regulations/resources/rates/</w:t>
      </w:r>
    </w:p>
    <w:p>
      <w:pPr>
        <w:pStyle w:val="Normal"/>
        <w:ind w:end="-720"/>
        <w:rPr/>
      </w:pPr>
      <w:r>
        <w:rPr/>
      </w:r>
    </w:p>
    <w:p>
      <w:pPr>
        <w:pStyle w:val="Normal"/>
        <w:ind w:end="-720"/>
        <w:rPr/>
      </w:pPr>
      <w:r>
        <w:rPr/>
        <w:t>Actions:</w:t>
      </w:r>
    </w:p>
    <w:p>
      <w:pPr>
        <w:pStyle w:val="Normal"/>
        <w:ind w:end="-720"/>
        <w:rPr/>
      </w:pPr>
      <w:r>
        <w:rPr/>
      </w:r>
    </w:p>
    <w:p>
      <w:pPr>
        <w:pStyle w:val="Normal"/>
        <w:numPr>
          <w:ilvl w:val="0"/>
          <w:numId w:val="13"/>
        </w:numPr>
        <w:ind w:hanging="360" w:start="1080" w:end="-720"/>
        <w:rPr/>
      </w:pPr>
      <w:r>
        <w:rPr/>
        <w:t>All actions from prior scenarios will be appplicable.</w:t>
      </w:r>
    </w:p>
    <w:p>
      <w:pPr>
        <w:pStyle w:val="Normal"/>
        <w:ind w:end="-720"/>
        <w:rPr/>
      </w:pPr>
      <w:r>
        <w:rPr/>
      </w:r>
    </w:p>
    <w:p>
      <w:pPr>
        <w:pStyle w:val="Normal"/>
        <w:numPr>
          <w:ilvl w:val="0"/>
          <w:numId w:val="13"/>
        </w:numPr>
        <w:rPr/>
      </w:pPr>
      <w:r>
        <w:rPr/>
        <w:t>The CCO will review previously identified loans which can be participated in the national market and arrange backup commitments from other financial institutions.</w:t>
      </w:r>
    </w:p>
    <w:p>
      <w:pPr>
        <w:pStyle w:val="Normal"/>
        <w:ind w:end="-720"/>
        <w:rPr/>
      </w:pPr>
      <w:r>
        <w:rPr/>
      </w:r>
    </w:p>
    <w:p>
      <w:pPr>
        <w:pStyle w:val="Normal"/>
        <w:numPr>
          <w:ilvl w:val="0"/>
          <w:numId w:val="13"/>
        </w:numPr>
        <w:ind w:hanging="360" w:start="1080" w:end="-720"/>
        <w:rPr/>
      </w:pPr>
      <w:r>
        <w:rPr/>
        <w:t>The CFO will obtain active bids on assets sales.</w:t>
      </w:r>
    </w:p>
    <w:p>
      <w:pPr>
        <w:pStyle w:val="Normal"/>
        <w:ind w:end="-720"/>
        <w:rPr/>
      </w:pPr>
      <w:r>
        <w:rPr/>
      </w:r>
    </w:p>
    <w:p>
      <w:pPr>
        <w:pStyle w:val="Normal"/>
        <w:numPr>
          <w:ilvl w:val="0"/>
          <w:numId w:val="13"/>
        </w:numPr>
        <w:ind w:hanging="360" w:start="1080" w:end="-720"/>
        <w:rPr/>
      </w:pPr>
      <w:r>
        <w:rPr/>
        <w:t>The CEO will manage press releases, marketing and investor relations.</w:t>
      </w:r>
    </w:p>
    <w:p>
      <w:pPr>
        <w:pStyle w:val="Normal"/>
        <w:ind w:end="-720"/>
        <w:rPr/>
      </w:pPr>
      <w:r>
        <w:rPr/>
      </w:r>
    </w:p>
    <w:p>
      <w:pPr>
        <w:pStyle w:val="Normal"/>
        <w:numPr>
          <w:ilvl w:val="0"/>
          <w:numId w:val="13"/>
        </w:numPr>
        <w:ind w:hanging="360" w:start="1080" w:end="-720"/>
        <w:rPr/>
      </w:pPr>
      <w:r>
        <w:rPr/>
        <w:t>The Executive Management team will update regulators when appropriate.</w:t>
      </w:r>
    </w:p>
    <w:p>
      <w:pPr>
        <w:pStyle w:val="Heading5"/>
        <w:ind w:hanging="0" w:start="0"/>
        <w:rPr>
          <w:u w:val="none"/>
        </w:rPr>
      </w:pPr>
      <w:r>
        <w:rPr>
          <w:u w:val="none"/>
        </w:rPr>
      </w:r>
    </w:p>
    <w:p>
      <w:pPr>
        <w:pStyle w:val="Normal"/>
        <w:rPr>
          <w:u w:val="none"/>
        </w:rPr>
      </w:pPr>
      <w:r>
        <w:rPr>
          <w:u w:val="none"/>
        </w:rPr>
      </w:r>
    </w:p>
    <w:p>
      <w:pPr>
        <w:pStyle w:val="Normal"/>
        <w:rPr/>
      </w:pPr>
      <w:r>
        <w:rPr/>
      </w:r>
    </w:p>
    <w:p>
      <w:pPr>
        <w:pStyle w:val="Heading5"/>
        <w:ind w:hanging="0" w:start="0"/>
        <w:rPr>
          <w:u w:val="none"/>
        </w:rPr>
      </w:pPr>
      <w:r>
        <w:rPr>
          <w:u w:val="none"/>
        </w:rPr>
        <w:t>Other Matters</w:t>
      </w:r>
    </w:p>
    <w:p>
      <w:pPr>
        <w:pStyle w:val="Normal"/>
        <w:rPr>
          <w:u w:val="none"/>
        </w:rPr>
      </w:pPr>
      <w:r>
        <w:rPr>
          <w:u w:val="none"/>
        </w:rPr>
      </w:r>
    </w:p>
    <w:p>
      <w:pPr>
        <w:pStyle w:val="Normal"/>
        <w:jc w:val="both"/>
        <w:rPr/>
      </w:pPr>
      <w:r>
        <w:rPr/>
        <w:t>It is the intention of the Bank to maintain a process of liquidity risk management sufficient to measure, monitor and control the risk to the Bank’s funding and liquidity over a variety of possible scenarios and conditions.  We believe this policy addresses the nature of our Bank’s activities, and that we have no material exposure to other activities such as securitization, derivatives, trading, and transaction processing or financial market events.  Although no process can provide for all possible scenarios or risks, we believe the processes and systems outlined in this policy and related documents are commensurate with the Bank’s complexity, risk profile and scope of operations.</w:t>
      </w:r>
    </w:p>
    <w:p>
      <w:pPr>
        <w:pStyle w:val="Header"/>
        <w:tabs>
          <w:tab w:val="clear" w:pos="4320"/>
          <w:tab w:val="clear" w:pos="8640"/>
        </w:tabs>
        <w:rPr/>
      </w:pPr>
      <w:r>
        <w:rPr/>
        <w:tab/>
      </w:r>
    </w:p>
    <w:p>
      <w:pPr>
        <w:pStyle w:val="Header"/>
        <w:tabs>
          <w:tab w:val="clear" w:pos="4320"/>
          <w:tab w:val="clear" w:pos="8640"/>
        </w:tabs>
        <w:jc w:val="center"/>
        <w:rPr>
          <w:b/>
        </w:rPr>
      </w:pPr>
      <w:r>
        <w:rPr>
          <w:b/>
        </w:rPr>
      </w:r>
    </w:p>
    <w:p>
      <w:pPr>
        <w:pStyle w:val="Header"/>
        <w:tabs>
          <w:tab w:val="clear" w:pos="4320"/>
          <w:tab w:val="clear" w:pos="8640"/>
        </w:tabs>
        <w:ind w:firstLine="720" w:start="2880" w:end="0"/>
        <w:rPr>
          <w:b/>
        </w:rPr>
      </w:pPr>
      <w:r>
        <w:rPr>
          <w:b/>
        </w:rPr>
      </w:r>
    </w:p>
    <w:sectPr>
      <w:footerReference w:type="default" r:id="rId3"/>
      <w:type w:val="nextPage"/>
      <w:pgSz w:w="12240" w:h="15840"/>
      <w:pgMar w:left="1440" w:right="1440" w:gutter="0" w:header="0" w:top="1152" w:footer="432"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sto MT">
    <w:charset w:val="00" w:characterSet="windows-1252"/>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sz w:val="20"/>
      </w:rPr>
    </w:pPr>
    <w:r>
      <w:rPr>
        <w:b/>
        <w:bCs/>
        <w:sz w:val="20"/>
      </w:rPr>
    </w:r>
  </w:p>
  <w:p>
    <w:pPr>
      <w:pStyle w:val="Footer"/>
      <w:rPr>
        <w:b/>
        <w:bCs/>
        <w:sz w:val="20"/>
      </w:rPr>
    </w:pPr>
    <w:r>
      <w:rPr>
        <w:b/>
        <w:bCs/>
        <w:sz w:val="20"/>
      </w:rPr>
    </w:r>
  </w:p>
  <w:p>
    <w:pPr>
      <w:pStyle w:val="Footer"/>
      <w:rPr/>
    </w:pPr>
    <w:r>
      <w:rPr>
        <w:b/>
        <w:bCs/>
        <w:sz w:val="20"/>
      </w:rPr>
      <w:t xml:space="preserve">Page </w:t>
    </w:r>
    <w:r>
      <w:rPr>
        <w:b/>
        <w:bCs/>
        <w:sz w:val="20"/>
      </w:rPr>
      <w:fldChar w:fldCharType="begin"/>
    </w:r>
    <w:r>
      <w:rPr>
        <w:b/>
        <w:bCs/>
        <w:sz w:val="20"/>
      </w:rPr>
      <w:instrText xml:space="preserve"> PAGE </w:instrText>
    </w:r>
    <w:r>
      <w:rPr>
        <w:b/>
        <w:bCs/>
        <w:sz w:val="20"/>
      </w:rPr>
      <w:fldChar w:fldCharType="separate"/>
    </w:r>
    <w:r>
      <w:rPr>
        <w:b/>
        <w:bCs/>
        <w:sz w:val="20"/>
      </w:rPr>
      <w:t>16</w:t>
    </w:r>
    <w:r>
      <w:rPr>
        <w:b/>
        <w:bCs/>
        <w:sz w:val="20"/>
      </w:rPr>
      <w:fldChar w:fldCharType="end"/>
    </w:r>
    <w:r>
      <w:rPr>
        <w:b/>
        <w:bCs/>
        <w:sz w:val="20"/>
      </w:rPr>
      <w:t xml:space="preserve"> of </w:t>
    </w:r>
    <w:r>
      <w:rPr>
        <w:b/>
        <w:bCs/>
        <w:sz w:val="20"/>
      </w:rPr>
      <w:fldChar w:fldCharType="begin"/>
    </w:r>
    <w:r>
      <w:rPr>
        <w:b/>
        <w:bCs/>
        <w:sz w:val="20"/>
      </w:rPr>
      <w:instrText xml:space="preserve"> NUMPAGES \* ARABIC </w:instrText>
    </w:r>
    <w:r>
      <w:rPr>
        <w:b/>
        <w:bCs/>
        <w:sz w:val="20"/>
      </w:rPr>
      <w:fldChar w:fldCharType="separate"/>
    </w:r>
    <w:r>
      <w:rPr>
        <w:b/>
        <w:bCs/>
        <w:sz w:val="20"/>
      </w:rPr>
      <w:t>16</w:t>
    </w:r>
    <w:r>
      <w:rPr>
        <w:b/>
        <w:bCs/>
        <w:sz w:val="20"/>
      </w:rPr>
      <w:fldChar w:fldCharType="end"/>
    </w:r>
    <w:r>
      <w:rPr>
        <w:b/>
        <w:bCs/>
        <w:sz w:val="20"/>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3"/>
      <w:numFmt w:val="bullet"/>
      <w:lvlText w:val="-"/>
      <w:lvlJc w:val="start"/>
      <w:pPr>
        <w:tabs>
          <w:tab w:val="num" w:pos="780"/>
        </w:tabs>
        <w:ind w:start="780" w:hanging="360"/>
      </w:pPr>
      <w:rPr>
        <w:rFonts w:ascii="Arial" w:hAnsi="Arial" w:cs="Arial" w:hint="default"/>
      </w:rPr>
    </w:lvl>
    <w:lvl w:ilvl="1">
      <w:start w:val="1"/>
      <w:numFmt w:val="decimal"/>
      <w:lvlText w:val="%2."/>
      <w:lvlJc w:val="start"/>
      <w:pPr>
        <w:tabs>
          <w:tab w:val="num" w:pos="1440"/>
        </w:tabs>
        <w:ind w:start="1440" w:hanging="360"/>
      </w:pPr>
      <w:rPr>
        <w:b w:val="false"/>
      </w:rPr>
    </w:lvl>
    <w:lvl w:ilvl="2">
      <w:start w:val="1"/>
      <w:numFmt w:val="bullet"/>
      <w:lvlText w:val=""/>
      <w:lvlJc w:val="start"/>
      <w:pPr>
        <w:tabs>
          <w:tab w:val="num" w:pos="2220"/>
        </w:tabs>
        <w:ind w:start="2220" w:hanging="360"/>
      </w:pPr>
      <w:rPr>
        <w:rFonts w:ascii="Wingdings" w:hAnsi="Wingdings" w:cs="Wingdings" w:hint="default"/>
      </w:rPr>
    </w:lvl>
    <w:lvl w:ilvl="3">
      <w:start w:val="1"/>
      <w:numFmt w:val="bullet"/>
      <w:lvlText w:val=""/>
      <w:lvlJc w:val="start"/>
      <w:pPr>
        <w:tabs>
          <w:tab w:val="num" w:pos="2940"/>
        </w:tabs>
        <w:ind w:start="2940" w:hanging="360"/>
      </w:pPr>
      <w:rPr>
        <w:rFonts w:ascii="Symbol" w:hAnsi="Symbol" w:cs="Symbol" w:hint="default"/>
      </w:rPr>
    </w:lvl>
    <w:lvl w:ilvl="4">
      <w:start w:val="1"/>
      <w:numFmt w:val="bullet"/>
      <w:lvlText w:val="o"/>
      <w:lvlJc w:val="start"/>
      <w:pPr>
        <w:tabs>
          <w:tab w:val="num" w:pos="3660"/>
        </w:tabs>
        <w:ind w:start="3660" w:hanging="360"/>
      </w:pPr>
      <w:rPr>
        <w:rFonts w:ascii="Courier New" w:hAnsi="Courier New" w:cs="Courier New" w:hint="default"/>
      </w:rPr>
    </w:lvl>
    <w:lvl w:ilvl="5">
      <w:start w:val="1"/>
      <w:numFmt w:val="bullet"/>
      <w:lvlText w:val=""/>
      <w:lvlJc w:val="start"/>
      <w:pPr>
        <w:tabs>
          <w:tab w:val="num" w:pos="4380"/>
        </w:tabs>
        <w:ind w:start="4380" w:hanging="360"/>
      </w:pPr>
      <w:rPr>
        <w:rFonts w:ascii="Wingdings" w:hAnsi="Wingdings" w:cs="Wingdings" w:hint="default"/>
      </w:rPr>
    </w:lvl>
    <w:lvl w:ilvl="6">
      <w:start w:val="1"/>
      <w:numFmt w:val="bullet"/>
      <w:lvlText w:val=""/>
      <w:lvlJc w:val="start"/>
      <w:pPr>
        <w:tabs>
          <w:tab w:val="num" w:pos="5100"/>
        </w:tabs>
        <w:ind w:start="5100" w:hanging="360"/>
      </w:pPr>
      <w:rPr>
        <w:rFonts w:ascii="Symbol" w:hAnsi="Symbol" w:cs="Symbol" w:hint="default"/>
      </w:rPr>
    </w:lvl>
    <w:lvl w:ilvl="7">
      <w:start w:val="1"/>
      <w:numFmt w:val="bullet"/>
      <w:lvlText w:val="o"/>
      <w:lvlJc w:val="start"/>
      <w:pPr>
        <w:tabs>
          <w:tab w:val="num" w:pos="5820"/>
        </w:tabs>
        <w:ind w:start="5820" w:hanging="360"/>
      </w:pPr>
      <w:rPr>
        <w:rFonts w:ascii="Courier New" w:hAnsi="Courier New" w:cs="Courier New" w:hint="default"/>
      </w:rPr>
    </w:lvl>
    <w:lvl w:ilvl="8">
      <w:start w:val="1"/>
      <w:numFmt w:val="bullet"/>
      <w:lvlText w:val=""/>
      <w:lvlJc w:val="start"/>
      <w:pPr>
        <w:tabs>
          <w:tab w:val="num" w:pos="6540"/>
        </w:tabs>
        <w:ind w:start="6540" w:hanging="360"/>
      </w:pPr>
      <w:rPr>
        <w:rFonts w:ascii="Wingdings" w:hAnsi="Wingdings" w:cs="Wingdings" w:hint="default"/>
      </w:r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bullet"/>
      <w:lvlText w:val=""/>
      <w:lvlJc w:val="start"/>
      <w:pPr>
        <w:tabs>
          <w:tab w:val="num" w:pos="0"/>
        </w:tabs>
        <w:ind w:start="1080" w:hanging="360"/>
      </w:pPr>
      <w:rPr>
        <w:rFonts w:ascii="Symbol" w:hAnsi="Symbol" w:cs="Symbol" w:hint="default"/>
      </w:r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decimal"/>
      <w:lvlText w:val="%1."/>
      <w:lvlJc w:val="start"/>
      <w:pPr>
        <w:tabs>
          <w:tab w:val="num" w:pos="1080"/>
        </w:tabs>
        <w:ind w:start="1080" w:hanging="360"/>
      </w:pPr>
    </w:lvl>
  </w:abstractNum>
  <w:abstractNum w:abstractNumId="7">
    <w:lvl w:ilvl="0">
      <w:start w:val="1"/>
      <w:numFmt w:val="decimal"/>
      <w:lvlText w:val="%1."/>
      <w:lvlJc w:val="start"/>
      <w:pPr>
        <w:tabs>
          <w:tab w:val="num" w:pos="1080"/>
        </w:tabs>
        <w:ind w:start="1080" w:hanging="360"/>
      </w:p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800"/>
        </w:tabs>
        <w:ind w:start="1800" w:hanging="360"/>
      </w:p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1800"/>
        </w:tabs>
        <w:ind w:start="1800" w:hanging="360"/>
      </w:pPr>
      <w:rPr>
        <w:rFonts w:ascii="Symbol" w:hAnsi="Symbol" w:cs="Symbol" w:hint="default"/>
      </w:rPr>
    </w:lvl>
  </w:abstractNum>
  <w:abstractNum w:abstractNumId="13">
    <w:lvl w:ilvl="0">
      <w:start w:val="1"/>
      <w:numFmt w:val="decimal"/>
      <w:lvlText w:val="%1."/>
      <w:lvlJc w:val="start"/>
      <w:pPr>
        <w:tabs>
          <w:tab w:val="num" w:pos="1080"/>
        </w:tabs>
        <w:ind w:start="1080" w:hanging="360"/>
      </w:p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decimal"/>
      <w:lvlText w:val="%1."/>
      <w:lvlJc w:val="start"/>
      <w:pPr>
        <w:tabs>
          <w:tab w:val="num" w:pos="0"/>
        </w:tabs>
        <w:ind w:start="108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440"/>
        </w:tabs>
        <w:ind w:start="1440" w:hanging="360"/>
      </w:pPr>
      <w:rPr>
        <w:b w:val="false"/>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360"/>
        </w:tabs>
        <w:ind w:start="360" w:hanging="360"/>
      </w:pPr>
      <w:rPr>
        <w:rFonts w:ascii="Symbol" w:hAnsi="Symbol" w:cs="Symbol" w:hint="default"/>
      </w:rPr>
    </w:lvl>
  </w:abstractNum>
  <w:abstractNum w:abstractNumId="18">
    <w:lvl w:ilvl="0">
      <w:start w:val="1"/>
      <w:numFmt w:val="decimal"/>
      <w:lvlText w:val="%1."/>
      <w:lvlJc w:val="start"/>
      <w:pPr>
        <w:tabs>
          <w:tab w:val="num" w:pos="1080"/>
        </w:tabs>
        <w:ind w:start="1080" w:hanging="360"/>
      </w:pPr>
    </w:lvl>
  </w:abstractNum>
  <w:abstractNum w:abstractNumId="19">
    <w:lvl w:ilvl="0">
      <w:start w:val="1"/>
      <w:numFmt w:val="upperLetter"/>
      <w:lvlText w:val="%1."/>
      <w:lvlJc w:val="start"/>
      <w:pPr>
        <w:tabs>
          <w:tab w:val="num" w:pos="720"/>
        </w:tabs>
        <w:ind w:start="720" w:hanging="360"/>
      </w:pPr>
      <w:rPr>
        <w:b/>
      </w:rPr>
    </w:lvl>
    <w:lvl w:ilvl="1">
      <w:start w:val="1"/>
      <w:numFmt w:val="decimal"/>
      <w:lvlText w:val="%2."/>
      <w:lvlJc w:val="start"/>
      <w:pPr>
        <w:tabs>
          <w:tab w:val="num" w:pos="1440"/>
        </w:tabs>
        <w:ind w:start="1440" w:hanging="360"/>
      </w:pPr>
      <w:rPr>
        <w:b w:val="false"/>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jc w:val="both"/>
      <w:outlineLvl w:val="0"/>
    </w:pPr>
    <w:rPr>
      <w:b/>
      <w:bCs/>
    </w:rPr>
  </w:style>
  <w:style w:type="paragraph" w:styleId="Heading2">
    <w:name w:val="heading 2"/>
    <w:basedOn w:val="Normal"/>
    <w:next w:val="Normal"/>
    <w:qFormat/>
    <w:pPr>
      <w:keepNext w:val="true"/>
      <w:numPr>
        <w:ilvl w:val="1"/>
        <w:numId w:val="1"/>
      </w:numPr>
      <w:jc w:val="both"/>
      <w:outlineLvl w:val="1"/>
    </w:pPr>
    <w:rPr>
      <w:b/>
      <w:bCs/>
      <w:u w:val="single"/>
    </w:rPr>
  </w:style>
  <w:style w:type="paragraph" w:styleId="Heading3">
    <w:name w:val="heading 3"/>
    <w:basedOn w:val="Normal"/>
    <w:next w:val="Normal"/>
    <w:qFormat/>
    <w:pPr>
      <w:keepNext w:val="true"/>
      <w:numPr>
        <w:ilvl w:val="2"/>
        <w:numId w:val="1"/>
      </w:numPr>
      <w:jc w:val="both"/>
      <w:outlineLvl w:val="2"/>
    </w:pPr>
    <w:rPr>
      <w:u w:val="single"/>
    </w:rPr>
  </w:style>
  <w:style w:type="paragraph" w:styleId="Heading4">
    <w:name w:val="heading 4"/>
    <w:basedOn w:val="Normal"/>
    <w:next w:val="Normal"/>
    <w:qFormat/>
    <w:pPr>
      <w:keepNext w:val="true"/>
      <w:numPr>
        <w:ilvl w:val="3"/>
        <w:numId w:val="1"/>
      </w:numPr>
      <w:autoSpaceDE w:val="false"/>
      <w:outlineLvl w:val="3"/>
    </w:pPr>
    <w:rPr>
      <w:szCs w:val="20"/>
      <w:u w:val="single"/>
    </w:rPr>
  </w:style>
  <w:style w:type="paragraph" w:styleId="Heading5">
    <w:name w:val="heading 5"/>
    <w:basedOn w:val="Normal"/>
    <w:next w:val="Normal"/>
    <w:qFormat/>
    <w:pPr>
      <w:keepNext w:val="true"/>
      <w:numPr>
        <w:ilvl w:val="4"/>
        <w:numId w:val="1"/>
      </w:numPr>
      <w:autoSpaceDE w:val="false"/>
      <w:outlineLvl w:val="4"/>
    </w:pPr>
    <w:rPr>
      <w:b/>
      <w:bCs/>
      <w:szCs w:val="20"/>
      <w:u w:val="single"/>
    </w:rPr>
  </w:style>
  <w:style w:type="paragraph" w:styleId="Heading6">
    <w:name w:val="heading 6"/>
    <w:basedOn w:val="Normal"/>
    <w:next w:val="Normal"/>
    <w:qFormat/>
    <w:pPr>
      <w:keepNext w:val="true"/>
      <w:numPr>
        <w:ilvl w:val="5"/>
        <w:numId w:val="1"/>
      </w:numPr>
      <w:jc w:val="both"/>
      <w:outlineLvl w:val="5"/>
    </w:pPr>
    <w:rPr>
      <w:b/>
      <w:sz w:val="20"/>
      <w:u w:val="single"/>
    </w:rPr>
  </w:style>
  <w:style w:type="paragraph" w:styleId="Heading7">
    <w:name w:val="heading 7"/>
    <w:basedOn w:val="Normal"/>
    <w:next w:val="Normal"/>
    <w:qFormat/>
    <w:pPr>
      <w:keepNext w:val="true"/>
      <w:numPr>
        <w:ilvl w:val="6"/>
        <w:numId w:val="1"/>
      </w:numPr>
      <w:jc w:val="both"/>
      <w:outlineLvl w:val="6"/>
    </w:pPr>
    <w:rPr>
      <w:b/>
      <w:sz w:val="20"/>
    </w:rPr>
  </w:style>
  <w:style w:type="paragraph" w:styleId="Heading8">
    <w:name w:val="heading 8"/>
    <w:basedOn w:val="Normal"/>
    <w:next w:val="Normal"/>
    <w:qFormat/>
    <w:pPr>
      <w:keepNext w:val="true"/>
      <w:numPr>
        <w:ilvl w:val="7"/>
        <w:numId w:val="1"/>
      </w:numPr>
      <w:outlineLvl w:val="7"/>
    </w:pPr>
    <w:rPr>
      <w:sz w:val="20"/>
      <w:u w:val="single"/>
    </w:rPr>
  </w:style>
  <w:style w:type="paragraph" w:styleId="Heading9">
    <w:name w:val="heading 9"/>
    <w:basedOn w:val="Normal"/>
    <w:next w:val="Normal"/>
    <w:qFormat/>
    <w:pPr>
      <w:keepNext w:val="true"/>
      <w:numPr>
        <w:ilvl w:val="8"/>
        <w:numId w:val="1"/>
      </w:numPr>
      <w:jc w:val="both"/>
      <w:outlineLvl w:val="8"/>
    </w:pPr>
    <w:rPr>
      <w:i/>
      <w:sz w:val="20"/>
    </w:rPr>
  </w:style>
  <w:style w:type="character" w:styleId="WW8Num1z0">
    <w:name w:val="WW8Num1z0"/>
    <w:qFormat/>
    <w:rPr>
      <w:rFonts w:ascii="Arial" w:hAnsi="Arial"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Times New Roman" w:cs="Arial"/>
    </w:rPr>
  </w:style>
  <w:style w:type="character" w:styleId="WW8Num2z1">
    <w:name w:val="WW8Num2z1"/>
    <w:qFormat/>
    <w:rPr>
      <w:b w:val="false"/>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2z4">
    <w:name w:val="WW8Num2z4"/>
    <w:qFormat/>
    <w:rPr>
      <w:rFonts w:ascii="Courier New" w:hAnsi="Courier New" w:cs="Courier New"/>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Arial" w:hAnsi="Arial" w:eastAsia="Times New Roman" w:cs="Arial"/>
    </w:rPr>
  </w:style>
  <w:style w:type="character" w:styleId="WW8Num21z1">
    <w:name w:val="WW8Num21z1"/>
    <w:qFormat/>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1z4">
    <w:name w:val="WW8Num21z4"/>
    <w:qFormat/>
    <w:rPr>
      <w:rFonts w:ascii="Courier New" w:hAnsi="Courier New" w:cs="Courier New"/>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b w:val="false"/>
    </w:rPr>
  </w:style>
  <w:style w:type="character" w:styleId="WW8Num29z2">
    <w:name w:val="WW8Num29z2"/>
    <w:qFormat/>
    <w:rPr>
      <w:rFonts w:ascii="Wingdings" w:hAnsi="Wingdings" w:cs="Wingdings"/>
    </w:rPr>
  </w:style>
  <w:style w:type="character" w:styleId="WW8Num29z4">
    <w:name w:val="WW8Num29z4"/>
    <w:qFormat/>
    <w:rPr>
      <w:rFonts w:ascii="Courier New" w:hAnsi="Courier New" w:cs="Courier New"/>
    </w:rPr>
  </w:style>
  <w:style w:type="character" w:styleId="WW8Num30z0">
    <w:name w:val="WW8Num30z0"/>
    <w:qFormat/>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style>
  <w:style w:type="character" w:styleId="WW8Num39z2">
    <w:name w:val="WW8Num39z2"/>
    <w:qFormat/>
    <w:rPr>
      <w:rFonts w:ascii="Wingdings" w:hAnsi="Wingdings" w:cs="Wingdings"/>
    </w:rPr>
  </w:style>
  <w:style w:type="character" w:styleId="WW8Num39z4">
    <w:name w:val="WW8Num39z4"/>
    <w:qFormat/>
    <w:rPr>
      <w:rFonts w:ascii="Courier New" w:hAnsi="Courier New" w:cs="Courier New"/>
    </w:rPr>
  </w:style>
  <w:style w:type="character" w:styleId="WW8Num40z0">
    <w:name w:val="WW8Num40z0"/>
    <w:qFormat/>
    <w:rPr>
      <w:b/>
    </w:rPr>
  </w:style>
  <w:style w:type="character" w:styleId="WW8Num40z1">
    <w:name w:val="WW8Num40z1"/>
    <w:qFormat/>
    <w:rPr>
      <w:b w:val="false"/>
    </w:rPr>
  </w:style>
  <w:style w:type="character" w:styleId="WW8Num41z0">
    <w:name w:val="WW8Num41z0"/>
    <w:qFormat/>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Arial" w:hAnsi="Arial" w:eastAsia="Times New Roman" w:cs="Arial"/>
    </w:rPr>
  </w:style>
  <w:style w:type="character" w:styleId="WW8Num50z1">
    <w:name w:val="WW8Num50z1"/>
    <w:qFormat/>
    <w:rPr/>
  </w:style>
  <w:style w:type="character" w:styleId="WW8Num50z2">
    <w:name w:val="WW8Num50z2"/>
    <w:qFormat/>
    <w:rPr>
      <w:rFonts w:ascii="Wingdings" w:hAnsi="Wingdings" w:cs="Wingdings"/>
    </w:rPr>
  </w:style>
  <w:style w:type="character" w:styleId="WW8Num50z3">
    <w:name w:val="WW8Num50z3"/>
    <w:qFormat/>
    <w:rPr>
      <w:rFonts w:ascii="Symbol" w:hAnsi="Symbol" w:cs="Symbol"/>
    </w:rPr>
  </w:style>
  <w:style w:type="character" w:styleId="WW8Num50z4">
    <w:name w:val="WW8Num50z4"/>
    <w:qFormat/>
    <w:rPr>
      <w:rFonts w:ascii="Courier New" w:hAnsi="Courier New" w:cs="Courier New"/>
    </w:rPr>
  </w:style>
  <w:style w:type="character" w:styleId="WW8Num52z0">
    <w:name w:val="WW8Num52z0"/>
    <w:qFormat/>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2z3">
    <w:name w:val="WW8Num52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rPr>
  </w:style>
  <w:style w:type="character" w:styleId="PlainTextChar">
    <w:name w:val="Plain Text Char"/>
    <w:qFormat/>
    <w:rPr>
      <w:rFonts w:ascii="Courier New" w:hAnsi="Courier New" w:cs="Courier New"/>
      <w:lang w:bidi="ar-SA"/>
    </w:rPr>
  </w:style>
  <w:style w:type="paragraph" w:styleId="Heading">
    <w:name w:val="Heading"/>
    <w:basedOn w:val="Normal"/>
    <w:next w:val="BodyText"/>
    <w:qFormat/>
    <w:pPr>
      <w:jc w:val="center"/>
    </w:pPr>
    <w:rPr>
      <w:b/>
      <w:bCs/>
      <w:sz w:val="28"/>
    </w:rPr>
  </w:style>
  <w:style w:type="paragraph" w:styleId="BodyText">
    <w:name w:val="Body Text"/>
    <w:basedOn w:val="Normal"/>
    <w:pPr>
      <w:autoSpaceDE w:val="false"/>
      <w:jc w:val="both"/>
    </w:pPr>
    <w:rPr>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jc w:val="both"/>
    </w:pPr>
    <w:rPr>
      <w:sz w:val="20"/>
    </w:rPr>
  </w:style>
  <w:style w:type="paragraph" w:styleId="BodyText3">
    <w:name w:val="Body Text 3"/>
    <w:basedOn w:val="Normal"/>
    <w:qFormat/>
    <w:pPr/>
    <w:rPr>
      <w:sz w:val="20"/>
    </w:rPr>
  </w:style>
  <w:style w:type="paragraph" w:styleId="DocumentMap">
    <w:name w:val="Document Map"/>
    <w:basedOn w:val="Normal"/>
    <w:qFormat/>
    <w:pPr>
      <w:shd w:fill="000080" w:val="clear"/>
    </w:pPr>
    <w:rPr>
      <w:rFonts w:ascii="Tahoma" w:hAnsi="Tahoma" w:cs="Tahoma"/>
    </w:rPr>
  </w:style>
  <w:style w:type="paragraph" w:styleId="CommentText">
    <w:name w:val="Comment Text"/>
    <w:basedOn w:val="Normal"/>
    <w:qFormat/>
    <w:pPr/>
    <w:rPr>
      <w:sz w:val="20"/>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szCs w:val="20"/>
    </w:rPr>
  </w:style>
  <w:style w:type="paragraph" w:styleId="PlainText">
    <w:name w:val="Plain Text"/>
    <w:basedOn w:val="Normal"/>
    <w:qFormat/>
    <w:pPr/>
    <w:rPr>
      <w:rFonts w:ascii="Courier New" w:hAnsi="Courier New" w:cs="Courier New"/>
      <w:sz w:val="20"/>
      <w:szCs w:val="20"/>
    </w:rPr>
  </w:style>
  <w:style w:type="paragraph" w:styleId="ListParagraph">
    <w:name w:val="List Paragraph"/>
    <w:basedOn w:val="Normal"/>
    <w:qFormat/>
    <w:pPr>
      <w:spacing w:before="0" w:after="0"/>
      <w:ind w:hanging="0" w:start="720" w:end="0"/>
      <w:contextualSpacing/>
      <w:jc w:val="both"/>
    </w:pPr>
    <w:rPr>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2016-07-28T20:16:00Z</dcterms:created>
  <dc:creator>Mark Evans</dc:creator>
  <dc:description/>
  <cp:keywords/>
  <dc:language>en-US</dc:language>
  <cp:lastModifiedBy>DENISE ELLIOTT</cp:lastModifiedBy>
  <cp:lastPrinted>2012-08-08T17:05:00Z</cp:lastPrinted>
  <dcterms:modified xsi:type="dcterms:W3CDTF">2016-08-10T15:05:00Z</dcterms:modified>
  <cp:revision>17</cp:revision>
  <dc:subject/>
  <dc:title>Liquidity Policy</dc:title>
</cp:coreProperties>
</file>