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s>
        <w:suppressAutoHyphens w:val="true"/>
        <w:jc w:val="center"/>
        <w:rPr>
          <w:rFonts w:ascii="Century Gothic" w:hAnsi="Century Gothic" w:cs="Century Gothic"/>
          <w:b/>
          <w:spacing w:val="-3"/>
        </w:rPr>
      </w:pPr>
      <w:r>
        <w:rPr>
          <w:smallCaps/>
          <w:sz w:val="56"/>
        </w:rPr>
        <w:drawing>
          <wp:inline distT="0" distB="0" distL="0" distR="0">
            <wp:extent cx="4572635" cy="1371600"/>
            <wp:effectExtent l="0" t="0" r="0" b="0"/>
            <wp:docPr id="1" name="2007 Landscape 2 col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07 Landscape 2 color Logo"/>
                    <pic:cNvPicPr>
                      <a:picLocks noChangeAspect="1" noChangeArrowheads="1"/>
                    </pic:cNvPicPr>
                  </pic:nvPicPr>
                  <pic:blipFill>
                    <a:blip r:embed="rId2"/>
                    <a:srcRect l="-8" t="-26" r="-8" b="-26"/>
                    <a:stretch>
                      <a:fillRect/>
                    </a:stretch>
                  </pic:blipFill>
                  <pic:spPr bwMode="auto">
                    <a:xfrm>
                      <a:off x="0" y="0"/>
                      <a:ext cx="4572635" cy="1371600"/>
                    </a:xfrm>
                    <a:prstGeom prst="rect">
                      <a:avLst/>
                    </a:prstGeom>
                    <a:noFill/>
                  </pic:spPr>
                </pic:pic>
              </a:graphicData>
            </a:graphic>
          </wp:inline>
        </w:drawing>
      </w:r>
    </w:p>
    <w:p>
      <w:pPr>
        <w:pStyle w:val="Normal"/>
        <w:tabs>
          <w:tab w:val="clear" w:pos="720"/>
          <w:tab w:val="center" w:pos="4320" w:leader="none"/>
        </w:tabs>
        <w:suppressAutoHyphens w:val="true"/>
        <w:jc w:val="both"/>
        <w:rPr>
          <w:rFonts w:ascii="Arial" w:hAnsi="Arial" w:cs="Arial"/>
          <w:b/>
          <w:spacing w:val="-3"/>
          <w:sz w:val="36"/>
          <w:szCs w:val="36"/>
        </w:rPr>
      </w:pPr>
      <w:r>
        <w:rPr>
          <w:rFonts w:cs="Arial" w:ascii="Arial" w:hAnsi="Arial"/>
          <w:b/>
          <w:spacing w:val="-3"/>
          <w:sz w:val="36"/>
          <w:szCs w:val="36"/>
        </w:rPr>
      </w:r>
    </w:p>
    <w:p>
      <w:pPr>
        <w:pStyle w:val="Normal"/>
        <w:tabs>
          <w:tab w:val="clear" w:pos="720"/>
          <w:tab w:val="center" w:pos="4320" w:leader="none"/>
        </w:tabs>
        <w:suppressAutoHyphens w:val="true"/>
        <w:jc w:val="both"/>
        <w:rPr>
          <w:rFonts w:ascii="Arial" w:hAnsi="Arial" w:cs="Arial"/>
          <w:spacing w:val="-3"/>
          <w:sz w:val="36"/>
          <w:szCs w:val="36"/>
        </w:rPr>
      </w:pPr>
      <w:r>
        <w:rPr>
          <w:rFonts w:cs="Arial" w:ascii="Arial" w:hAnsi="Arial"/>
          <w:spacing w:val="-3"/>
          <w:sz w:val="36"/>
          <w:szCs w:val="36"/>
        </w:rPr>
      </w:r>
    </w:p>
    <w:p>
      <w:pPr>
        <w:pStyle w:val="Normal"/>
        <w:tabs>
          <w:tab w:val="clear" w:pos="720"/>
          <w:tab w:val="center" w:pos="4320" w:leader="none"/>
        </w:tabs>
        <w:suppressAutoHyphens w:val="true"/>
        <w:jc w:val="both"/>
        <w:rPr>
          <w:rFonts w:ascii="Arial" w:hAnsi="Arial" w:cs="Arial"/>
          <w:spacing w:val="-3"/>
          <w:sz w:val="36"/>
          <w:szCs w:val="36"/>
        </w:rPr>
      </w:pPr>
      <w:r>
        <w:rPr>
          <w:rFonts w:cs="Arial" w:ascii="Arial" w:hAnsi="Arial"/>
          <w:spacing w:val="-3"/>
          <w:sz w:val="36"/>
          <w:szCs w:val="36"/>
        </w:rPr>
      </w:r>
    </w:p>
    <w:p>
      <w:pPr>
        <w:pStyle w:val="Normal"/>
        <w:tabs>
          <w:tab w:val="clear" w:pos="720"/>
          <w:tab w:val="center" w:pos="4320" w:leader="none"/>
        </w:tabs>
        <w:suppressAutoHyphens w:val="true"/>
        <w:jc w:val="both"/>
        <w:rPr>
          <w:rFonts w:ascii="Arial" w:hAnsi="Arial" w:cs="Arial"/>
          <w:spacing w:val="-3"/>
          <w:sz w:val="36"/>
          <w:szCs w:val="36"/>
        </w:rPr>
      </w:pPr>
      <w:r>
        <w:rPr>
          <w:rFonts w:cs="Arial" w:ascii="Arial" w:hAnsi="Arial"/>
          <w:spacing w:val="-3"/>
          <w:sz w:val="36"/>
          <w:szCs w:val="36"/>
        </w:rPr>
      </w:r>
    </w:p>
    <w:p>
      <w:pPr>
        <w:pStyle w:val="Heading3"/>
        <w:pBdr>
          <w:top w:val="nil"/>
          <w:left w:val="nil"/>
          <w:bottom w:val="nil"/>
          <w:right w:val="nil"/>
        </w:pBdr>
        <w:ind w:hanging="0" w:start="0"/>
        <w:rPr>
          <w:rFonts w:ascii="Arial" w:hAnsi="Arial" w:cs="Arial"/>
          <w:sz w:val="56"/>
          <w:szCs w:val="56"/>
        </w:rPr>
      </w:pPr>
      <w:r>
        <w:rPr>
          <w:rFonts w:cs="Arial" w:ascii="Arial" w:hAnsi="Arial"/>
          <w:sz w:val="56"/>
          <w:szCs w:val="56"/>
        </w:rPr>
        <w:t>Internal Control Policy</w:t>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Normal"/>
        <w:tabs>
          <w:tab w:val="clear" w:pos="720"/>
          <w:tab w:val="center" w:pos="4320" w:leader="none"/>
        </w:tabs>
        <w:suppressAutoHyphens w:val="true"/>
        <w:jc w:val="both"/>
        <w:rPr>
          <w:rFonts w:ascii="Arial" w:hAnsi="Arial" w:cs="Arial"/>
          <w:spacing w:val="-3"/>
          <w:sz w:val="32"/>
          <w:szCs w:val="32"/>
        </w:rPr>
      </w:pPr>
      <w:r>
        <w:rPr>
          <w:rFonts w:cs="Arial" w:ascii="Arial" w:hAnsi="Arial"/>
          <w:spacing w:val="-3"/>
          <w:sz w:val="32"/>
          <w:szCs w:val="32"/>
        </w:rPr>
      </w:r>
    </w:p>
    <w:p>
      <w:pPr>
        <w:pStyle w:val="Heading4"/>
        <w:ind w:hanging="0" w:start="0"/>
        <w:rPr>
          <w:sz w:val="36"/>
          <w:szCs w:val="36"/>
        </w:rPr>
      </w:pPr>
      <w:r>
        <w:rPr>
          <w:sz w:val="36"/>
          <w:szCs w:val="36"/>
        </w:rPr>
        <w:t>May 2014</w:t>
      </w:r>
    </w:p>
    <w:p>
      <w:pPr>
        <w:pStyle w:val="Normal"/>
        <w:rPr>
          <w:sz w:val="36"/>
          <w:szCs w:val="36"/>
        </w:rPr>
      </w:pPr>
      <w:r>
        <w:rPr>
          <w:sz w:val="36"/>
          <w:szCs w:val="36"/>
        </w:rPr>
      </w:r>
      <w:r>
        <w:br w:type="page"/>
      </w:r>
    </w:p>
    <w:p>
      <w:pPr>
        <w:pStyle w:val="Normal"/>
        <w:tabs>
          <w:tab w:val="clear" w:pos="720"/>
          <w:tab w:val="center" w:pos="4320" w:leader="none"/>
        </w:tabs>
        <w:suppressAutoHyphens w:val="true"/>
        <w:jc w:val="both"/>
        <w:rPr>
          <w:rFonts w:ascii="Arial" w:hAnsi="Arial" w:cs="Arial"/>
          <w:b/>
          <w:spacing w:val="-3"/>
        </w:rPr>
      </w:pPr>
      <w:r>
        <w:rPr>
          <w:rFonts w:cs="Arial" w:ascii="Arial" w:hAnsi="Arial"/>
          <w:b/>
          <w:spacing w:val="-3"/>
        </w:rPr>
      </w:r>
    </w:p>
    <w:p>
      <w:pPr>
        <w:pStyle w:val="Normal"/>
        <w:tabs>
          <w:tab w:val="clear" w:pos="720"/>
          <w:tab w:val="center" w:pos="4320" w:leader="none"/>
        </w:tabs>
        <w:suppressAutoHyphens w:val="true"/>
        <w:jc w:val="both"/>
        <w:rPr>
          <w:rFonts w:ascii="Arial" w:hAnsi="Arial" w:cs="Arial"/>
          <w:b/>
          <w:spacing w:val="-3"/>
        </w:rPr>
      </w:pPr>
      <w:r>
        <w:rPr>
          <w:rFonts w:cs="Arial" w:ascii="Arial" w:hAnsi="Arial"/>
          <w:b/>
          <w:spacing w:val="-3"/>
        </w:rPr>
      </w:r>
    </w:p>
    <w:p>
      <w:pPr>
        <w:pStyle w:val="Normal"/>
        <w:spacing w:before="0" w:after="480"/>
        <w:jc w:val="center"/>
        <w:rPr>
          <w:rFonts w:ascii="Arial" w:hAnsi="Arial" w:cs="Arial"/>
          <w:szCs w:val="24"/>
        </w:rPr>
      </w:pPr>
      <w:r>
        <w:rPr>
          <w:rFonts w:cs="Arial" w:ascii="Arial" w:hAnsi="Arial"/>
          <w:szCs w:val="24"/>
        </w:rPr>
        <w:t>TABLE OF CONTENTS</w:t>
      </w:r>
    </w:p>
    <w:tbl>
      <w:tblPr>
        <w:tblW w:w="9378" w:type="dxa"/>
        <w:jc w:val="start"/>
        <w:tblInd w:w="0" w:type="dxa"/>
        <w:tblLayout w:type="fixed"/>
        <w:tblCellMar>
          <w:top w:w="0" w:type="dxa"/>
          <w:start w:w="108" w:type="dxa"/>
          <w:bottom w:w="0" w:type="dxa"/>
          <w:end w:w="108" w:type="dxa"/>
        </w:tblCellMar>
      </w:tblPr>
      <w:tblGrid>
        <w:gridCol w:w="8568"/>
        <w:gridCol w:w="810"/>
      </w:tblGrid>
      <w:tr>
        <w:trPr/>
        <w:tc>
          <w:tcPr>
            <w:tcW w:w="8568"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Section</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Page</w:t>
            </w:r>
          </w:p>
        </w:tc>
      </w:tr>
      <w:tr>
        <w:trPr/>
        <w:tc>
          <w:tcPr>
            <w:tcW w:w="8568" w:type="dxa"/>
            <w:tcBorders/>
          </w:tcPr>
          <w:p>
            <w:pPr>
              <w:pStyle w:val="Header"/>
              <w:tabs>
                <w:tab w:val="clear" w:pos="4320"/>
                <w:tab w:val="clear" w:pos="8640"/>
                <w:tab w:val="left" w:pos="288" w:leader="none"/>
                <w:tab w:val="left" w:pos="720" w:leader="none"/>
              </w:tabs>
              <w:spacing w:lineRule="auto" w:line="360"/>
              <w:rPr>
                <w:rFonts w:ascii="Arial" w:hAnsi="Arial" w:cs="Arial"/>
                <w:szCs w:val="24"/>
              </w:rPr>
            </w:pPr>
            <w:r>
              <w:rPr>
                <w:rFonts w:cs="Arial" w:ascii="Arial" w:hAnsi="Arial"/>
                <w:szCs w:val="24"/>
              </w:rPr>
              <w:t>Purpose…………………………………………………………………………….…</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3</w:t>
            </w:r>
          </w:p>
        </w:tc>
      </w:tr>
      <w:tr>
        <w:trPr/>
        <w:tc>
          <w:tcPr>
            <w:tcW w:w="8568" w:type="dxa"/>
            <w:tcBorders/>
          </w:tcPr>
          <w:p>
            <w:pPr>
              <w:pStyle w:val="Normal"/>
              <w:tabs>
                <w:tab w:val="left" w:pos="288" w:leader="none"/>
                <w:tab w:val="left" w:pos="720" w:leader="none"/>
              </w:tabs>
              <w:spacing w:lineRule="auto" w:line="360"/>
              <w:rPr>
                <w:rFonts w:ascii="Arial" w:hAnsi="Arial" w:cs="Arial"/>
                <w:szCs w:val="24"/>
              </w:rPr>
            </w:pPr>
            <w:r>
              <w:rPr>
                <w:rFonts w:cs="Arial" w:ascii="Arial" w:hAnsi="Arial"/>
                <w:szCs w:val="24"/>
              </w:rPr>
              <w:t>Key Components…………………………..………………………………….………</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3</w:t>
            </w:r>
          </w:p>
        </w:tc>
      </w:tr>
      <w:tr>
        <w:trPr/>
        <w:tc>
          <w:tcPr>
            <w:tcW w:w="8568" w:type="dxa"/>
            <w:tcBorders/>
          </w:tcPr>
          <w:p>
            <w:pPr>
              <w:pStyle w:val="Normal"/>
              <w:tabs>
                <w:tab w:val="left" w:pos="288" w:leader="none"/>
                <w:tab w:val="left" w:pos="720" w:leader="none"/>
              </w:tabs>
              <w:spacing w:lineRule="auto" w:line="360"/>
              <w:rPr>
                <w:rFonts w:ascii="Arial" w:hAnsi="Arial" w:cs="Arial"/>
                <w:szCs w:val="24"/>
              </w:rPr>
            </w:pPr>
            <w:r>
              <w:rPr>
                <w:rFonts w:cs="Arial" w:ascii="Arial" w:hAnsi="Arial"/>
                <w:szCs w:val="24"/>
              </w:rPr>
              <w:t>Internal Control……………………………….…………………………….…………</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4</w:t>
            </w:r>
          </w:p>
        </w:tc>
      </w:tr>
      <w:tr>
        <w:trPr/>
        <w:tc>
          <w:tcPr>
            <w:tcW w:w="8568" w:type="dxa"/>
            <w:tcBorders/>
          </w:tcPr>
          <w:p>
            <w:pPr>
              <w:pStyle w:val="Normal"/>
              <w:tabs>
                <w:tab w:val="left" w:pos="288" w:leader="none"/>
                <w:tab w:val="left" w:pos="720" w:leader="none"/>
              </w:tabs>
              <w:spacing w:lineRule="auto" w:line="360"/>
              <w:rPr>
                <w:rFonts w:ascii="Arial" w:hAnsi="Arial" w:cs="Arial"/>
                <w:szCs w:val="24"/>
              </w:rPr>
            </w:pPr>
            <w:r>
              <w:rPr>
                <w:rFonts w:cs="Arial" w:ascii="Arial" w:hAnsi="Arial"/>
                <w:szCs w:val="24"/>
              </w:rPr>
              <w:t>Policy…………………………………………………………………….……………</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5</w:t>
            </w:r>
          </w:p>
        </w:tc>
      </w:tr>
      <w:tr>
        <w:trPr/>
        <w:tc>
          <w:tcPr>
            <w:tcW w:w="8568" w:type="dxa"/>
            <w:tcBorders/>
          </w:tcPr>
          <w:p>
            <w:pPr>
              <w:pStyle w:val="Normal"/>
              <w:tabs>
                <w:tab w:val="left" w:pos="288" w:leader="none"/>
                <w:tab w:val="left" w:pos="720" w:leader="none"/>
              </w:tabs>
              <w:spacing w:lineRule="auto" w:line="360"/>
              <w:rPr>
                <w:rFonts w:ascii="Arial" w:hAnsi="Arial" w:cs="Arial"/>
                <w:szCs w:val="24"/>
              </w:rPr>
            </w:pPr>
            <w:r>
              <w:rPr>
                <w:rFonts w:cs="Arial" w:ascii="Arial" w:hAnsi="Arial"/>
                <w:szCs w:val="24"/>
              </w:rPr>
              <w:t>Authority…………………………..………………………………………….…………</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5</w:t>
            </w:r>
          </w:p>
        </w:tc>
      </w:tr>
      <w:tr>
        <w:trPr/>
        <w:tc>
          <w:tcPr>
            <w:tcW w:w="8568" w:type="dxa"/>
            <w:tcBorders/>
          </w:tcPr>
          <w:p>
            <w:pPr>
              <w:pStyle w:val="Normal"/>
              <w:tabs>
                <w:tab w:val="left" w:pos="288" w:leader="none"/>
                <w:tab w:val="left" w:pos="720" w:leader="none"/>
              </w:tabs>
              <w:spacing w:lineRule="auto" w:line="360"/>
              <w:rPr>
                <w:rFonts w:ascii="Arial" w:hAnsi="Arial" w:cs="Arial"/>
                <w:szCs w:val="24"/>
              </w:rPr>
            </w:pPr>
            <w:r>
              <w:rPr>
                <w:rFonts w:cs="Arial" w:ascii="Arial" w:hAnsi="Arial"/>
                <w:szCs w:val="24"/>
              </w:rPr>
              <w:t>Audit Committee Membership Requirements………………………………………</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6</w:t>
            </w:r>
          </w:p>
        </w:tc>
      </w:tr>
      <w:tr>
        <w:trPr/>
        <w:tc>
          <w:tcPr>
            <w:tcW w:w="8568" w:type="dxa"/>
            <w:tcBorders/>
          </w:tcPr>
          <w:p>
            <w:pPr>
              <w:pStyle w:val="Normal"/>
              <w:tabs>
                <w:tab w:val="left" w:pos="288" w:leader="none"/>
                <w:tab w:val="left" w:pos="720" w:leader="none"/>
              </w:tabs>
              <w:spacing w:lineRule="auto" w:line="360"/>
              <w:rPr>
                <w:rFonts w:ascii="Arial" w:hAnsi="Arial" w:cs="Arial"/>
                <w:szCs w:val="24"/>
              </w:rPr>
            </w:pPr>
            <w:r>
              <w:rPr>
                <w:rFonts w:cs="Arial" w:ascii="Arial" w:hAnsi="Arial"/>
                <w:szCs w:val="24"/>
              </w:rPr>
              <w:t>Responsibilities…………………………………………………………….…………</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6</w:t>
            </w:r>
          </w:p>
        </w:tc>
      </w:tr>
      <w:tr>
        <w:trPr/>
        <w:tc>
          <w:tcPr>
            <w:tcW w:w="8568" w:type="dxa"/>
            <w:tcBorders/>
          </w:tcPr>
          <w:p>
            <w:pPr>
              <w:pStyle w:val="Normal"/>
              <w:tabs>
                <w:tab w:val="left" w:pos="288" w:leader="none"/>
                <w:tab w:val="left" w:pos="720" w:leader="none"/>
              </w:tabs>
              <w:spacing w:lineRule="auto" w:line="360"/>
              <w:rPr/>
            </w:pPr>
            <w:r>
              <w:rPr>
                <w:rFonts w:cs="Arial" w:ascii="Arial" w:hAnsi="Arial"/>
                <w:szCs w:val="24"/>
              </w:rPr>
              <w:tab/>
              <w:t>Audit Committee…………………………...…………………………….…………</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6</w:t>
            </w:r>
          </w:p>
        </w:tc>
      </w:tr>
      <w:tr>
        <w:trPr/>
        <w:tc>
          <w:tcPr>
            <w:tcW w:w="8568" w:type="dxa"/>
            <w:tcBorders/>
          </w:tcPr>
          <w:p>
            <w:pPr>
              <w:pStyle w:val="Normal"/>
              <w:tabs>
                <w:tab w:val="left" w:pos="288" w:leader="none"/>
                <w:tab w:val="left" w:pos="720" w:leader="none"/>
              </w:tabs>
              <w:spacing w:lineRule="auto" w:line="360"/>
              <w:rPr>
                <w:rFonts w:ascii="Arial" w:hAnsi="Arial" w:cs="Arial"/>
                <w:szCs w:val="24"/>
              </w:rPr>
            </w:pPr>
            <w:r>
              <w:rPr>
                <w:rFonts w:cs="Arial" w:ascii="Arial" w:hAnsi="Arial"/>
                <w:szCs w:val="24"/>
              </w:rPr>
              <w:tab/>
              <w:t>Bank Management………………………………….…………………….………</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7</w:t>
            </w:r>
          </w:p>
        </w:tc>
      </w:tr>
      <w:tr>
        <w:trPr/>
        <w:tc>
          <w:tcPr>
            <w:tcW w:w="8568" w:type="dxa"/>
            <w:tcBorders/>
          </w:tcPr>
          <w:p>
            <w:pPr>
              <w:pStyle w:val="Normal"/>
              <w:tabs>
                <w:tab w:val="left" w:pos="288" w:leader="none"/>
                <w:tab w:val="left" w:pos="720" w:leader="none"/>
              </w:tabs>
              <w:spacing w:lineRule="auto" w:line="360"/>
              <w:rPr>
                <w:rFonts w:ascii="Arial" w:hAnsi="Arial" w:cs="Arial"/>
                <w:szCs w:val="24"/>
              </w:rPr>
            </w:pPr>
            <w:r>
              <w:rPr>
                <w:rFonts w:cs="Arial" w:ascii="Arial" w:hAnsi="Arial"/>
                <w:szCs w:val="24"/>
              </w:rPr>
              <w:tab/>
              <w:t>Director of Compliance and Audit………………………………………….…….</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8</w:t>
            </w:r>
          </w:p>
        </w:tc>
      </w:tr>
      <w:tr>
        <w:trPr/>
        <w:tc>
          <w:tcPr>
            <w:tcW w:w="8568" w:type="dxa"/>
            <w:tcBorders/>
          </w:tcPr>
          <w:p>
            <w:pPr>
              <w:pStyle w:val="Normal"/>
              <w:tabs>
                <w:tab w:val="left" w:pos="288" w:leader="none"/>
                <w:tab w:val="left" w:pos="720" w:leader="none"/>
              </w:tabs>
              <w:spacing w:lineRule="auto" w:line="360"/>
              <w:rPr/>
            </w:pPr>
            <w:r>
              <w:rPr>
                <w:rFonts w:cs="Arial" w:ascii="Arial" w:hAnsi="Arial"/>
                <w:szCs w:val="24"/>
              </w:rPr>
              <w:tab/>
              <w:t>All Bank Personnel…..……………………………………………………….……</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9</w:t>
            </w:r>
          </w:p>
        </w:tc>
      </w:tr>
      <w:tr>
        <w:trPr/>
        <w:tc>
          <w:tcPr>
            <w:tcW w:w="8568" w:type="dxa"/>
            <w:tcBorders/>
          </w:tcPr>
          <w:p>
            <w:pPr>
              <w:pStyle w:val="Normal"/>
              <w:tabs>
                <w:tab w:val="left" w:pos="288" w:leader="none"/>
                <w:tab w:val="left" w:pos="720" w:leader="none"/>
              </w:tabs>
              <w:spacing w:lineRule="auto" w:line="360"/>
              <w:rPr/>
            </w:pPr>
            <w:r>
              <w:rPr>
                <w:rFonts w:cs="Arial" w:ascii="Arial" w:hAnsi="Arial"/>
                <w:szCs w:val="24"/>
              </w:rPr>
              <w:t>External Audits…….  ……………………………..…………………………….……</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10</w:t>
            </w:r>
          </w:p>
        </w:tc>
      </w:tr>
      <w:tr>
        <w:trPr/>
        <w:tc>
          <w:tcPr>
            <w:tcW w:w="8568" w:type="dxa"/>
            <w:tcBorders/>
          </w:tcPr>
          <w:p>
            <w:pPr>
              <w:pStyle w:val="Normal"/>
              <w:tabs>
                <w:tab w:val="left" w:pos="288" w:leader="none"/>
                <w:tab w:val="left" w:pos="720" w:leader="none"/>
              </w:tabs>
              <w:spacing w:lineRule="auto" w:line="360"/>
              <w:rPr/>
            </w:pPr>
            <w:r>
              <w:rPr>
                <w:rFonts w:cs="Arial" w:ascii="Arial" w:hAnsi="Arial"/>
                <w:szCs w:val="24"/>
              </w:rPr>
              <w:t>Selection of Public Accounting Firm…………………………………………………</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10</w:t>
            </w:r>
          </w:p>
        </w:tc>
      </w:tr>
      <w:tr>
        <w:trPr/>
        <w:tc>
          <w:tcPr>
            <w:tcW w:w="8568" w:type="dxa"/>
            <w:tcBorders/>
          </w:tcPr>
          <w:p>
            <w:pPr>
              <w:pStyle w:val="Header"/>
              <w:tabs>
                <w:tab w:val="clear" w:pos="4320"/>
                <w:tab w:val="clear" w:pos="8640"/>
                <w:tab w:val="left" w:pos="288" w:leader="none"/>
                <w:tab w:val="left" w:pos="720" w:leader="none"/>
              </w:tabs>
              <w:spacing w:lineRule="auto" w:line="360"/>
              <w:rPr/>
            </w:pPr>
            <w:r>
              <w:rPr>
                <w:rFonts w:cs="Arial" w:ascii="Arial" w:hAnsi="Arial"/>
                <w:szCs w:val="24"/>
              </w:rPr>
              <w:t>Direct Access to the Audit Committee and/or Board of Directors ..……………..</w:t>
            </w:r>
          </w:p>
        </w:tc>
        <w:tc>
          <w:tcPr>
            <w:tcW w:w="810" w:type="dxa"/>
            <w:tcBorders/>
          </w:tcPr>
          <w:p>
            <w:pPr>
              <w:pStyle w:val="Normal"/>
              <w:tabs>
                <w:tab w:val="left" w:pos="288" w:leader="none"/>
                <w:tab w:val="left" w:pos="720" w:leader="none"/>
              </w:tabs>
              <w:spacing w:lineRule="auto" w:line="360"/>
              <w:jc w:val="center"/>
              <w:rPr>
                <w:rFonts w:ascii="Arial" w:hAnsi="Arial" w:cs="Arial"/>
                <w:szCs w:val="24"/>
              </w:rPr>
            </w:pPr>
            <w:r>
              <w:rPr>
                <w:rFonts w:cs="Arial" w:ascii="Arial" w:hAnsi="Arial"/>
                <w:szCs w:val="24"/>
              </w:rPr>
              <w:t>11</w:t>
            </w:r>
          </w:p>
        </w:tc>
      </w:tr>
    </w:tbl>
    <w:p>
      <w:pPr>
        <w:pStyle w:val="BodyText"/>
        <w:rPr>
          <w:rFonts w:ascii="Arial" w:hAnsi="Arial" w:cs="Arial"/>
          <w:sz w:val="24"/>
          <w:szCs w:val="24"/>
        </w:rPr>
      </w:pPr>
      <w:r>
        <w:rPr>
          <w:rFonts w:cs="Arial" w:ascii="Arial" w:hAnsi="Arial"/>
          <w:sz w:val="24"/>
          <w:szCs w:val="24"/>
        </w:rPr>
      </w:r>
      <w:r>
        <w:br w:type="page"/>
      </w:r>
    </w:p>
    <w:p>
      <w:pPr>
        <w:pStyle w:val="BodyText"/>
        <w:spacing w:before="0" w:after="0"/>
        <w:rPr>
          <w:rFonts w:ascii="Arial" w:hAnsi="Arial" w:cs="Arial"/>
          <w:sz w:val="24"/>
          <w:szCs w:val="24"/>
        </w:rPr>
      </w:pPr>
      <w:r>
        <w:rPr>
          <w:rFonts w:cs="Arial" w:ascii="Arial" w:hAnsi="Arial"/>
          <w:sz w:val="24"/>
          <w:szCs w:val="24"/>
        </w:rPr>
        <w:t>Highland Bank (Bank) is committed to ensuring organizations under its ownership maintain adequate internal controls to prevent, detect and correct material bank errors, omissions, fraud, irregularities, control deficiencies and major contingencies.</w:t>
      </w:r>
    </w:p>
    <w:p>
      <w:pPr>
        <w:pStyle w:val="BodyText"/>
        <w:spacing w:before="0" w:after="0"/>
        <w:rPr>
          <w:rFonts w:ascii="Arial" w:hAnsi="Arial" w:cs="Arial"/>
          <w:sz w:val="24"/>
          <w:szCs w:val="24"/>
        </w:rPr>
      </w:pPr>
      <w:r>
        <w:rPr>
          <w:rFonts w:cs="Arial" w:ascii="Arial" w:hAnsi="Arial"/>
          <w:sz w:val="24"/>
          <w:szCs w:val="24"/>
        </w:rPr>
      </w:r>
    </w:p>
    <w:p>
      <w:pPr>
        <w:pStyle w:val="BodyText"/>
        <w:spacing w:before="0" w:after="0"/>
        <w:rPr>
          <w:rFonts w:ascii="Arial" w:hAnsi="Arial" w:cs="Arial"/>
          <w:sz w:val="24"/>
          <w:szCs w:val="24"/>
        </w:rPr>
      </w:pPr>
      <w:r>
        <w:rPr>
          <w:rFonts w:cs="Arial" w:ascii="Arial" w:hAnsi="Arial"/>
          <w:sz w:val="24"/>
          <w:szCs w:val="24"/>
        </w:rPr>
        <w:t>The Internal Audit Department of the Bank is an independent, objective assurance and consulting function designed to add value and improve the Bank's operations.  The Internal Audit function has been established within the Bank as a service to management, the Board of Directors (Board) and Audit Committee.  It is a high-level control which functions by identifying, reviewing and evaluating the adequacy, effectiveness and efficiency of the systems of control and reporting the results of these evaluations to appropriate parties to facilitate corrective action.  Internal Audit helps the Bank accomplish its objectives by bringing a systematic, disciplined approach to evaluating and improving the effectiveness of risk management, control, and governance processes.</w:t>
      </w:r>
    </w:p>
    <w:p>
      <w:pPr>
        <w:pStyle w:val="BodyText"/>
        <w:spacing w:before="0" w:after="0"/>
        <w:rPr>
          <w:rFonts w:ascii="Arial" w:hAnsi="Arial" w:cs="Arial"/>
          <w:sz w:val="24"/>
          <w:szCs w:val="24"/>
        </w:rPr>
      </w:pPr>
      <w:r>
        <w:rPr>
          <w:rFonts w:cs="Arial" w:ascii="Arial" w:hAnsi="Arial"/>
          <w:sz w:val="24"/>
          <w:szCs w:val="24"/>
        </w:rPr>
      </w:r>
    </w:p>
    <w:p>
      <w:pPr>
        <w:pStyle w:val="BodyText"/>
        <w:spacing w:before="0" w:after="0"/>
        <w:rPr>
          <w:rFonts w:ascii="Arial" w:hAnsi="Arial" w:cs="Arial"/>
          <w:sz w:val="24"/>
          <w:szCs w:val="24"/>
        </w:rPr>
      </w:pPr>
      <w:r>
        <w:rPr>
          <w:rFonts w:cs="Arial" w:ascii="Arial" w:hAnsi="Arial"/>
          <w:sz w:val="24"/>
          <w:szCs w:val="24"/>
        </w:rPr>
      </w:r>
    </w:p>
    <w:p>
      <w:pPr>
        <w:pStyle w:val="Normal"/>
        <w:jc w:val="both"/>
        <w:rPr>
          <w:rFonts w:ascii="Arial" w:hAnsi="Arial" w:cs="Arial"/>
          <w:b/>
          <w:szCs w:val="24"/>
        </w:rPr>
      </w:pPr>
      <w:r>
        <w:rPr>
          <w:rFonts w:cs="Arial" w:ascii="Arial" w:hAnsi="Arial"/>
          <w:b/>
          <w:szCs w:val="24"/>
        </w:rPr>
        <w:t>PURPOSE</w:t>
      </w:r>
    </w:p>
    <w:p>
      <w:pPr>
        <w:pStyle w:val="Normal"/>
        <w:jc w:val="both"/>
        <w:rPr>
          <w:rFonts w:ascii="Arial" w:hAnsi="Arial" w:cs="Arial"/>
          <w:b/>
          <w:szCs w:val="24"/>
        </w:rPr>
      </w:pPr>
      <w:r>
        <w:rPr>
          <w:rFonts w:cs="Arial" w:ascii="Arial" w:hAnsi="Arial"/>
          <w:b/>
          <w:szCs w:val="24"/>
        </w:rPr>
      </w:r>
    </w:p>
    <w:p>
      <w:pPr>
        <w:pStyle w:val="Normal"/>
        <w:jc w:val="both"/>
        <w:rPr>
          <w:rFonts w:ascii="Arial" w:hAnsi="Arial" w:cs="Arial"/>
          <w:szCs w:val="24"/>
        </w:rPr>
      </w:pPr>
      <w:r>
        <w:rPr>
          <w:rFonts w:cs="Arial" w:ascii="Arial" w:hAnsi="Arial"/>
          <w:szCs w:val="24"/>
        </w:rPr>
        <w:t>The primary responsibility of the Internal Audit function is to periodically examine the records of the Bank’s functions to ensure that:</w:t>
      </w:r>
    </w:p>
    <w:p>
      <w:pPr>
        <w:pStyle w:val="Normal"/>
        <w:jc w:val="both"/>
        <w:rPr>
          <w:rFonts w:ascii="Arial" w:hAnsi="Arial" w:cs="Arial"/>
          <w:szCs w:val="24"/>
        </w:rPr>
      </w:pPr>
      <w:r>
        <w:rPr>
          <w:rFonts w:cs="Arial" w:ascii="Arial" w:hAnsi="Arial"/>
          <w:szCs w:val="24"/>
        </w:rPr>
      </w:r>
    </w:p>
    <w:p>
      <w:pPr>
        <w:pStyle w:val="Normal"/>
        <w:numPr>
          <w:ilvl w:val="0"/>
          <w:numId w:val="8"/>
        </w:numPr>
        <w:spacing w:before="0" w:after="60"/>
        <w:ind w:hanging="360" w:start="720" w:end="0"/>
        <w:jc w:val="both"/>
        <w:rPr>
          <w:rFonts w:ascii="Arial" w:hAnsi="Arial" w:cs="Arial"/>
          <w:szCs w:val="24"/>
        </w:rPr>
      </w:pPr>
      <w:r>
        <w:rPr>
          <w:rFonts w:cs="Arial" w:ascii="Arial" w:hAnsi="Arial"/>
          <w:szCs w:val="24"/>
        </w:rPr>
        <w:t>Financial information is accurate and reliable;</w:t>
      </w:r>
    </w:p>
    <w:p>
      <w:pPr>
        <w:pStyle w:val="Normal"/>
        <w:numPr>
          <w:ilvl w:val="0"/>
          <w:numId w:val="8"/>
        </w:numPr>
        <w:spacing w:before="0" w:after="60"/>
        <w:ind w:hanging="360" w:start="720" w:end="0"/>
        <w:jc w:val="both"/>
        <w:rPr>
          <w:rFonts w:ascii="Arial" w:hAnsi="Arial" w:cs="Arial"/>
          <w:szCs w:val="24"/>
        </w:rPr>
      </w:pPr>
      <w:r>
        <w:rPr>
          <w:rFonts w:cs="Arial" w:ascii="Arial" w:hAnsi="Arial"/>
          <w:szCs w:val="24"/>
        </w:rPr>
        <w:t>Internal controls and safeguards are adequate, effective, and efficient;</w:t>
      </w:r>
    </w:p>
    <w:p>
      <w:pPr>
        <w:pStyle w:val="Normal"/>
        <w:numPr>
          <w:ilvl w:val="0"/>
          <w:numId w:val="8"/>
        </w:numPr>
        <w:spacing w:before="0" w:after="60"/>
        <w:ind w:hanging="360" w:start="720" w:end="0"/>
        <w:jc w:val="both"/>
        <w:rPr>
          <w:rFonts w:ascii="Arial" w:hAnsi="Arial" w:cs="Arial"/>
          <w:szCs w:val="24"/>
        </w:rPr>
      </w:pPr>
      <w:r>
        <w:rPr>
          <w:rFonts w:cs="Arial" w:ascii="Arial" w:hAnsi="Arial"/>
          <w:szCs w:val="24"/>
        </w:rPr>
        <w:t>Regulatory and legal requirements are being complied with;</w:t>
      </w:r>
    </w:p>
    <w:p>
      <w:pPr>
        <w:pStyle w:val="Normal"/>
        <w:numPr>
          <w:ilvl w:val="0"/>
          <w:numId w:val="8"/>
        </w:numPr>
        <w:spacing w:before="0" w:after="60"/>
        <w:ind w:hanging="360" w:start="720" w:end="0"/>
        <w:jc w:val="both"/>
        <w:rPr>
          <w:rFonts w:ascii="Arial" w:hAnsi="Arial" w:cs="Arial"/>
          <w:szCs w:val="24"/>
        </w:rPr>
      </w:pPr>
      <w:r>
        <w:rPr>
          <w:rFonts w:cs="Arial" w:ascii="Arial" w:hAnsi="Arial"/>
          <w:szCs w:val="24"/>
        </w:rPr>
        <w:t>Bank policies and procedures are being followed; and</w:t>
      </w:r>
    </w:p>
    <w:p>
      <w:pPr>
        <w:pStyle w:val="Normal"/>
        <w:numPr>
          <w:ilvl w:val="0"/>
          <w:numId w:val="8"/>
        </w:numPr>
        <w:ind w:hanging="360" w:start="720" w:end="0"/>
        <w:jc w:val="both"/>
        <w:rPr>
          <w:rFonts w:ascii="Arial" w:hAnsi="Arial" w:cs="Arial"/>
          <w:szCs w:val="24"/>
        </w:rPr>
      </w:pPr>
      <w:r>
        <w:rPr>
          <w:rFonts w:cs="Arial" w:ascii="Arial" w:hAnsi="Arial"/>
          <w:szCs w:val="24"/>
        </w:rPr>
        <w:t>Bank Management and the Audit Committee are provided with an independent report of ongoing operations.</w:t>
      </w:r>
    </w:p>
    <w:p>
      <w:pPr>
        <w:pStyle w:val="BodyText2"/>
        <w:spacing w:before="0" w:after="0"/>
        <w:jc w:val="both"/>
        <w:rPr>
          <w:rFonts w:ascii="Arial" w:hAnsi="Arial" w:cs="Arial"/>
          <w:sz w:val="24"/>
          <w:szCs w:val="24"/>
        </w:rPr>
      </w:pPr>
      <w:r>
        <w:rPr>
          <w:rFonts w:cs="Arial" w:ascii="Arial" w:hAnsi="Arial"/>
          <w:sz w:val="24"/>
          <w:szCs w:val="24"/>
        </w:rPr>
      </w:r>
    </w:p>
    <w:p>
      <w:pPr>
        <w:pStyle w:val="BodyText2"/>
        <w:spacing w:before="0" w:after="0"/>
        <w:jc w:val="both"/>
        <w:rPr>
          <w:rFonts w:ascii="Arial" w:hAnsi="Arial" w:cs="Arial"/>
          <w:sz w:val="24"/>
          <w:szCs w:val="24"/>
        </w:rPr>
      </w:pPr>
      <w:r>
        <w:rPr>
          <w:rFonts w:cs="Arial" w:ascii="Arial" w:hAnsi="Arial"/>
          <w:sz w:val="24"/>
          <w:szCs w:val="24"/>
        </w:rPr>
        <w:t>The primary objective of the Internal Audit function is to assist management and the Audit Committee in the effective discharge of their responsibilities by furnishing them with accurate and timely information regarding the adequacy and effectiveness of controls established throughout the enterprise to manage financial, operational and regulatory risks.</w:t>
      </w:r>
    </w:p>
    <w:p>
      <w:pPr>
        <w:pStyle w:val="BodyText2"/>
        <w:spacing w:before="0" w:after="0"/>
        <w:jc w:val="both"/>
        <w:rPr>
          <w:rFonts w:ascii="Arial" w:hAnsi="Arial" w:cs="Arial"/>
          <w:sz w:val="24"/>
          <w:szCs w:val="24"/>
        </w:rPr>
      </w:pPr>
      <w:r>
        <w:rPr>
          <w:rFonts w:cs="Arial" w:ascii="Arial" w:hAnsi="Arial"/>
          <w:sz w:val="24"/>
          <w:szCs w:val="24"/>
        </w:rPr>
      </w:r>
    </w:p>
    <w:p>
      <w:pPr>
        <w:pStyle w:val="Normal"/>
        <w:numPr>
          <w:ilvl w:val="0"/>
          <w:numId w:val="0"/>
        </w:numPr>
        <w:ind w:hanging="0" w:start="0"/>
        <w:jc w:val="both"/>
        <w:rPr>
          <w:rFonts w:ascii="Arial" w:hAnsi="Arial" w:cs="Arial"/>
          <w:szCs w:val="24"/>
        </w:rPr>
      </w:pPr>
      <w:r>
        <w:rPr>
          <w:rFonts w:cs="Arial" w:ascii="Arial" w:hAnsi="Arial"/>
          <w:b/>
          <w:szCs w:val="24"/>
        </w:rPr>
        <w:t>KEY COMPONENTS</w:t>
      </w:r>
    </w:p>
    <w:p>
      <w:pPr>
        <w:pStyle w:val="Normal"/>
        <w:numPr>
          <w:ilvl w:val="0"/>
          <w:numId w:val="0"/>
        </w:numPr>
        <w:ind w:hanging="0" w:start="0"/>
        <w:jc w:val="both"/>
        <w:rPr>
          <w:rFonts w:ascii="Arial" w:hAnsi="Arial" w:cs="Arial"/>
          <w:szCs w:val="24"/>
        </w:rPr>
      </w:pPr>
      <w:r>
        <w:rPr>
          <w:rFonts w:cs="Arial" w:ascii="Arial" w:hAnsi="Arial"/>
          <w:szCs w:val="24"/>
        </w:rPr>
      </w:r>
    </w:p>
    <w:p>
      <w:pPr>
        <w:pStyle w:val="Normal"/>
        <w:numPr>
          <w:ilvl w:val="0"/>
          <w:numId w:val="0"/>
        </w:numPr>
        <w:ind w:hanging="0" w:start="0"/>
        <w:jc w:val="both"/>
        <w:rPr>
          <w:rFonts w:ascii="Arial" w:hAnsi="Arial" w:cs="Arial"/>
          <w:szCs w:val="24"/>
        </w:rPr>
      </w:pPr>
      <w:r>
        <w:rPr>
          <w:rFonts w:cs="Arial" w:ascii="Arial" w:hAnsi="Arial"/>
          <w:szCs w:val="24"/>
        </w:rPr>
        <w:t>The internal control review process includes the following key components:</w:t>
      </w:r>
    </w:p>
    <w:p>
      <w:pPr>
        <w:pStyle w:val="Normal"/>
        <w:numPr>
          <w:ilvl w:val="0"/>
          <w:numId w:val="0"/>
        </w:numPr>
        <w:ind w:hanging="0" w:start="0"/>
        <w:jc w:val="both"/>
        <w:rPr>
          <w:rFonts w:ascii="Arial" w:hAnsi="Arial" w:cs="Arial"/>
          <w:szCs w:val="24"/>
        </w:rPr>
      </w:pPr>
      <w:r>
        <w:rPr>
          <w:rFonts w:cs="Arial" w:ascii="Arial" w:hAnsi="Arial"/>
          <w:szCs w:val="24"/>
        </w:rPr>
      </w:r>
    </w:p>
    <w:p>
      <w:pPr>
        <w:pStyle w:val="Normal"/>
        <w:numPr>
          <w:ilvl w:val="0"/>
          <w:numId w:val="8"/>
        </w:numPr>
        <w:spacing w:before="0" w:after="60"/>
        <w:ind w:hanging="360" w:start="720" w:end="0"/>
        <w:jc w:val="both"/>
        <w:rPr>
          <w:rFonts w:ascii="Arial" w:hAnsi="Arial" w:cs="Arial"/>
          <w:szCs w:val="24"/>
        </w:rPr>
      </w:pPr>
      <w:r>
        <w:rPr>
          <w:rFonts w:cs="Arial" w:ascii="Arial" w:hAnsi="Arial"/>
          <w:szCs w:val="24"/>
        </w:rPr>
        <w:t>Internal control oversight functions performed by the Audit Committee;</w:t>
      </w:r>
    </w:p>
    <w:p>
      <w:pPr>
        <w:pStyle w:val="Normal"/>
        <w:numPr>
          <w:ilvl w:val="0"/>
          <w:numId w:val="8"/>
        </w:numPr>
        <w:spacing w:before="0" w:after="60"/>
        <w:ind w:hanging="360" w:start="720" w:end="0"/>
        <w:jc w:val="both"/>
        <w:rPr>
          <w:rFonts w:ascii="Arial" w:hAnsi="Arial" w:cs="Arial"/>
          <w:szCs w:val="24"/>
        </w:rPr>
      </w:pPr>
      <w:r>
        <w:rPr>
          <w:rFonts w:cs="Arial" w:ascii="Arial" w:hAnsi="Arial"/>
          <w:szCs w:val="24"/>
        </w:rPr>
        <w:t>On-going internal control review and testing;</w:t>
      </w:r>
    </w:p>
    <w:p>
      <w:pPr>
        <w:pStyle w:val="Normal"/>
        <w:numPr>
          <w:ilvl w:val="0"/>
          <w:numId w:val="8"/>
        </w:numPr>
        <w:spacing w:before="0" w:after="60"/>
        <w:ind w:hanging="360" w:start="720" w:end="0"/>
        <w:jc w:val="both"/>
        <w:rPr>
          <w:rFonts w:ascii="Arial" w:hAnsi="Arial" w:cs="Arial"/>
          <w:szCs w:val="24"/>
        </w:rPr>
      </w:pPr>
      <w:r>
        <w:rPr>
          <w:rFonts w:cs="Arial" w:ascii="Arial" w:hAnsi="Arial"/>
        </w:rPr>
        <w:t>Authorize access to records, personnel, and physical properties relevant to the performance of internal audits.</w:t>
      </w:r>
    </w:p>
    <w:p>
      <w:pPr>
        <w:pStyle w:val="Normal"/>
        <w:numPr>
          <w:ilvl w:val="0"/>
          <w:numId w:val="8"/>
        </w:numPr>
        <w:spacing w:before="0" w:after="60"/>
        <w:ind w:hanging="360" w:start="720" w:end="0"/>
        <w:jc w:val="both"/>
        <w:rPr>
          <w:rFonts w:ascii="Arial" w:hAnsi="Arial" w:cs="Arial"/>
          <w:szCs w:val="24"/>
        </w:rPr>
      </w:pPr>
      <w:r>
        <w:rPr>
          <w:rFonts w:cs="Arial" w:ascii="Arial" w:hAnsi="Arial"/>
          <w:szCs w:val="24"/>
        </w:rPr>
        <w:t>Audit Committee and management review and acceptance of internal control review and internal monitoring reports;</w:t>
      </w:r>
    </w:p>
    <w:p>
      <w:pPr>
        <w:pStyle w:val="Normal"/>
        <w:numPr>
          <w:ilvl w:val="0"/>
          <w:numId w:val="8"/>
        </w:numPr>
        <w:spacing w:before="0" w:after="60"/>
        <w:ind w:hanging="360" w:start="720" w:end="0"/>
        <w:jc w:val="both"/>
        <w:rPr/>
      </w:pPr>
      <w:r>
        <w:rPr>
          <w:rFonts w:cs="Arial" w:ascii="Arial" w:hAnsi="Arial"/>
          <w:szCs w:val="24"/>
        </w:rPr>
        <w:t>Regulatory examinations and consultant reviews;</w:t>
      </w:r>
    </w:p>
    <w:p>
      <w:pPr>
        <w:pStyle w:val="Normal"/>
        <w:numPr>
          <w:ilvl w:val="0"/>
          <w:numId w:val="8"/>
        </w:numPr>
        <w:spacing w:before="0" w:after="60"/>
        <w:ind w:hanging="360" w:start="720" w:end="0"/>
        <w:jc w:val="both"/>
        <w:rPr>
          <w:rFonts w:ascii="Arial" w:hAnsi="Arial" w:cs="Arial"/>
          <w:szCs w:val="24"/>
        </w:rPr>
      </w:pPr>
      <w:r>
        <w:rPr>
          <w:rFonts w:cs="Arial" w:ascii="Arial" w:hAnsi="Arial"/>
        </w:rPr>
        <w:t>Authorize the transmittal of various confidential regulatory reports or supervisory actions to external auditors.</w:t>
      </w:r>
    </w:p>
    <w:p>
      <w:pPr>
        <w:pStyle w:val="Normal"/>
        <w:numPr>
          <w:ilvl w:val="0"/>
          <w:numId w:val="8"/>
        </w:numPr>
        <w:spacing w:before="0" w:after="60"/>
        <w:ind w:hanging="360" w:start="720" w:end="0"/>
        <w:jc w:val="both"/>
        <w:rPr>
          <w:rFonts w:ascii="Arial" w:hAnsi="Arial" w:cs="Arial"/>
          <w:szCs w:val="24"/>
        </w:rPr>
      </w:pPr>
      <w:r>
        <w:rPr>
          <w:rFonts w:cs="Arial" w:ascii="Arial" w:hAnsi="Arial"/>
        </w:rPr>
        <w:t>Set forth the expectations of the external auditors’ role in expressing an opinion on the Bank’s financial statements.</w:t>
      </w:r>
      <w:r>
        <w:rPr>
          <w:rFonts w:cs="Arial" w:ascii="Arial" w:hAnsi="Arial"/>
          <w:szCs w:val="24"/>
        </w:rPr>
        <w:t>; and</w:t>
      </w:r>
    </w:p>
    <w:p>
      <w:pPr>
        <w:pStyle w:val="Normal"/>
        <w:numPr>
          <w:ilvl w:val="0"/>
          <w:numId w:val="8"/>
        </w:numPr>
        <w:ind w:hanging="360" w:start="720" w:end="0"/>
        <w:jc w:val="both"/>
        <w:rPr>
          <w:rFonts w:ascii="Arial" w:hAnsi="Arial" w:cs="Arial"/>
          <w:szCs w:val="24"/>
        </w:rPr>
      </w:pPr>
      <w:r>
        <w:rPr>
          <w:rFonts w:cs="Arial" w:ascii="Arial" w:hAnsi="Arial"/>
          <w:szCs w:val="24"/>
        </w:rPr>
        <w:t>Annual report to the Audit Committee on assessing the internal control function.  (MN Rules 2675.2600 - 2675.2640)</w:t>
      </w:r>
    </w:p>
    <w:p>
      <w:pPr>
        <w:pStyle w:val="Normal"/>
        <w:jc w:val="both"/>
        <w:rPr>
          <w:rFonts w:ascii="Arial" w:hAnsi="Arial" w:cs="Arial"/>
          <w:szCs w:val="24"/>
        </w:rPr>
      </w:pPr>
      <w:r>
        <w:rPr>
          <w:rFonts w:cs="Arial" w:ascii="Arial" w:hAnsi="Arial"/>
          <w:szCs w:val="24"/>
        </w:rPr>
      </w:r>
    </w:p>
    <w:p>
      <w:pPr>
        <w:pStyle w:val="Normal"/>
        <w:jc w:val="both"/>
        <w:rPr>
          <w:rFonts w:ascii="Arial" w:hAnsi="Arial" w:cs="Arial"/>
          <w:b/>
          <w:szCs w:val="24"/>
        </w:rPr>
      </w:pPr>
      <w:r>
        <w:rPr>
          <w:rFonts w:cs="Arial" w:ascii="Arial" w:hAnsi="Arial"/>
          <w:b/>
          <w:szCs w:val="24"/>
        </w:rPr>
        <w:t>INTERNAL CONTROL</w:t>
      </w:r>
    </w:p>
    <w:p>
      <w:pPr>
        <w:pStyle w:val="Normal"/>
        <w:jc w:val="both"/>
        <w:rPr>
          <w:rFonts w:ascii="Arial" w:hAnsi="Arial" w:cs="Arial"/>
          <w:szCs w:val="24"/>
        </w:rPr>
      </w:pPr>
      <w:r>
        <w:rPr>
          <w:rFonts w:cs="Arial" w:ascii="Arial" w:hAnsi="Arial"/>
          <w:szCs w:val="24"/>
        </w:rPr>
        <w:t>Internal control is a process, not one event or circumstance, but rather a series of actions that are built into the Bank’s operating activities.  Controls are a means to an end, not an end in themselves.  As the Bank’s risks change, the control system must change to ensure it remains effective.  If controls are no longer effective, they need to be improved or eliminated.</w:t>
      </w:r>
    </w:p>
    <w:p>
      <w:pPr>
        <w:pStyle w:val="Normal"/>
        <w:jc w:val="both"/>
        <w:rPr>
          <w:rFonts w:ascii="Arial" w:hAnsi="Arial" w:cs="Arial"/>
          <w:szCs w:val="24"/>
        </w:rPr>
      </w:pPr>
      <w:r>
        <w:rPr>
          <w:rFonts w:cs="Arial" w:ascii="Arial" w:hAnsi="Arial"/>
          <w:szCs w:val="24"/>
        </w:rPr>
      </w:r>
    </w:p>
    <w:p>
      <w:pPr>
        <w:pStyle w:val="BodyText"/>
        <w:spacing w:before="0" w:after="0"/>
        <w:rPr>
          <w:rFonts w:ascii="Arial" w:hAnsi="Arial" w:cs="Arial"/>
          <w:bCs/>
          <w:sz w:val="24"/>
          <w:szCs w:val="24"/>
        </w:rPr>
      </w:pPr>
      <w:r>
        <w:rPr>
          <w:rFonts w:cs="Arial" w:ascii="Arial" w:hAnsi="Arial"/>
          <w:bCs/>
          <w:sz w:val="24"/>
          <w:szCs w:val="24"/>
        </w:rPr>
        <w:t>An effective system of internal controls can only be expected to provide reasonable assurance that the Bank is managing its risks.  Even the best systems will be affected by limitations inherent in all aspects of business (i.e., human errors or mistakes, faulty decision making, the need for cost-benefit decisions, etc.).</w:t>
      </w:r>
    </w:p>
    <w:p>
      <w:pPr>
        <w:pStyle w:val="BodyText"/>
        <w:spacing w:before="0" w:after="0"/>
        <w:rPr>
          <w:rFonts w:ascii="Arial" w:hAnsi="Arial" w:cs="Arial"/>
          <w:bCs/>
          <w:sz w:val="24"/>
          <w:szCs w:val="24"/>
        </w:rPr>
      </w:pPr>
      <w:r>
        <w:rPr>
          <w:rFonts w:cs="Arial" w:ascii="Arial" w:hAnsi="Arial"/>
          <w:bCs/>
          <w:sz w:val="24"/>
          <w:szCs w:val="24"/>
        </w:rPr>
      </w:r>
    </w:p>
    <w:p>
      <w:pPr>
        <w:pStyle w:val="Normal"/>
        <w:jc w:val="both"/>
        <w:rPr>
          <w:rFonts w:ascii="Arial" w:hAnsi="Arial" w:cs="Arial"/>
          <w:bCs/>
          <w:szCs w:val="24"/>
        </w:rPr>
      </w:pPr>
      <w:r>
        <w:rPr>
          <w:rFonts w:cs="Arial" w:ascii="Arial" w:hAnsi="Arial"/>
          <w:bCs/>
          <w:szCs w:val="24"/>
        </w:rPr>
        <w:t>Internal controls should be designed to ensure the Bank’s success in meeting objectives in three overlapping categories – operations, financial information and compliance.  Failure to achieve these objectives can have significant consequences.  Establishing an effective system of internal controls can provide reasonable assurance that risks are being properly managed.</w:t>
      </w:r>
    </w:p>
    <w:p>
      <w:pPr>
        <w:pStyle w:val="Normal"/>
        <w:jc w:val="both"/>
        <w:rPr>
          <w:rFonts w:ascii="Arial" w:hAnsi="Arial" w:cs="Arial"/>
          <w:bCs/>
          <w:szCs w:val="24"/>
        </w:rPr>
      </w:pPr>
      <w:r>
        <w:rPr>
          <w:rFonts w:cs="Arial" w:ascii="Arial" w:hAnsi="Arial"/>
          <w:bCs/>
          <w:szCs w:val="24"/>
        </w:rPr>
      </w:r>
    </w:p>
    <w:p>
      <w:pPr>
        <w:pStyle w:val="Normal"/>
        <w:jc w:val="both"/>
        <w:rPr/>
      </w:pPr>
      <w:r>
        <w:rPr>
          <w:rFonts w:cs="Arial" w:ascii="Arial" w:hAnsi="Arial"/>
        </w:rPr>
        <w:t>Duties will be separated where possible so that at least two people will be involved in processing any transaction.  These separate transaction activities are:</w:t>
      </w:r>
    </w:p>
    <w:p>
      <w:pPr>
        <w:pStyle w:val="Normal"/>
        <w:jc w:val="both"/>
        <w:rPr>
          <w:rFonts w:ascii="Arial" w:hAnsi="Arial" w:cs="Arial"/>
        </w:rPr>
      </w:pPr>
      <w:r>
        <w:rPr>
          <w:rFonts w:cs="Arial" w:ascii="Arial" w:hAnsi="Arial"/>
        </w:rPr>
      </w:r>
    </w:p>
    <w:p>
      <w:pPr>
        <w:pStyle w:val="Normal"/>
        <w:numPr>
          <w:ilvl w:val="0"/>
          <w:numId w:val="5"/>
        </w:numPr>
        <w:tabs>
          <w:tab w:val="left" w:pos="720" w:leader="none"/>
        </w:tabs>
        <w:overflowPunct w:val="true"/>
        <w:autoSpaceDE w:val="true"/>
        <w:ind w:hanging="360" w:start="720" w:end="0"/>
        <w:jc w:val="both"/>
        <w:textAlignment w:val="auto"/>
        <w:rPr>
          <w:rFonts w:ascii="Arial" w:hAnsi="Arial" w:cs="Arial"/>
        </w:rPr>
      </w:pPr>
      <w:r>
        <w:rPr>
          <w:rFonts w:cs="Arial" w:ascii="Arial" w:hAnsi="Arial"/>
        </w:rPr>
        <w:t>Authorization</w:t>
      </w:r>
    </w:p>
    <w:p>
      <w:pPr>
        <w:pStyle w:val="Normal"/>
        <w:numPr>
          <w:ilvl w:val="0"/>
          <w:numId w:val="5"/>
        </w:numPr>
        <w:tabs>
          <w:tab w:val="left" w:pos="720" w:leader="none"/>
        </w:tabs>
        <w:overflowPunct w:val="true"/>
        <w:autoSpaceDE w:val="true"/>
        <w:ind w:hanging="360" w:start="720" w:end="0"/>
        <w:jc w:val="both"/>
        <w:textAlignment w:val="auto"/>
        <w:rPr>
          <w:rFonts w:ascii="Arial" w:hAnsi="Arial" w:cs="Arial"/>
        </w:rPr>
      </w:pPr>
      <w:r>
        <w:rPr>
          <w:rFonts w:cs="Arial" w:ascii="Arial" w:hAnsi="Arial"/>
        </w:rPr>
        <w:t>Execution</w:t>
      </w:r>
    </w:p>
    <w:p>
      <w:pPr>
        <w:pStyle w:val="Normal"/>
        <w:numPr>
          <w:ilvl w:val="0"/>
          <w:numId w:val="5"/>
        </w:numPr>
        <w:tabs>
          <w:tab w:val="left" w:pos="720" w:leader="none"/>
        </w:tabs>
        <w:overflowPunct w:val="true"/>
        <w:autoSpaceDE w:val="true"/>
        <w:ind w:hanging="360" w:start="720" w:end="0"/>
        <w:jc w:val="both"/>
        <w:textAlignment w:val="auto"/>
        <w:rPr>
          <w:rFonts w:ascii="Arial" w:hAnsi="Arial" w:cs="Arial"/>
        </w:rPr>
      </w:pPr>
      <w:r>
        <w:rPr>
          <w:rFonts w:cs="Arial" w:ascii="Arial" w:hAnsi="Arial"/>
        </w:rPr>
        <w:t>Recording</w:t>
      </w:r>
    </w:p>
    <w:p>
      <w:pPr>
        <w:pStyle w:val="Normal"/>
        <w:numPr>
          <w:ilvl w:val="0"/>
          <w:numId w:val="5"/>
        </w:numPr>
        <w:tabs>
          <w:tab w:val="left" w:pos="720" w:leader="none"/>
        </w:tabs>
        <w:overflowPunct w:val="true"/>
        <w:autoSpaceDE w:val="true"/>
        <w:ind w:hanging="360" w:start="720" w:end="0"/>
        <w:jc w:val="both"/>
        <w:textAlignment w:val="auto"/>
        <w:rPr>
          <w:rFonts w:ascii="Arial" w:hAnsi="Arial" w:cs="Arial"/>
        </w:rPr>
      </w:pPr>
      <w:r>
        <w:rPr>
          <w:rFonts w:cs="Arial" w:ascii="Arial" w:hAnsi="Arial"/>
        </w:rPr>
        <w:t>Reconciling</w:t>
      </w:r>
    </w:p>
    <w:p>
      <w:pPr>
        <w:pStyle w:val="Normal"/>
        <w:jc w:val="both"/>
        <w:rPr>
          <w:rFonts w:ascii="Arial" w:hAnsi="Arial" w:cs="Arial"/>
        </w:rPr>
      </w:pPr>
      <w:r>
        <w:rPr>
          <w:rFonts w:cs="Arial" w:ascii="Arial" w:hAnsi="Arial"/>
        </w:rPr>
      </w:r>
    </w:p>
    <w:p>
      <w:pPr>
        <w:pStyle w:val="Normal"/>
        <w:jc w:val="both"/>
        <w:rPr/>
      </w:pPr>
      <w:r>
        <w:rPr>
          <w:rFonts w:cs="Arial" w:ascii="Arial" w:hAnsi="Arial"/>
        </w:rPr>
        <w:t>In the instances where separating these activities is not practical, the Bank will use job rotation or close supervisory review to ensure that improper or erroneous transactions are detected in a timely manner.</w:t>
      </w:r>
    </w:p>
    <w:p>
      <w:pPr>
        <w:pStyle w:val="Normal"/>
        <w:jc w:val="both"/>
        <w:rPr>
          <w:rFonts w:ascii="Arial" w:hAnsi="Arial" w:cs="Arial"/>
          <w:bCs/>
          <w:szCs w:val="24"/>
        </w:rPr>
      </w:pPr>
      <w:r>
        <w:rPr>
          <w:rFonts w:cs="Arial" w:ascii="Arial" w:hAnsi="Arial"/>
          <w:bCs/>
          <w:szCs w:val="24"/>
        </w:rPr>
      </w:r>
      <w:r>
        <w:br w:type="page"/>
      </w:r>
    </w:p>
    <w:p>
      <w:pPr>
        <w:pStyle w:val="Heading2"/>
        <w:spacing w:before="0" w:after="0"/>
        <w:ind w:hanging="0" w:start="0"/>
        <w:rPr>
          <w:rFonts w:ascii="Arial" w:hAnsi="Arial" w:cs="Arial"/>
          <w:sz w:val="24"/>
          <w:szCs w:val="24"/>
        </w:rPr>
      </w:pPr>
      <w:r>
        <w:rPr>
          <w:rFonts w:cs="Arial" w:ascii="Arial" w:hAnsi="Arial"/>
          <w:sz w:val="24"/>
          <w:szCs w:val="24"/>
        </w:rPr>
        <w:t>POLICY</w:t>
      </w:r>
    </w:p>
    <w:p>
      <w:pPr>
        <w:pStyle w:val="Normal"/>
        <w:rPr>
          <w:rFonts w:ascii="Arial" w:hAnsi="Arial" w:cs="Arial"/>
          <w:sz w:val="24"/>
          <w:szCs w:val="24"/>
        </w:rPr>
      </w:pPr>
      <w:r>
        <w:rPr>
          <w:rFonts w:cs="Arial" w:ascii="Arial" w:hAnsi="Arial"/>
          <w:sz w:val="24"/>
          <w:szCs w:val="24"/>
        </w:rPr>
      </w:r>
    </w:p>
    <w:p>
      <w:pPr>
        <w:pStyle w:val="Normal"/>
        <w:jc w:val="both"/>
        <w:rPr>
          <w:rFonts w:ascii="Arial" w:hAnsi="Arial" w:cs="Arial"/>
          <w:szCs w:val="24"/>
        </w:rPr>
      </w:pPr>
      <w:r>
        <w:rPr>
          <w:rFonts w:cs="Arial" w:ascii="Arial" w:hAnsi="Arial"/>
          <w:bCs/>
          <w:szCs w:val="24"/>
        </w:rPr>
        <w:t>State of Minnesota Rules 2675.2600, Subpart 1, requires a written internal control system be established</w:t>
      </w:r>
      <w:r>
        <w:rPr>
          <w:rFonts w:cs="Arial" w:ascii="Arial" w:hAnsi="Arial"/>
          <w:szCs w:val="24"/>
        </w:rPr>
        <w:t>.  This Policy and other related written policies and procedures will provide the detail necessary to support fulfillment with this requirement.  In addition, a report describing the scope of coverage and effectiveness of the internal control system shall be reviewed for adequacy and approved by the Audit Committee annually.  Documentation of internal audit procedures performed in testing this internal control system and any resulting reports must be maintained by the Bank for inspection by supervisory examiners and the external auditors.</w:t>
      </w:r>
    </w:p>
    <w:p>
      <w:pPr>
        <w:pStyle w:val="Normal"/>
        <w:jc w:val="both"/>
        <w:rPr>
          <w:rFonts w:ascii="Arial" w:hAnsi="Arial" w:cs="Arial"/>
          <w:bCs/>
          <w:szCs w:val="24"/>
        </w:rPr>
      </w:pPr>
      <w:r>
        <w:rPr>
          <w:rFonts w:cs="Arial" w:ascii="Arial" w:hAnsi="Arial"/>
          <w:bCs/>
          <w:szCs w:val="24"/>
        </w:rPr>
      </w:r>
    </w:p>
    <w:p>
      <w:pPr>
        <w:pStyle w:val="12"/>
        <w:spacing w:before="0" w:after="240"/>
        <w:rPr/>
      </w:pPr>
      <w:r>
        <w:rPr>
          <w:rFonts w:cs="Arial" w:ascii="Arial" w:hAnsi="Arial"/>
          <w:sz w:val="24"/>
          <w:szCs w:val="24"/>
        </w:rPr>
        <w:t>If the bank’s total asset size is $500 million or more as of the beginning of the year, a management report signed by Bank’s Chief Executive Officer and Chief Financial Officer will be prepared as of the end of the most recent fiscal year.  It will contain a statement regarding the following management responsibilities:</w:t>
      </w:r>
    </w:p>
    <w:p>
      <w:pPr>
        <w:pStyle w:val="B1"/>
        <w:numPr>
          <w:ilvl w:val="0"/>
          <w:numId w:val="9"/>
        </w:numPr>
        <w:rPr>
          <w:rFonts w:ascii="Arial" w:hAnsi="Arial" w:cs="Arial"/>
          <w:sz w:val="24"/>
          <w:szCs w:val="24"/>
        </w:rPr>
      </w:pPr>
      <w:r>
        <w:rPr>
          <w:rFonts w:cs="Arial" w:ascii="Arial" w:hAnsi="Arial"/>
          <w:sz w:val="24"/>
          <w:szCs w:val="24"/>
        </w:rPr>
        <w:t>Preparation of the institution’s annual financial statement</w:t>
      </w:r>
    </w:p>
    <w:p>
      <w:pPr>
        <w:pStyle w:val="B1"/>
        <w:numPr>
          <w:ilvl w:val="0"/>
          <w:numId w:val="9"/>
        </w:numPr>
        <w:rPr>
          <w:rFonts w:ascii="Arial" w:hAnsi="Arial" w:cs="Arial"/>
          <w:sz w:val="24"/>
          <w:szCs w:val="24"/>
        </w:rPr>
      </w:pPr>
      <w:r>
        <w:rPr>
          <w:rFonts w:cs="Arial" w:ascii="Arial" w:hAnsi="Arial"/>
          <w:sz w:val="24"/>
          <w:szCs w:val="24"/>
        </w:rPr>
        <w:t>Establishment and maintenance of adequate internal controls and procedures for financial reporting, including a description of the activities the controls encompass</w:t>
      </w:r>
    </w:p>
    <w:p>
      <w:pPr>
        <w:pStyle w:val="B1"/>
        <w:numPr>
          <w:ilvl w:val="0"/>
          <w:numId w:val="9"/>
        </w:numPr>
        <w:spacing w:before="120" w:after="240"/>
        <w:rPr>
          <w:rFonts w:ascii="Arial" w:hAnsi="Arial" w:cs="Arial"/>
          <w:sz w:val="24"/>
          <w:szCs w:val="24"/>
        </w:rPr>
      </w:pPr>
      <w:r>
        <w:rPr>
          <w:rFonts w:cs="Arial" w:ascii="Arial" w:hAnsi="Arial"/>
          <w:sz w:val="24"/>
          <w:szCs w:val="24"/>
        </w:rPr>
        <w:t>Compliance with the laws and regulations relating to safety and soundness that are designated by the FDIC and the bank’s primary regulator</w:t>
      </w:r>
    </w:p>
    <w:p>
      <w:pPr>
        <w:pStyle w:val="12"/>
        <w:spacing w:before="0" w:after="0"/>
        <w:rPr/>
      </w:pPr>
      <w:r>
        <w:rPr>
          <w:rFonts w:cs="Arial" w:ascii="Arial" w:hAnsi="Arial"/>
          <w:sz w:val="24"/>
          <w:szCs w:val="24"/>
        </w:rPr>
        <w:t>The guidelines in Appendix A to 12 CFR 363 expand on the requirements relating to this management report.  Based on the guidelines, Management should review and report on the effectiveness of internal controls relating to the safeguarding of assets, as well as the existence and effectiveness of those controls on the management of assets, including loan underwriting and documentation.  The independent public accountant must attest to management’s assertions.  Supporting documentation for the management report should demonstrate that safeguarding of assets has been considered.</w:t>
      </w:r>
    </w:p>
    <w:p>
      <w:pPr>
        <w:pStyle w:val="Normal"/>
        <w:jc w:val="both"/>
        <w:rPr>
          <w:rFonts w:ascii="Arial" w:hAnsi="Arial" w:cs="Arial"/>
          <w:bCs/>
          <w:sz w:val="24"/>
          <w:szCs w:val="24"/>
        </w:rPr>
      </w:pPr>
      <w:r>
        <w:rPr>
          <w:rFonts w:cs="Arial" w:ascii="Arial" w:hAnsi="Arial"/>
          <w:bCs/>
          <w:sz w:val="24"/>
          <w:szCs w:val="24"/>
        </w:rPr>
      </w:r>
    </w:p>
    <w:p>
      <w:pPr>
        <w:pStyle w:val="Normal"/>
        <w:jc w:val="both"/>
        <w:rPr>
          <w:rFonts w:ascii="Arial" w:hAnsi="Arial" w:cs="Arial"/>
          <w:b/>
          <w:szCs w:val="24"/>
        </w:rPr>
      </w:pPr>
      <w:r>
        <w:rPr>
          <w:rFonts w:cs="Arial" w:ascii="Arial" w:hAnsi="Arial"/>
          <w:b/>
          <w:szCs w:val="24"/>
        </w:rPr>
        <w:t>AUTHORITY</w:t>
      </w:r>
    </w:p>
    <w:p>
      <w:pPr>
        <w:pStyle w:val="Normal"/>
        <w:jc w:val="both"/>
        <w:rPr>
          <w:rFonts w:ascii="Arial" w:hAnsi="Arial" w:cs="Arial"/>
          <w:b/>
          <w:szCs w:val="24"/>
        </w:rPr>
      </w:pPr>
      <w:r>
        <w:rPr>
          <w:rFonts w:cs="Arial" w:ascii="Arial" w:hAnsi="Arial"/>
          <w:b/>
          <w:szCs w:val="24"/>
        </w:rPr>
      </w:r>
    </w:p>
    <w:p>
      <w:pPr>
        <w:pStyle w:val="BodyText"/>
        <w:spacing w:before="0" w:after="0"/>
        <w:rPr>
          <w:rFonts w:ascii="Arial" w:hAnsi="Arial" w:cs="Arial"/>
          <w:sz w:val="24"/>
          <w:szCs w:val="24"/>
        </w:rPr>
      </w:pPr>
      <w:r>
        <w:rPr>
          <w:rFonts w:cs="Arial" w:ascii="Arial" w:hAnsi="Arial"/>
          <w:sz w:val="24"/>
          <w:szCs w:val="24"/>
        </w:rPr>
        <w:t>The Board shall designate a Director of Compliance and Audit (Auditor).  The Auditor reports functionally to the Audit Committee and administratively to the Bank’s Chief Financial Officer.  Through this structure, the Internal Audit Department is granted full and complete access to any information and other resources relevant to any particular audit project or audit objective, and may meet privately with one or more of the Audit Committee members or outside Board members whenever circumstances warrant.  The Auditor, or their designee, is responsible for reporting matters relating to the Bank’s internal controls to the President or designate, with unfettered and direct access to the Audit Committee and Board, including outside Audit Committee members, outside directors, and the Bank shareholders.</w:t>
      </w:r>
    </w:p>
    <w:p>
      <w:pPr>
        <w:pStyle w:val="BodyText"/>
        <w:spacing w:before="0" w:after="0"/>
        <w:rPr>
          <w:rFonts w:ascii="Arial" w:hAnsi="Arial" w:cs="Arial"/>
          <w:sz w:val="24"/>
          <w:szCs w:val="24"/>
        </w:rPr>
      </w:pPr>
      <w:r>
        <w:rPr>
          <w:rFonts w:cs="Arial" w:ascii="Arial" w:hAnsi="Arial"/>
          <w:sz w:val="24"/>
          <w:szCs w:val="24"/>
        </w:rPr>
      </w:r>
    </w:p>
    <w:p>
      <w:pPr>
        <w:pStyle w:val="BodyText"/>
        <w:spacing w:before="0" w:after="0"/>
        <w:rPr>
          <w:rFonts w:ascii="Arial" w:hAnsi="Arial" w:cs="Arial"/>
          <w:sz w:val="24"/>
          <w:szCs w:val="24"/>
        </w:rPr>
      </w:pPr>
      <w:r>
        <w:rPr>
          <w:rFonts w:cs="Arial" w:ascii="Arial" w:hAnsi="Arial"/>
          <w:sz w:val="24"/>
          <w:szCs w:val="24"/>
        </w:rPr>
        <w:t>The Auditor, or their designee, has the authority to perform internal control reviews on a “surprise” basis and has full access to all areas, books, records, properties, securities, and accounting procedures relating to the Bank’s activities at any time deemed appropriate and necessary to carry out their responsibilities.  The Auditor, or their designee, shall have the authority to seek the President’s or designee’s approval to direct implementation of corrective action upon discovering weaknesses in internal controls.</w:t>
      </w:r>
    </w:p>
    <w:p>
      <w:pPr>
        <w:pStyle w:val="BodyText"/>
        <w:spacing w:before="0" w:after="0"/>
        <w:rPr>
          <w:rFonts w:ascii="Arial" w:hAnsi="Arial" w:cs="Arial"/>
          <w:sz w:val="24"/>
          <w:szCs w:val="24"/>
        </w:rPr>
      </w:pPr>
      <w:r>
        <w:rPr>
          <w:rFonts w:cs="Arial" w:ascii="Arial" w:hAnsi="Arial"/>
          <w:sz w:val="24"/>
          <w:szCs w:val="24"/>
        </w:rPr>
      </w:r>
    </w:p>
    <w:p>
      <w:pPr>
        <w:pStyle w:val="Normal"/>
        <w:jc w:val="both"/>
        <w:rPr>
          <w:rFonts w:ascii="Arial" w:hAnsi="Arial" w:cs="Arial"/>
          <w:szCs w:val="24"/>
        </w:rPr>
      </w:pPr>
      <w:r>
        <w:rPr>
          <w:rFonts w:cs="Arial" w:ascii="Arial" w:hAnsi="Arial"/>
          <w:szCs w:val="24"/>
        </w:rPr>
        <w:t>The Internal Audit Department does not; however, have any authority over any of the activities or operations reviewed.  Line management is solely responsible and accountable for all business results, including any results directly attributable to implementation of specific audit recommendations.</w:t>
      </w:r>
    </w:p>
    <w:p>
      <w:pPr>
        <w:pStyle w:val="Normal"/>
        <w:jc w:val="both"/>
        <w:rPr>
          <w:rFonts w:ascii="Arial" w:hAnsi="Arial" w:cs="Arial"/>
          <w:szCs w:val="24"/>
        </w:rPr>
      </w:pPr>
      <w:r>
        <w:rPr>
          <w:rFonts w:cs="Arial" w:ascii="Arial" w:hAnsi="Arial"/>
          <w:szCs w:val="24"/>
        </w:rPr>
      </w:r>
    </w:p>
    <w:p>
      <w:pPr>
        <w:pStyle w:val="2H"/>
        <w:spacing w:before="0" w:after="0"/>
        <w:rPr>
          <w:rFonts w:ascii="Arial" w:hAnsi="Arial" w:cs="Arial"/>
          <w:sz w:val="24"/>
          <w:szCs w:val="24"/>
        </w:rPr>
      </w:pPr>
      <w:r>
        <w:rPr>
          <w:rFonts w:cs="Arial" w:ascii="Arial" w:hAnsi="Arial"/>
          <w:sz w:val="24"/>
          <w:szCs w:val="24"/>
        </w:rPr>
        <w:t>Audit Committee Membership Requirements</w:t>
      </w:r>
    </w:p>
    <w:p>
      <w:pPr>
        <w:pStyle w:val="12"/>
        <w:rPr/>
      </w:pPr>
      <w:r>
        <w:rPr>
          <w:rFonts w:cs="Arial" w:ascii="Arial" w:hAnsi="Arial"/>
          <w:sz w:val="24"/>
          <w:szCs w:val="24"/>
        </w:rPr>
        <w:t xml:space="preserve">If the bank’s total asset size </w:t>
      </w:r>
      <w:bookmarkStart w:id="0" w:name="2000part363.5"/>
      <w:r>
        <w:rPr>
          <w:rFonts w:cs="Arial" w:ascii="Arial" w:hAnsi="Arial"/>
          <w:sz w:val="24"/>
          <w:szCs w:val="24"/>
        </w:rPr>
        <w:t>is $500 million or more but less than $1 billion</w:t>
      </w:r>
      <w:bookmarkEnd w:id="0"/>
      <w:r>
        <w:rPr>
          <w:rFonts w:cs="Arial" w:ascii="Arial" w:hAnsi="Arial"/>
          <w:sz w:val="24"/>
          <w:szCs w:val="24"/>
        </w:rPr>
        <w:t>, the following conditions will apply to the Audit Committee:</w:t>
      </w:r>
    </w:p>
    <w:p>
      <w:pPr>
        <w:pStyle w:val="B1"/>
        <w:numPr>
          <w:ilvl w:val="0"/>
          <w:numId w:val="9"/>
        </w:numPr>
        <w:rPr>
          <w:rFonts w:ascii="Arial" w:hAnsi="Arial" w:cs="Arial"/>
          <w:sz w:val="24"/>
          <w:szCs w:val="24"/>
        </w:rPr>
      </w:pPr>
      <w:r>
        <w:rPr>
          <w:rFonts w:cs="Arial" w:ascii="Arial" w:hAnsi="Arial"/>
          <w:sz w:val="24"/>
          <w:szCs w:val="24"/>
        </w:rPr>
        <w:t>At least two members of the Audit Committee must have financial expertise.</w:t>
      </w:r>
    </w:p>
    <w:p>
      <w:pPr>
        <w:pStyle w:val="B1"/>
        <w:numPr>
          <w:ilvl w:val="0"/>
          <w:numId w:val="9"/>
        </w:numPr>
        <w:rPr>
          <w:rFonts w:ascii="Arial" w:hAnsi="Arial" w:cs="Arial"/>
          <w:sz w:val="24"/>
          <w:szCs w:val="24"/>
        </w:rPr>
      </w:pPr>
      <w:r>
        <w:rPr>
          <w:rFonts w:cs="Arial" w:ascii="Arial" w:hAnsi="Arial"/>
          <w:sz w:val="24"/>
          <w:szCs w:val="24"/>
        </w:rPr>
        <w:t>No member of the Audit Committee may be a large customer.</w:t>
      </w:r>
    </w:p>
    <w:p>
      <w:pPr>
        <w:pStyle w:val="B1"/>
        <w:numPr>
          <w:ilvl w:val="0"/>
          <w:numId w:val="9"/>
        </w:numPr>
        <w:rPr>
          <w:rFonts w:ascii="Arial" w:hAnsi="Arial" w:cs="Arial"/>
          <w:sz w:val="24"/>
          <w:szCs w:val="24"/>
        </w:rPr>
      </w:pPr>
      <w:r>
        <w:rPr>
          <w:rFonts w:cs="Arial" w:ascii="Arial" w:hAnsi="Arial"/>
          <w:sz w:val="24"/>
          <w:szCs w:val="24"/>
        </w:rPr>
        <w:t>The Audit Committee must have access to its own legal counsel.</w:t>
      </w:r>
    </w:p>
    <w:p>
      <w:pPr>
        <w:pStyle w:val="12"/>
        <w:rPr>
          <w:rFonts w:ascii="Arial" w:hAnsi="Arial" w:cs="Arial"/>
          <w:sz w:val="24"/>
          <w:szCs w:val="24"/>
        </w:rPr>
      </w:pPr>
      <w:r>
        <w:rPr>
          <w:rFonts w:cs="Arial" w:ascii="Arial" w:hAnsi="Arial"/>
          <w:sz w:val="24"/>
          <w:szCs w:val="24"/>
        </w:rPr>
        <w:t>A large customer is defined in Appendix A to 12 CFR 363 as follows:</w:t>
      </w:r>
    </w:p>
    <w:p>
      <w:pPr>
        <w:pStyle w:val="12"/>
        <w:ind w:start="360" w:end="0"/>
        <w:rPr>
          <w:rFonts w:ascii="Arial" w:hAnsi="Arial" w:cs="Arial"/>
          <w:sz w:val="24"/>
          <w:szCs w:val="24"/>
        </w:rPr>
      </w:pPr>
      <w:r>
        <w:rPr>
          <w:rFonts w:cs="Arial" w:ascii="Arial" w:hAnsi="Arial"/>
          <w:sz w:val="24"/>
          <w:szCs w:val="24"/>
        </w:rPr>
        <w:t>Any individual or entity (including a controlling person of any such entity) which, in the determination of the board of directors, has such significant direct or indirect credit or other relationships with the institution, the termination of which likely would materially and adversely affect the institution’s financial condition or results of operations, should be considered a `large customer’ for purposes of section 363.5(b).</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b/>
          <w:szCs w:val="24"/>
        </w:rPr>
      </w:pPr>
      <w:r>
        <w:rPr>
          <w:rFonts w:cs="Arial" w:ascii="Arial" w:hAnsi="Arial"/>
          <w:b/>
          <w:szCs w:val="24"/>
        </w:rPr>
        <w:t>RESPONSIBILITIES</w:t>
      </w:r>
    </w:p>
    <w:p>
      <w:pPr>
        <w:pStyle w:val="Normal"/>
        <w:jc w:val="both"/>
        <w:rPr>
          <w:rFonts w:ascii="Arial" w:hAnsi="Arial" w:cs="Arial"/>
          <w:b/>
          <w:szCs w:val="24"/>
          <w:u w:val="single"/>
        </w:rPr>
      </w:pPr>
      <w:r>
        <w:rPr>
          <w:rFonts w:cs="Arial" w:ascii="Arial" w:hAnsi="Arial"/>
          <w:b/>
          <w:szCs w:val="24"/>
          <w:u w:val="single"/>
        </w:rPr>
      </w:r>
    </w:p>
    <w:p>
      <w:pPr>
        <w:pStyle w:val="Heading5"/>
        <w:spacing w:before="0" w:after="0"/>
        <w:rPr>
          <w:b w:val="false"/>
          <w:u w:val="single"/>
        </w:rPr>
      </w:pPr>
      <w:r>
        <w:rPr>
          <w:b w:val="false"/>
          <w:u w:val="single"/>
        </w:rPr>
        <w:t>Audit Committee</w:t>
      </w:r>
    </w:p>
    <w:p>
      <w:pPr>
        <w:pStyle w:val="Normal"/>
        <w:rPr>
          <w:rFonts w:ascii="Arial" w:hAnsi="Arial" w:cs="Arial"/>
          <w:b/>
          <w:u w:val="single"/>
        </w:rPr>
      </w:pPr>
      <w:r>
        <w:rPr>
          <w:rFonts w:cs="Arial" w:ascii="Arial" w:hAnsi="Arial"/>
          <w:b/>
          <w:u w:val="single"/>
        </w:rPr>
      </w:r>
    </w:p>
    <w:p>
      <w:pPr>
        <w:pStyle w:val="BodyTextIndent"/>
        <w:spacing w:before="0" w:after="0"/>
        <w:rPr/>
      </w:pPr>
      <w:r>
        <w:rPr/>
        <w:t>While Bank Management is primarily responsible for maintaining a sound system of internal controls and preparing financial statements that are reliable and reasonably accurate, internal control oversight is an important aspect of the management oversight function performed by the Audit Committee.  By approving and monitoring performance of this policy, the Audit Committee fulfills a major portion of this oversight function.  Under the “prudent man” and “standard of care” concepts of business law, the Audit Committee members may be held personally liable for the lack of protection of corporate assets, as well as noncompliance with laws and regulations.</w:t>
      </w:r>
    </w:p>
    <w:p>
      <w:pPr>
        <w:pStyle w:val="BodyTextIndent"/>
        <w:spacing w:before="0" w:after="0"/>
        <w:ind w:start="0" w:end="0"/>
        <w:rPr/>
      </w:pPr>
      <w:r>
        <w:rPr/>
      </w:r>
    </w:p>
    <w:p>
      <w:pPr>
        <w:pStyle w:val="BodyTextIndent"/>
        <w:spacing w:before="0" w:after="0"/>
        <w:rPr/>
      </w:pPr>
      <w:r>
        <w:rPr/>
        <w:t>The Audit Committee’s responsibilities include:</w:t>
      </w:r>
    </w:p>
    <w:p>
      <w:pPr>
        <w:pStyle w:val="BodyTextIndent"/>
        <w:spacing w:before="0" w:after="0"/>
        <w:ind w:start="0" w:end="0"/>
        <w:rPr/>
      </w:pPr>
      <w:r>
        <w:rPr/>
      </w:r>
    </w:p>
    <w:p>
      <w:pPr>
        <w:pStyle w:val="Normal"/>
        <w:numPr>
          <w:ilvl w:val="0"/>
          <w:numId w:val="4"/>
        </w:numPr>
        <w:tabs>
          <w:tab w:val="clear" w:pos="720"/>
          <w:tab w:val="left" w:pos="-270" w:leader="none"/>
          <w:tab w:val="left" w:pos="-180" w:leader="none"/>
        </w:tabs>
        <w:ind w:hanging="360" w:start="720" w:end="0"/>
        <w:jc w:val="both"/>
        <w:rPr>
          <w:rFonts w:ascii="Arial" w:hAnsi="Arial" w:cs="Arial"/>
          <w:szCs w:val="24"/>
        </w:rPr>
      </w:pPr>
      <w:r>
        <w:rPr>
          <w:rFonts w:cs="Arial" w:ascii="Arial" w:hAnsi="Arial"/>
          <w:szCs w:val="24"/>
        </w:rPr>
        <w:t>Establishing policies to ensure the proper and profitable conduct of banking activities, the safety of the Bank’s assets, and the accuracy and adequacy of periodic reports to shareholders, regulatory bodies, and in some instances, the general public.</w:t>
      </w:r>
    </w:p>
    <w:p>
      <w:pPr>
        <w:pStyle w:val="Normal"/>
        <w:tabs>
          <w:tab w:val="clear" w:pos="720"/>
          <w:tab w:val="left" w:pos="-270" w:leader="none"/>
        </w:tabs>
        <w:ind w:start="360" w:end="0"/>
        <w:jc w:val="both"/>
        <w:rPr>
          <w:rFonts w:ascii="Arial" w:hAnsi="Arial" w:cs="Arial"/>
          <w:szCs w:val="24"/>
        </w:rPr>
      </w:pPr>
      <w:r>
        <w:rPr>
          <w:rFonts w:cs="Arial" w:ascii="Arial" w:hAnsi="Arial"/>
          <w:szCs w:val="24"/>
        </w:rPr>
      </w:r>
    </w:p>
    <w:p>
      <w:pPr>
        <w:pStyle w:val="Normal"/>
        <w:numPr>
          <w:ilvl w:val="0"/>
          <w:numId w:val="4"/>
        </w:numPr>
        <w:tabs>
          <w:tab w:val="clear" w:pos="720"/>
          <w:tab w:val="left" w:pos="-270" w:leader="none"/>
          <w:tab w:val="left" w:pos="-180" w:leader="none"/>
        </w:tabs>
        <w:ind w:hanging="360" w:start="720" w:end="0"/>
        <w:jc w:val="both"/>
        <w:rPr>
          <w:rFonts w:ascii="Arial" w:hAnsi="Arial" w:cs="Arial"/>
          <w:szCs w:val="24"/>
        </w:rPr>
      </w:pPr>
      <w:r>
        <w:rPr>
          <w:rFonts w:cs="Arial" w:ascii="Arial" w:hAnsi="Arial"/>
          <w:szCs w:val="24"/>
        </w:rPr>
        <w:t>Maintaining open channels of direct and unfettered communication to its members, both individually and collectively, by the Auditor and CPA firm if, and when, requested.</w:t>
      </w:r>
    </w:p>
    <w:p>
      <w:pPr>
        <w:pStyle w:val="Normal"/>
        <w:tabs>
          <w:tab w:val="clear" w:pos="720"/>
          <w:tab w:val="left" w:pos="-270" w:leader="none"/>
        </w:tabs>
        <w:jc w:val="both"/>
        <w:rPr>
          <w:rFonts w:ascii="Arial" w:hAnsi="Arial" w:cs="Arial"/>
          <w:szCs w:val="24"/>
        </w:rPr>
      </w:pPr>
      <w:r>
        <w:rPr>
          <w:rFonts w:cs="Arial" w:ascii="Arial" w:hAnsi="Arial"/>
          <w:szCs w:val="24"/>
        </w:rPr>
      </w:r>
    </w:p>
    <w:p>
      <w:pPr>
        <w:pStyle w:val="Normal"/>
        <w:numPr>
          <w:ilvl w:val="0"/>
          <w:numId w:val="4"/>
        </w:numPr>
        <w:tabs>
          <w:tab w:val="clear" w:pos="720"/>
          <w:tab w:val="left" w:pos="-450" w:leader="none"/>
          <w:tab w:val="left" w:pos="0" w:leader="none"/>
        </w:tabs>
        <w:ind w:hanging="360" w:start="720" w:end="0"/>
        <w:jc w:val="both"/>
        <w:rPr>
          <w:rFonts w:ascii="Arial" w:hAnsi="Arial" w:cs="Arial"/>
          <w:szCs w:val="24"/>
        </w:rPr>
      </w:pPr>
      <w:r>
        <w:rPr>
          <w:rFonts w:cs="Arial" w:ascii="Arial" w:hAnsi="Arial"/>
          <w:szCs w:val="24"/>
        </w:rPr>
        <w:t>Reviewing promptly all regulatory examination, internal control, internal monitoring, consultant, and external audit reports, noting such review and acceptance in the meeting minutes.</w:t>
      </w:r>
    </w:p>
    <w:p>
      <w:pPr>
        <w:pStyle w:val="Normal"/>
        <w:tabs>
          <w:tab w:val="clear" w:pos="720"/>
          <w:tab w:val="left" w:pos="0" w:leader="none"/>
        </w:tabs>
        <w:jc w:val="both"/>
        <w:rPr>
          <w:rFonts w:ascii="Arial" w:hAnsi="Arial" w:cs="Arial"/>
          <w:szCs w:val="24"/>
        </w:rPr>
      </w:pPr>
      <w:r>
        <w:rPr>
          <w:rFonts w:cs="Arial" w:ascii="Arial" w:hAnsi="Arial"/>
          <w:szCs w:val="24"/>
        </w:rPr>
      </w:r>
    </w:p>
    <w:p>
      <w:pPr>
        <w:pStyle w:val="Normal"/>
        <w:numPr>
          <w:ilvl w:val="0"/>
          <w:numId w:val="4"/>
        </w:numPr>
        <w:tabs>
          <w:tab w:val="clear" w:pos="720"/>
          <w:tab w:val="left" w:pos="-450" w:leader="none"/>
          <w:tab w:val="left" w:pos="0" w:leader="none"/>
        </w:tabs>
        <w:ind w:hanging="360" w:start="720" w:end="0"/>
        <w:jc w:val="both"/>
        <w:rPr>
          <w:rFonts w:ascii="Arial" w:hAnsi="Arial" w:cs="Arial"/>
          <w:szCs w:val="24"/>
        </w:rPr>
      </w:pPr>
      <w:r>
        <w:rPr>
          <w:rFonts w:cs="Arial" w:ascii="Arial" w:hAnsi="Arial"/>
          <w:szCs w:val="24"/>
        </w:rPr>
        <w:t>Reviewing and approving management’s response to regulatory examinations, internal control, internal monitoring, consultant, and external audit reports.</w:t>
      </w:r>
    </w:p>
    <w:p>
      <w:pPr>
        <w:pStyle w:val="Normal"/>
        <w:tabs>
          <w:tab w:val="clear" w:pos="720"/>
          <w:tab w:val="left" w:pos="0" w:leader="none"/>
        </w:tabs>
        <w:jc w:val="both"/>
        <w:rPr>
          <w:rFonts w:ascii="Arial" w:hAnsi="Arial" w:cs="Arial"/>
          <w:szCs w:val="24"/>
        </w:rPr>
      </w:pPr>
      <w:r>
        <w:rPr>
          <w:rFonts w:cs="Arial" w:ascii="Arial" w:hAnsi="Arial"/>
          <w:szCs w:val="24"/>
        </w:rPr>
      </w:r>
    </w:p>
    <w:p>
      <w:pPr>
        <w:pStyle w:val="Normal"/>
        <w:numPr>
          <w:ilvl w:val="0"/>
          <w:numId w:val="4"/>
        </w:numPr>
        <w:tabs>
          <w:tab w:val="clear" w:pos="720"/>
          <w:tab w:val="left" w:pos="-450" w:leader="none"/>
          <w:tab w:val="left" w:pos="0" w:leader="none"/>
        </w:tabs>
        <w:ind w:hanging="360" w:start="720" w:end="0"/>
        <w:jc w:val="both"/>
        <w:rPr>
          <w:rFonts w:ascii="Arial" w:hAnsi="Arial" w:cs="Arial"/>
          <w:szCs w:val="24"/>
        </w:rPr>
      </w:pPr>
      <w:r>
        <w:rPr>
          <w:rFonts w:cs="Arial" w:ascii="Arial" w:hAnsi="Arial"/>
          <w:szCs w:val="24"/>
        </w:rPr>
        <w:t>Reviewing of financial, operational and management reports prepared by the mainframe system or by individuals, noting unexplained fluctuations, budget deviations, and other symptoms of possible internal control deficiencies.</w:t>
      </w:r>
    </w:p>
    <w:p>
      <w:pPr>
        <w:pStyle w:val="Normal"/>
        <w:tabs>
          <w:tab w:val="clear" w:pos="720"/>
          <w:tab w:val="left" w:pos="0" w:leader="none"/>
        </w:tabs>
        <w:jc w:val="both"/>
        <w:rPr>
          <w:rFonts w:ascii="Arial" w:hAnsi="Arial" w:cs="Arial"/>
          <w:szCs w:val="24"/>
        </w:rPr>
      </w:pPr>
      <w:r>
        <w:rPr>
          <w:rFonts w:cs="Arial" w:ascii="Arial" w:hAnsi="Arial"/>
          <w:szCs w:val="24"/>
        </w:rPr>
      </w:r>
    </w:p>
    <w:p>
      <w:pPr>
        <w:pStyle w:val="Normal"/>
        <w:numPr>
          <w:ilvl w:val="0"/>
          <w:numId w:val="4"/>
        </w:numPr>
        <w:tabs>
          <w:tab w:val="clear" w:pos="720"/>
          <w:tab w:val="left" w:pos="-450" w:leader="none"/>
          <w:tab w:val="left" w:pos="0" w:leader="none"/>
        </w:tabs>
        <w:ind w:hanging="360" w:start="720" w:end="0"/>
        <w:jc w:val="both"/>
        <w:rPr>
          <w:rFonts w:ascii="Arial" w:hAnsi="Arial" w:cs="Arial"/>
          <w:szCs w:val="24"/>
        </w:rPr>
      </w:pPr>
      <w:r>
        <w:rPr>
          <w:rFonts w:cs="Arial" w:ascii="Arial" w:hAnsi="Arial"/>
          <w:szCs w:val="24"/>
        </w:rPr>
        <w:t>Ensuring that the individuals performing the annual audit meet the requirements of the Qualifications of Examining Authority rule regarding the qualification and independence requirements for individuals performing the audit.</w:t>
      </w:r>
    </w:p>
    <w:p>
      <w:pPr>
        <w:pStyle w:val="Normal"/>
        <w:tabs>
          <w:tab w:val="clear" w:pos="720"/>
          <w:tab w:val="left" w:pos="0" w:leader="none"/>
        </w:tabs>
        <w:jc w:val="both"/>
        <w:rPr>
          <w:rFonts w:ascii="Arial" w:hAnsi="Arial" w:cs="Arial"/>
          <w:szCs w:val="24"/>
        </w:rPr>
      </w:pPr>
      <w:r>
        <w:rPr>
          <w:rFonts w:cs="Arial" w:ascii="Arial" w:hAnsi="Arial"/>
          <w:szCs w:val="24"/>
        </w:rPr>
      </w:r>
    </w:p>
    <w:p>
      <w:pPr>
        <w:pStyle w:val="Normal"/>
        <w:numPr>
          <w:ilvl w:val="0"/>
          <w:numId w:val="4"/>
        </w:numPr>
        <w:tabs>
          <w:tab w:val="clear" w:pos="720"/>
          <w:tab w:val="left" w:pos="-450" w:leader="none"/>
          <w:tab w:val="left" w:pos="0" w:leader="none"/>
        </w:tabs>
        <w:ind w:hanging="360" w:start="720" w:end="0"/>
        <w:jc w:val="both"/>
        <w:rPr>
          <w:rFonts w:ascii="Arial" w:hAnsi="Arial" w:cs="Arial"/>
          <w:szCs w:val="24"/>
        </w:rPr>
      </w:pPr>
      <w:r>
        <w:rPr>
          <w:rFonts w:cs="Arial" w:ascii="Arial" w:hAnsi="Arial"/>
          <w:szCs w:val="24"/>
        </w:rPr>
        <w:t>Approving annually the scope, coverage and effectiveness of the written internal control system.</w:t>
      </w:r>
    </w:p>
    <w:p>
      <w:pPr>
        <w:pStyle w:val="Normal"/>
        <w:tabs>
          <w:tab w:val="clear" w:pos="720"/>
          <w:tab w:val="left" w:pos="0" w:leader="none"/>
        </w:tabs>
        <w:jc w:val="both"/>
        <w:rPr>
          <w:rFonts w:ascii="Arial" w:hAnsi="Arial" w:cs="Arial"/>
          <w:szCs w:val="24"/>
        </w:rPr>
      </w:pPr>
      <w:r>
        <w:rPr>
          <w:rFonts w:cs="Arial" w:ascii="Arial" w:hAnsi="Arial"/>
          <w:szCs w:val="24"/>
        </w:rPr>
      </w:r>
    </w:p>
    <w:p>
      <w:pPr>
        <w:pStyle w:val="Normal"/>
        <w:ind w:start="360" w:end="0"/>
        <w:jc w:val="both"/>
        <w:rPr>
          <w:rFonts w:ascii="Arial" w:hAnsi="Arial" w:cs="Arial"/>
          <w:szCs w:val="24"/>
          <w:u w:val="single"/>
        </w:rPr>
      </w:pPr>
      <w:r>
        <w:rPr>
          <w:rFonts w:cs="Arial" w:ascii="Arial" w:hAnsi="Arial"/>
          <w:szCs w:val="24"/>
          <w:u w:val="single"/>
        </w:rPr>
        <w:t>Bank Management:</w:t>
      </w:r>
    </w:p>
    <w:p>
      <w:pPr>
        <w:pStyle w:val="Normal"/>
        <w:jc w:val="both"/>
        <w:rPr>
          <w:rFonts w:ascii="Arial" w:hAnsi="Arial" w:cs="Arial"/>
          <w:szCs w:val="24"/>
          <w:u w:val="single"/>
        </w:rPr>
      </w:pPr>
      <w:r>
        <w:rPr>
          <w:rFonts w:cs="Arial" w:ascii="Arial" w:hAnsi="Arial"/>
          <w:szCs w:val="24"/>
          <w:u w:val="single"/>
        </w:rPr>
      </w:r>
    </w:p>
    <w:p>
      <w:pPr>
        <w:pStyle w:val="Normal"/>
        <w:ind w:start="360" w:end="0"/>
        <w:jc w:val="both"/>
        <w:rPr>
          <w:rFonts w:ascii="Arial" w:hAnsi="Arial" w:cs="Arial"/>
          <w:szCs w:val="24"/>
        </w:rPr>
      </w:pPr>
      <w:r>
        <w:rPr>
          <w:rFonts w:cs="Arial" w:ascii="Arial" w:hAnsi="Arial"/>
          <w:szCs w:val="24"/>
        </w:rPr>
        <w:t>Bank Management’s responsibilities include:</w:t>
      </w:r>
    </w:p>
    <w:p>
      <w:pPr>
        <w:pStyle w:val="Normal"/>
        <w:jc w:val="both"/>
        <w:rPr>
          <w:rFonts w:ascii="Arial" w:hAnsi="Arial" w:cs="Arial"/>
          <w:szCs w:val="24"/>
        </w:rPr>
      </w:pPr>
      <w:r>
        <w:rPr>
          <w:rFonts w:cs="Arial" w:ascii="Arial" w:hAnsi="Arial"/>
          <w:szCs w:val="24"/>
        </w:rPr>
      </w:r>
    </w:p>
    <w:p>
      <w:pPr>
        <w:pStyle w:val="Normal"/>
        <w:numPr>
          <w:ilvl w:val="0"/>
          <w:numId w:val="3"/>
        </w:numPr>
        <w:tabs>
          <w:tab w:val="clear" w:pos="720"/>
          <w:tab w:val="left" w:pos="-360" w:leader="none"/>
        </w:tabs>
        <w:ind w:hanging="360" w:start="720" w:end="0"/>
        <w:jc w:val="both"/>
        <w:rPr>
          <w:rFonts w:ascii="Arial" w:hAnsi="Arial" w:cs="Arial"/>
          <w:szCs w:val="24"/>
        </w:rPr>
      </w:pPr>
      <w:r>
        <w:rPr>
          <w:rFonts w:cs="Arial" w:ascii="Arial" w:hAnsi="Arial"/>
          <w:szCs w:val="24"/>
        </w:rPr>
        <w:t>Implementing policies and enforcing a system of internal control as approved by the Audit Committee.</w:t>
      </w:r>
    </w:p>
    <w:p>
      <w:pPr>
        <w:pStyle w:val="Normal"/>
        <w:ind w:start="360" w:end="0"/>
        <w:jc w:val="both"/>
        <w:rPr>
          <w:rFonts w:ascii="Arial" w:hAnsi="Arial" w:cs="Arial"/>
          <w:szCs w:val="24"/>
        </w:rPr>
      </w:pPr>
      <w:r>
        <w:rPr>
          <w:rFonts w:cs="Arial" w:ascii="Arial" w:hAnsi="Arial"/>
          <w:szCs w:val="24"/>
        </w:rPr>
      </w:r>
    </w:p>
    <w:p>
      <w:pPr>
        <w:pStyle w:val="Normal"/>
        <w:numPr>
          <w:ilvl w:val="0"/>
          <w:numId w:val="3"/>
        </w:numPr>
        <w:tabs>
          <w:tab w:val="clear" w:pos="720"/>
          <w:tab w:val="left" w:pos="-360" w:leader="none"/>
        </w:tabs>
        <w:ind w:hanging="360" w:start="720" w:end="0"/>
        <w:jc w:val="both"/>
        <w:rPr>
          <w:rFonts w:ascii="Arial" w:hAnsi="Arial" w:cs="Arial"/>
          <w:szCs w:val="24"/>
        </w:rPr>
      </w:pPr>
      <w:r>
        <w:rPr>
          <w:rFonts w:cs="Arial" w:ascii="Arial" w:hAnsi="Arial"/>
          <w:szCs w:val="24"/>
        </w:rPr>
        <w:t>Managing and supervising the internal audit/control function of the Bank.  This responsibility cannot be delegated.</w:t>
      </w:r>
    </w:p>
    <w:p>
      <w:pPr>
        <w:pStyle w:val="Normal"/>
        <w:jc w:val="both"/>
        <w:rPr>
          <w:rFonts w:ascii="Arial" w:hAnsi="Arial" w:cs="Arial"/>
          <w:szCs w:val="24"/>
        </w:rPr>
      </w:pPr>
      <w:r>
        <w:rPr>
          <w:rFonts w:cs="Arial" w:ascii="Arial" w:hAnsi="Arial"/>
          <w:szCs w:val="24"/>
        </w:rPr>
      </w:r>
    </w:p>
    <w:p>
      <w:pPr>
        <w:pStyle w:val="Normal"/>
        <w:numPr>
          <w:ilvl w:val="0"/>
          <w:numId w:val="3"/>
        </w:numPr>
        <w:tabs>
          <w:tab w:val="clear" w:pos="720"/>
          <w:tab w:val="left" w:pos="-360" w:leader="none"/>
        </w:tabs>
        <w:ind w:hanging="360" w:start="720" w:end="0"/>
        <w:jc w:val="both"/>
        <w:rPr>
          <w:rFonts w:ascii="Arial" w:hAnsi="Arial" w:cs="Arial"/>
          <w:szCs w:val="24"/>
        </w:rPr>
      </w:pPr>
      <w:r>
        <w:rPr>
          <w:rFonts w:cs="Arial" w:ascii="Arial" w:hAnsi="Arial"/>
          <w:szCs w:val="24"/>
        </w:rPr>
        <w:t>Fostering a positive corporate attitude towards sound internal controls and compliance with policies, procedures, laws and regulations.</w:t>
      </w:r>
    </w:p>
    <w:p>
      <w:pPr>
        <w:pStyle w:val="Normal"/>
        <w:jc w:val="both"/>
        <w:rPr>
          <w:rFonts w:ascii="Arial" w:hAnsi="Arial" w:cs="Arial"/>
          <w:szCs w:val="24"/>
        </w:rPr>
      </w:pPr>
      <w:r>
        <w:rPr>
          <w:rFonts w:cs="Arial" w:ascii="Arial" w:hAnsi="Arial"/>
          <w:szCs w:val="24"/>
        </w:rPr>
      </w:r>
    </w:p>
    <w:p>
      <w:pPr>
        <w:pStyle w:val="Normal"/>
        <w:numPr>
          <w:ilvl w:val="0"/>
          <w:numId w:val="3"/>
        </w:numPr>
        <w:tabs>
          <w:tab w:val="clear" w:pos="720"/>
          <w:tab w:val="left" w:pos="-180" w:leader="none"/>
        </w:tabs>
        <w:ind w:hanging="360" w:start="720" w:end="0"/>
        <w:jc w:val="both"/>
        <w:rPr>
          <w:rFonts w:ascii="Arial" w:hAnsi="Arial" w:cs="Arial"/>
          <w:szCs w:val="24"/>
        </w:rPr>
      </w:pPr>
      <w:r>
        <w:rPr>
          <w:rFonts w:cs="Arial" w:ascii="Arial" w:hAnsi="Arial"/>
          <w:szCs w:val="24"/>
        </w:rPr>
        <w:t>Supporting publicly the Auditor’s role.</w:t>
      </w:r>
    </w:p>
    <w:p>
      <w:pPr>
        <w:pStyle w:val="Normal"/>
        <w:jc w:val="both"/>
        <w:rPr>
          <w:rFonts w:ascii="Arial" w:hAnsi="Arial" w:cs="Arial"/>
          <w:szCs w:val="24"/>
        </w:rPr>
      </w:pPr>
      <w:r>
        <w:rPr>
          <w:rFonts w:cs="Arial" w:ascii="Arial" w:hAnsi="Arial"/>
          <w:szCs w:val="24"/>
        </w:rPr>
      </w:r>
    </w:p>
    <w:p>
      <w:pPr>
        <w:pStyle w:val="Normal"/>
        <w:numPr>
          <w:ilvl w:val="0"/>
          <w:numId w:val="3"/>
        </w:numPr>
        <w:tabs>
          <w:tab w:val="clear" w:pos="720"/>
          <w:tab w:val="left" w:pos="-360" w:leader="none"/>
        </w:tabs>
        <w:ind w:hanging="360" w:start="720" w:end="0"/>
        <w:jc w:val="both"/>
        <w:rPr>
          <w:rFonts w:ascii="Arial" w:hAnsi="Arial" w:cs="Arial"/>
          <w:szCs w:val="24"/>
        </w:rPr>
      </w:pPr>
      <w:r>
        <w:rPr>
          <w:rFonts w:cs="Arial" w:ascii="Arial" w:hAnsi="Arial"/>
          <w:szCs w:val="24"/>
        </w:rPr>
        <w:t>Maintaining current documentation of written policies and procedures for all significant functions of the Bank.</w:t>
      </w:r>
    </w:p>
    <w:p>
      <w:pPr>
        <w:pStyle w:val="Normal"/>
        <w:jc w:val="both"/>
        <w:rPr>
          <w:rFonts w:ascii="Arial" w:hAnsi="Arial" w:cs="Arial"/>
          <w:szCs w:val="24"/>
        </w:rPr>
      </w:pPr>
      <w:r>
        <w:rPr>
          <w:rFonts w:cs="Arial" w:ascii="Arial" w:hAnsi="Arial"/>
          <w:szCs w:val="24"/>
        </w:rPr>
      </w:r>
    </w:p>
    <w:p>
      <w:pPr>
        <w:pStyle w:val="Normal"/>
        <w:numPr>
          <w:ilvl w:val="0"/>
          <w:numId w:val="3"/>
        </w:numPr>
        <w:tabs>
          <w:tab w:val="clear" w:pos="720"/>
          <w:tab w:val="left" w:pos="-360" w:leader="none"/>
        </w:tabs>
        <w:ind w:hanging="360" w:start="720" w:end="0"/>
        <w:jc w:val="both"/>
        <w:rPr>
          <w:rFonts w:ascii="Arial" w:hAnsi="Arial" w:cs="Arial"/>
          <w:szCs w:val="24"/>
        </w:rPr>
      </w:pPr>
      <w:r>
        <w:rPr>
          <w:rFonts w:cs="Arial" w:ascii="Arial" w:hAnsi="Arial"/>
          <w:szCs w:val="24"/>
        </w:rPr>
        <w:t>Maintaining a sound system of internal controls.</w:t>
      </w:r>
    </w:p>
    <w:p>
      <w:pPr>
        <w:pStyle w:val="Normal"/>
        <w:jc w:val="both"/>
        <w:rPr>
          <w:rFonts w:ascii="Arial" w:hAnsi="Arial" w:cs="Arial"/>
          <w:szCs w:val="24"/>
        </w:rPr>
      </w:pPr>
      <w:r>
        <w:rPr>
          <w:rFonts w:cs="Arial" w:ascii="Arial" w:hAnsi="Arial"/>
          <w:szCs w:val="24"/>
        </w:rPr>
      </w:r>
    </w:p>
    <w:p>
      <w:pPr>
        <w:pStyle w:val="Normal"/>
        <w:numPr>
          <w:ilvl w:val="0"/>
          <w:numId w:val="3"/>
        </w:numPr>
        <w:tabs>
          <w:tab w:val="clear" w:pos="720"/>
          <w:tab w:val="left" w:pos="-360" w:leader="none"/>
        </w:tabs>
        <w:ind w:hanging="360" w:start="720" w:end="0"/>
        <w:jc w:val="both"/>
        <w:rPr>
          <w:rFonts w:ascii="Arial" w:hAnsi="Arial" w:cs="Arial"/>
          <w:szCs w:val="24"/>
        </w:rPr>
      </w:pPr>
      <w:r>
        <w:rPr>
          <w:rFonts w:cs="Arial" w:ascii="Arial" w:hAnsi="Arial"/>
          <w:szCs w:val="24"/>
        </w:rPr>
        <w:t>Preparing financial statements that are reliable and reasonably accurate.</w:t>
      </w:r>
    </w:p>
    <w:p>
      <w:pPr>
        <w:pStyle w:val="Normal"/>
        <w:jc w:val="both"/>
        <w:rPr>
          <w:rFonts w:ascii="Arial" w:hAnsi="Arial" w:cs="Arial"/>
          <w:szCs w:val="24"/>
        </w:rPr>
      </w:pPr>
      <w:r>
        <w:rPr>
          <w:rFonts w:cs="Arial" w:ascii="Arial" w:hAnsi="Arial"/>
          <w:szCs w:val="24"/>
        </w:rPr>
      </w:r>
    </w:p>
    <w:p>
      <w:pPr>
        <w:pStyle w:val="Normal"/>
        <w:numPr>
          <w:ilvl w:val="0"/>
          <w:numId w:val="7"/>
        </w:numPr>
        <w:tabs>
          <w:tab w:val="clear" w:pos="720"/>
          <w:tab w:val="left" w:pos="-360" w:leader="none"/>
        </w:tabs>
        <w:ind w:hanging="360" w:start="720" w:end="0"/>
        <w:jc w:val="both"/>
        <w:rPr>
          <w:rFonts w:ascii="Arial" w:hAnsi="Arial" w:cs="Arial"/>
          <w:szCs w:val="24"/>
        </w:rPr>
      </w:pPr>
      <w:r>
        <w:rPr>
          <w:rFonts w:cs="Arial" w:ascii="Arial" w:hAnsi="Arial"/>
          <w:szCs w:val="24"/>
        </w:rPr>
        <w:t>Responding promptly to the Auditor any action taken to correct any findings noted in written reports by regulatory agencies, the Auditor, or their designee, consultants or external auditors.</w:t>
      </w:r>
    </w:p>
    <w:p>
      <w:pPr>
        <w:pStyle w:val="Normal"/>
        <w:jc w:val="both"/>
        <w:rPr>
          <w:rFonts w:ascii="Arial" w:hAnsi="Arial" w:cs="Arial"/>
          <w:szCs w:val="24"/>
        </w:rPr>
      </w:pPr>
      <w:r>
        <w:rPr>
          <w:rFonts w:cs="Arial" w:ascii="Arial" w:hAnsi="Arial"/>
          <w:szCs w:val="24"/>
        </w:rPr>
      </w:r>
    </w:p>
    <w:p>
      <w:pPr>
        <w:pStyle w:val="Normal"/>
        <w:numPr>
          <w:ilvl w:val="0"/>
          <w:numId w:val="7"/>
        </w:numPr>
        <w:tabs>
          <w:tab w:val="clear" w:pos="720"/>
          <w:tab w:val="left" w:pos="-360" w:leader="none"/>
        </w:tabs>
        <w:ind w:hanging="360" w:start="720" w:end="0"/>
        <w:jc w:val="both"/>
        <w:rPr>
          <w:rFonts w:ascii="Arial" w:hAnsi="Arial" w:cs="Arial"/>
          <w:szCs w:val="24"/>
        </w:rPr>
      </w:pPr>
      <w:r>
        <w:rPr>
          <w:rFonts w:cs="Arial" w:ascii="Arial" w:hAnsi="Arial"/>
          <w:szCs w:val="24"/>
        </w:rPr>
        <w:t>Ensuring internal control weaknesses noted in regulatory examinations; internal control, internal monitoring, consultant, and external audit reports are adequately corrected.  All managers and supervisors will give complete cooperation to the process in their area(s) of responsibility.</w:t>
      </w:r>
    </w:p>
    <w:p>
      <w:pPr>
        <w:pStyle w:val="Normal"/>
        <w:jc w:val="both"/>
        <w:rPr>
          <w:rFonts w:ascii="Arial" w:hAnsi="Arial" w:cs="Arial"/>
          <w:szCs w:val="24"/>
        </w:rPr>
      </w:pPr>
      <w:r>
        <w:rPr>
          <w:rFonts w:cs="Arial" w:ascii="Arial" w:hAnsi="Arial"/>
          <w:szCs w:val="24"/>
        </w:rPr>
      </w:r>
    </w:p>
    <w:p>
      <w:pPr>
        <w:pStyle w:val="Heading1"/>
        <w:spacing w:before="0" w:after="0"/>
        <w:ind w:hanging="0" w:start="360" w:end="0"/>
        <w:jc w:val="both"/>
        <w:rPr>
          <w:rFonts w:ascii="Arial" w:hAnsi="Arial" w:cs="Arial"/>
          <w:b w:val="false"/>
          <w:sz w:val="24"/>
          <w:szCs w:val="24"/>
          <w:u w:val="single"/>
        </w:rPr>
      </w:pPr>
      <w:r>
        <w:rPr>
          <w:rFonts w:cs="Arial" w:ascii="Arial" w:hAnsi="Arial"/>
          <w:b w:val="false"/>
          <w:sz w:val="24"/>
          <w:szCs w:val="24"/>
          <w:u w:val="single"/>
        </w:rPr>
        <w:t>Director of Compliance and Audit (Auditor)</w:t>
      </w:r>
    </w:p>
    <w:p>
      <w:pPr>
        <w:pStyle w:val="Normal"/>
        <w:rPr>
          <w:rFonts w:ascii="Arial" w:hAnsi="Arial" w:cs="Arial"/>
          <w:b/>
          <w:sz w:val="24"/>
          <w:szCs w:val="24"/>
          <w:u w:val="single"/>
        </w:rPr>
      </w:pPr>
      <w:r>
        <w:rPr>
          <w:rFonts w:cs="Arial" w:ascii="Arial" w:hAnsi="Arial"/>
          <w:b/>
          <w:sz w:val="24"/>
          <w:szCs w:val="24"/>
          <w:u w:val="single"/>
        </w:rPr>
      </w:r>
    </w:p>
    <w:p>
      <w:pPr>
        <w:pStyle w:val="12"/>
        <w:spacing w:before="0" w:after="0"/>
        <w:ind w:start="360" w:end="0"/>
        <w:rPr>
          <w:rFonts w:ascii="Arial" w:hAnsi="Arial" w:cs="Arial"/>
          <w:sz w:val="24"/>
          <w:szCs w:val="24"/>
        </w:rPr>
      </w:pPr>
      <w:r>
        <w:rPr>
          <w:rFonts w:cs="Arial" w:ascii="Arial" w:hAnsi="Arial"/>
          <w:sz w:val="24"/>
          <w:szCs w:val="24"/>
        </w:rPr>
        <w:t>It is a requisite that the Auditor have access to any area or records required.  They will maintain control of those records until such time as the audit is completed and will maintain sufficient work papers to verify scope and deficiencies and to support conclusions.  Work papers may be provided to external auditors, regulators, and the Audit Committee if requested.</w:t>
      </w:r>
    </w:p>
    <w:p>
      <w:pPr>
        <w:pStyle w:val="12"/>
        <w:spacing w:before="0" w:after="0"/>
        <w:ind w:start="360" w:end="0"/>
        <w:rPr>
          <w:rFonts w:ascii="Arial" w:hAnsi="Arial" w:cs="Arial"/>
          <w:sz w:val="24"/>
          <w:szCs w:val="24"/>
        </w:rPr>
      </w:pPr>
      <w:r>
        <w:rPr>
          <w:rFonts w:cs="Arial" w:ascii="Arial" w:hAnsi="Arial"/>
          <w:sz w:val="24"/>
          <w:szCs w:val="24"/>
        </w:rPr>
      </w:r>
    </w:p>
    <w:p>
      <w:pPr>
        <w:pStyle w:val="BodyTextIndent"/>
        <w:spacing w:before="0" w:after="0"/>
        <w:rPr/>
      </w:pPr>
      <w:r>
        <w:rPr/>
        <w:t>Throughout the audit’s procedures, statistical sampling may be used, with the type (numerical, proportional, or judgmental) left to the discretion of the Auditor, or their designee. The Auditor, or their designee, must document the decision process used to determine the sample size in the work papers.</w:t>
      </w:r>
    </w:p>
    <w:p>
      <w:pPr>
        <w:pStyle w:val="BodyTextIndent"/>
        <w:spacing w:before="0" w:after="0"/>
        <w:rPr/>
      </w:pPr>
      <w:r>
        <w:rPr/>
      </w:r>
    </w:p>
    <w:p>
      <w:pPr>
        <w:pStyle w:val="BodyTextIndent"/>
        <w:spacing w:before="0" w:after="0"/>
        <w:rPr/>
      </w:pPr>
      <w:r>
        <w:rPr/>
        <w:t>The Auditor’s responsibilities include:</w:t>
      </w:r>
    </w:p>
    <w:p>
      <w:pPr>
        <w:pStyle w:val="BodyTextIndent"/>
        <w:spacing w:before="0" w:after="0"/>
        <w:ind w:start="0" w:end="0"/>
        <w:rPr/>
      </w:pPr>
      <w:r>
        <w:rPr/>
      </w:r>
    </w:p>
    <w:p>
      <w:pPr>
        <w:pStyle w:val="Normal"/>
        <w:numPr>
          <w:ilvl w:val="0"/>
          <w:numId w:val="2"/>
        </w:numPr>
        <w:tabs>
          <w:tab w:val="clear" w:pos="720"/>
          <w:tab w:val="left" w:pos="-180" w:leader="none"/>
          <w:tab w:val="left" w:pos="900" w:leader="none"/>
        </w:tabs>
        <w:ind w:hanging="547" w:start="907" w:end="0"/>
        <w:jc w:val="both"/>
        <w:rPr>
          <w:rFonts w:ascii="Arial" w:hAnsi="Arial" w:cs="Arial"/>
          <w:szCs w:val="24"/>
        </w:rPr>
      </w:pPr>
      <w:r>
        <w:rPr>
          <w:rFonts w:cs="Arial" w:ascii="Arial" w:hAnsi="Arial"/>
          <w:szCs w:val="24"/>
        </w:rPr>
        <w:t>Performing all actions deemed necessary to review and evaluate the soundness, effectiveness, adequacy, accuracy, and application of accounting, administrative and other established business operating controls (i.e., policies, procedures, standards, etc.).  These controls include those established to achieve the following results:</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6"/>
        </w:numPr>
        <w:tabs>
          <w:tab w:val="clear" w:pos="720"/>
          <w:tab w:val="left" w:pos="-90" w:leader="none"/>
          <w:tab w:val="left" w:pos="1260" w:leader="none"/>
        </w:tabs>
        <w:ind w:hanging="360" w:start="1260" w:end="0"/>
        <w:jc w:val="both"/>
        <w:rPr>
          <w:rFonts w:ascii="Arial" w:hAnsi="Arial" w:cs="Arial"/>
          <w:szCs w:val="24"/>
        </w:rPr>
      </w:pPr>
      <w:r>
        <w:rPr>
          <w:rFonts w:cs="Arial" w:ascii="Arial" w:hAnsi="Arial"/>
          <w:szCs w:val="24"/>
        </w:rPr>
        <w:t xml:space="preserve">Reliability of financial and operational information (management data) for use in management decision-making; </w:t>
      </w:r>
    </w:p>
    <w:p>
      <w:pPr>
        <w:pStyle w:val="Normal"/>
        <w:numPr>
          <w:ilvl w:val="0"/>
          <w:numId w:val="6"/>
        </w:numPr>
        <w:tabs>
          <w:tab w:val="clear" w:pos="720"/>
          <w:tab w:val="left" w:pos="-90" w:leader="none"/>
          <w:tab w:val="left" w:pos="1260" w:leader="none"/>
        </w:tabs>
        <w:ind w:hanging="360" w:start="1260" w:end="0"/>
        <w:jc w:val="both"/>
        <w:rPr>
          <w:rFonts w:ascii="Arial" w:hAnsi="Arial" w:cs="Arial"/>
          <w:szCs w:val="24"/>
        </w:rPr>
      </w:pPr>
      <w:r>
        <w:rPr>
          <w:rFonts w:cs="Arial" w:ascii="Arial" w:hAnsi="Arial"/>
          <w:szCs w:val="24"/>
        </w:rPr>
        <w:t xml:space="preserve">Properly safeguarded resources, including information and human resources; </w:t>
      </w:r>
    </w:p>
    <w:p>
      <w:pPr>
        <w:pStyle w:val="Normal"/>
        <w:numPr>
          <w:ilvl w:val="0"/>
          <w:numId w:val="6"/>
        </w:numPr>
        <w:tabs>
          <w:tab w:val="clear" w:pos="720"/>
          <w:tab w:val="left" w:pos="-90" w:leader="none"/>
          <w:tab w:val="left" w:pos="1260" w:leader="none"/>
        </w:tabs>
        <w:ind w:hanging="360" w:start="1260" w:end="0"/>
        <w:jc w:val="both"/>
        <w:rPr>
          <w:rFonts w:ascii="Arial" w:hAnsi="Arial" w:cs="Arial"/>
          <w:szCs w:val="24"/>
        </w:rPr>
      </w:pPr>
      <w:r>
        <w:rPr>
          <w:rFonts w:cs="Arial" w:ascii="Arial" w:hAnsi="Arial"/>
          <w:szCs w:val="24"/>
        </w:rPr>
        <w:t>Compliance with established policies/procedures, applicable laws and regulations, and generally accepted standards of prudent business management; and</w:t>
      </w:r>
    </w:p>
    <w:p>
      <w:pPr>
        <w:pStyle w:val="Normal"/>
        <w:numPr>
          <w:ilvl w:val="0"/>
          <w:numId w:val="6"/>
        </w:numPr>
        <w:tabs>
          <w:tab w:val="clear" w:pos="720"/>
          <w:tab w:val="left" w:pos="-90" w:leader="none"/>
          <w:tab w:val="left" w:pos="1260" w:leader="none"/>
        </w:tabs>
        <w:ind w:hanging="360" w:start="1267" w:end="0"/>
        <w:jc w:val="both"/>
        <w:rPr>
          <w:rFonts w:ascii="Arial" w:hAnsi="Arial" w:cs="Arial"/>
          <w:szCs w:val="24"/>
        </w:rPr>
      </w:pPr>
      <w:r>
        <w:rPr>
          <w:rFonts w:cs="Arial" w:ascii="Arial" w:hAnsi="Arial"/>
          <w:szCs w:val="24"/>
        </w:rPr>
        <w:t>Effective and efficient utilization of resources to achieve established business goals and objectives.</w:t>
      </w:r>
    </w:p>
    <w:p>
      <w:pPr>
        <w:pStyle w:val="Normal"/>
        <w:tabs>
          <w:tab w:val="clear" w:pos="720"/>
          <w:tab w:val="left" w:pos="126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Developing a comprehensive assessment of risks and appropriate annual audit plan which will cover all significant organizational activities over an appropriate time cycle to ascertain that they are being performed and exceptions noted are corrected.</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Promoting a high level of control awareness throughout the Bank.</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Maintaining effective communications with all departments of the Bank and demonstrating a thorough working knowledge of their activities.</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Determining the extent to which the Bank’s assets are accounted for and safeguarded from losses of all kinds.</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Reporting to management and the Audit Committee, in writing and upon report completion, opportunities identified for strengthening established business operating controls on a timely basis.</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Requesting management to promptly respond and correct deficiencies, exceptions and other weaknesses noted during the internal control and internal monitoring reviews.</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Providing summary reports of follow up to the Audit Committee quarterly for monitoring purposes.</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Coordinating examinations by external auditors, loan review consultants, the FDIC and the State of Minnesota to facilitate and expedite the examination process and monitoring implementation of needed corrective action.</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Coordinating with the external auditors to ensure compliance with the Annual Audit Report rule which establishes minimum performance and reporting requirements for the annual audit required by Minnesota Statutes, section 48.10.</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Coordinating management’s response to recommendations, suggestions and violations of law and regulations contained in regulatory examination, consultant, and external audit examination reports.</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Reviewing of the Bank’s policies and procedures, in light of examinations by external auditors, consultants, the Federal Deposit Insurance Corporation (FDIC), and the State of Minnesota.</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0" w:start="900" w:end="0"/>
        <w:jc w:val="both"/>
        <w:rPr>
          <w:rFonts w:ascii="Arial" w:hAnsi="Arial" w:cs="Arial"/>
          <w:szCs w:val="24"/>
        </w:rPr>
      </w:pPr>
      <w:r>
        <w:rPr>
          <w:rFonts w:cs="Arial" w:ascii="Arial" w:hAnsi="Arial"/>
          <w:szCs w:val="24"/>
        </w:rPr>
        <w:t>Exercising due professional care and for handling all information and other assets reviewed during the course of ongoing audit work in a prudent and professional manner.</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szCs w:val="24"/>
        </w:rPr>
      </w:pPr>
      <w:r>
        <w:rPr>
          <w:rFonts w:cs="Arial" w:ascii="Arial" w:hAnsi="Arial"/>
          <w:szCs w:val="24"/>
        </w:rPr>
        <w:t>Communicating, in writing, each year to the CPA firm (or the CPA firm may include their acknowledgment in the engagement letter) that the Audit Committee expects the CPA firm to be independent (as defined by Generally Accepted Auditing Standards).</w:t>
      </w:r>
    </w:p>
    <w:p>
      <w:pPr>
        <w:pStyle w:val="Normal"/>
        <w:tabs>
          <w:tab w:val="clear" w:pos="720"/>
          <w:tab w:val="left" w:pos="900" w:leader="none"/>
        </w:tabs>
        <w:ind w:start="360" w:end="0"/>
        <w:jc w:val="both"/>
        <w:rPr>
          <w:rFonts w:ascii="Arial" w:hAnsi="Arial" w:cs="Arial"/>
          <w:szCs w:val="24"/>
        </w:rPr>
      </w:pPr>
      <w:r>
        <w:rPr>
          <w:rFonts w:cs="Arial" w:ascii="Arial" w:hAnsi="Arial"/>
          <w:szCs w:val="24"/>
        </w:rPr>
      </w:r>
    </w:p>
    <w:p>
      <w:pPr>
        <w:pStyle w:val="Normal"/>
        <w:numPr>
          <w:ilvl w:val="0"/>
          <w:numId w:val="2"/>
        </w:numPr>
        <w:tabs>
          <w:tab w:val="clear" w:pos="720"/>
          <w:tab w:val="left" w:pos="900" w:leader="none"/>
        </w:tabs>
        <w:ind w:hanging="547" w:start="907" w:end="0"/>
        <w:jc w:val="both"/>
        <w:rPr>
          <w:rFonts w:ascii="Arial" w:hAnsi="Arial" w:cs="Arial"/>
        </w:rPr>
      </w:pPr>
      <w:r>
        <w:rPr>
          <w:rFonts w:cs="Arial" w:ascii="Arial" w:hAnsi="Arial"/>
        </w:rPr>
        <w:t>Developing policies and procedures to guide internal audit staff in the audit of various areas of the bank, including checklists, questionnaires, and flow charts to aid the internal audit staff.</w:t>
      </w:r>
    </w:p>
    <w:p>
      <w:pPr>
        <w:pStyle w:val="Normal"/>
        <w:tabs>
          <w:tab w:val="clear" w:pos="720"/>
          <w:tab w:val="left" w:pos="900" w:leader="none"/>
        </w:tabs>
        <w:jc w:val="both"/>
        <w:rPr>
          <w:rFonts w:ascii="Arial" w:hAnsi="Arial" w:cs="Arial"/>
          <w:szCs w:val="24"/>
        </w:rPr>
      </w:pPr>
      <w:r>
        <w:rPr>
          <w:rFonts w:cs="Arial" w:ascii="Arial" w:hAnsi="Arial"/>
          <w:szCs w:val="24"/>
        </w:rPr>
      </w:r>
    </w:p>
    <w:p>
      <w:pPr>
        <w:pStyle w:val="Normal"/>
        <w:ind w:start="360" w:end="0"/>
        <w:jc w:val="both"/>
        <w:rPr>
          <w:rFonts w:ascii="Arial" w:hAnsi="Arial" w:cs="Arial"/>
          <w:szCs w:val="24"/>
          <w:u w:val="single"/>
        </w:rPr>
      </w:pPr>
      <w:r>
        <w:rPr>
          <w:rFonts w:cs="Arial" w:ascii="Arial" w:hAnsi="Arial"/>
          <w:szCs w:val="24"/>
          <w:u w:val="single"/>
        </w:rPr>
        <w:t>All Bank Personnel</w:t>
      </w:r>
    </w:p>
    <w:p>
      <w:pPr>
        <w:pStyle w:val="Normal"/>
        <w:jc w:val="both"/>
        <w:rPr>
          <w:rFonts w:ascii="Arial" w:hAnsi="Arial" w:cs="Arial"/>
          <w:szCs w:val="24"/>
          <w:u w:val="single"/>
        </w:rPr>
      </w:pPr>
      <w:r>
        <w:rPr>
          <w:rFonts w:cs="Arial" w:ascii="Arial" w:hAnsi="Arial"/>
          <w:szCs w:val="24"/>
          <w:u w:val="single"/>
        </w:rPr>
      </w:r>
    </w:p>
    <w:p>
      <w:pPr>
        <w:pStyle w:val="BodyTextIndent"/>
        <w:spacing w:before="0" w:after="0"/>
        <w:rPr/>
      </w:pPr>
      <w:r>
        <w:rPr/>
        <w:t>While the Auditor is responsible for the coordination and testing of internal controls and the Audit Committee is responsible for the oversight of the internal control process, each employee is responsible for ensuring that internal controls in their function exist and work as designed.  Bank personnel are expected to cooperate in making the internal control process effective.  Bank personnel are also expected to report any weakness in internal controls to the Auditor or to their supervisor who, in turn, will be responsible for reporting the weakness the Auditor.</w:t>
      </w:r>
    </w:p>
    <w:p>
      <w:pPr>
        <w:pStyle w:val="BodyTextIndent"/>
        <w:spacing w:before="0" w:after="0"/>
        <w:ind w:start="0" w:end="0"/>
        <w:rPr/>
      </w:pPr>
      <w:r>
        <w:rPr/>
      </w:r>
    </w:p>
    <w:p>
      <w:pPr>
        <w:pStyle w:val="Normal"/>
        <w:jc w:val="both"/>
        <w:rPr>
          <w:rFonts w:ascii="Arial" w:hAnsi="Arial" w:cs="Arial"/>
          <w:b/>
          <w:szCs w:val="24"/>
        </w:rPr>
      </w:pPr>
      <w:r>
        <w:rPr>
          <w:rFonts w:cs="Arial" w:ascii="Arial" w:hAnsi="Arial"/>
          <w:b/>
          <w:szCs w:val="24"/>
        </w:rPr>
        <w:t>EXTERNAL AUDITS</w:t>
      </w:r>
    </w:p>
    <w:p>
      <w:pPr>
        <w:pStyle w:val="Normal"/>
        <w:jc w:val="both"/>
        <w:rPr>
          <w:rFonts w:ascii="Arial" w:hAnsi="Arial" w:cs="Arial"/>
          <w:b/>
          <w:szCs w:val="24"/>
        </w:rPr>
      </w:pPr>
      <w:r>
        <w:rPr>
          <w:rFonts w:cs="Arial" w:ascii="Arial" w:hAnsi="Arial"/>
          <w:b/>
          <w:szCs w:val="24"/>
        </w:rPr>
      </w:r>
    </w:p>
    <w:p>
      <w:pPr>
        <w:pStyle w:val="Normal"/>
        <w:jc w:val="both"/>
        <w:rPr/>
      </w:pPr>
      <w:r>
        <w:rPr>
          <w:rFonts w:cs="Arial" w:ascii="Arial" w:hAnsi="Arial"/>
          <w:szCs w:val="24"/>
        </w:rPr>
        <w:t xml:space="preserve">Due to the Bank’s asset size, a full-scope audit is not required under 12 CFR 363, Annual Independent Audits and Reporting Requirements.  The Bank’s Board of Directors had determined that a full-scope audit will not be conducted until such time as the bank reaches the threshold in 12 CFR 363.  Until such time the Board has directed that the minimum annual examination requirements, pursuant to Minnesota Statutes, section 48.10 and Rule 2675.2610, will be performed through a combination of internal and external audits.  </w:t>
      </w:r>
    </w:p>
    <w:p>
      <w:pPr>
        <w:pStyle w:val="Normal"/>
        <w:jc w:val="both"/>
        <w:rPr>
          <w:rFonts w:ascii="Arial" w:hAnsi="Arial" w:cs="Arial"/>
          <w:szCs w:val="24"/>
        </w:rPr>
      </w:pPr>
      <w:r>
        <w:rPr>
          <w:rFonts w:cs="Arial" w:ascii="Arial" w:hAnsi="Arial"/>
          <w:szCs w:val="24"/>
        </w:rPr>
      </w:r>
    </w:p>
    <w:p>
      <w:pPr>
        <w:pStyle w:val="Normal"/>
        <w:jc w:val="both"/>
        <w:rPr>
          <w:rFonts w:ascii="Arial" w:hAnsi="Arial" w:cs="Arial"/>
          <w:szCs w:val="24"/>
        </w:rPr>
      </w:pPr>
      <w:r>
        <w:rPr>
          <w:rFonts w:cs="Arial" w:ascii="Arial" w:hAnsi="Arial"/>
          <w:szCs w:val="24"/>
        </w:rPr>
        <w:t xml:space="preserve">The Annual Examination Report will be submitted to the Board no later than 30 days after the completion of the required examinations.  </w:t>
      </w:r>
    </w:p>
    <w:p>
      <w:pPr>
        <w:pStyle w:val="Normal"/>
        <w:jc w:val="both"/>
        <w:rPr>
          <w:rFonts w:ascii="Arial" w:hAnsi="Arial" w:cs="Arial"/>
          <w:szCs w:val="24"/>
        </w:rPr>
      </w:pPr>
      <w:r>
        <w:rPr>
          <w:rFonts w:cs="Arial" w:ascii="Arial" w:hAnsi="Arial"/>
          <w:szCs w:val="24"/>
        </w:rPr>
      </w:r>
    </w:p>
    <w:sectPr>
      <w:headerReference w:type="default" r:id="rId3"/>
      <w:headerReference w:type="first" r:id="rId4"/>
      <w:type w:val="nextPage"/>
      <w:pgSz w:w="12240" w:h="15840"/>
      <w:pgMar w:left="1440" w:right="1440" w:gutter="0" w:header="720" w:top="1440" w:footer="0" w:bottom="72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variable"/>
  </w:font>
  <w:font w:name="Trebuchet MS">
    <w:charset w:val="00" w:characterSet="windows-1252"/>
    <w:family w:val="swiss"/>
    <w:pitch w:val="variable"/>
  </w:font>
  <w:font w:name="Century Gothic">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Tahom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sz w:val="20"/>
      </w:rPr>
    </w:pPr>
    <w:r>
      <w:rPr>
        <w:rFonts w:cs="Arial" w:ascii="Arial" w:hAnsi="Arial"/>
        <w:sz w:val="20"/>
      </w:rPr>
      <w:t>Internal Control Policy</w:t>
    </w:r>
  </w:p>
  <w:p>
    <w:pPr>
      <w:pStyle w:val="Header"/>
      <w:rPr>
        <w:rFonts w:ascii="Arial" w:hAnsi="Arial" w:cs="Arial"/>
        <w:sz w:val="20"/>
      </w:rPr>
    </w:pPr>
    <w:r>
      <w:rPr>
        <w:rFonts w:cs="Arial" w:ascii="Arial" w:hAnsi="Arial"/>
        <w:sz w:val="20"/>
      </w:rPr>
      <w:t>May 2014</w:t>
    </w:r>
  </w:p>
  <w:p>
    <w:pPr>
      <w:pStyle w:val="Header"/>
      <w:rPr>
        <w:rStyle w:val="PageNumber"/>
        <w:rFonts w:ascii="Arial" w:hAnsi="Arial" w:cs="Arial"/>
        <w:sz w:val="20"/>
      </w:rPr>
    </w:pPr>
    <w:r>
      <w:rPr>
        <w:rFonts w:cs="Arial" w:ascii="Arial" w:hAnsi="Arial"/>
        <w:sz w:val="20"/>
      </w:rPr>
      <w:t xml:space="preserve">Page </w:t>
    </w:r>
    <w:r>
      <w:rPr>
        <w:rStyle w:val="PageNumber"/>
        <w:rFonts w:cs="Arial" w:ascii="Arial" w:hAnsi="Arial"/>
        <w:sz w:val="20"/>
      </w:rPr>
      <w:fldChar w:fldCharType="begin"/>
    </w:r>
    <w:r>
      <w:rPr>
        <w:rStyle w:val="PageNumber"/>
        <w:rFonts w:cs="Arial" w:ascii="Arial" w:hAnsi="Arial"/>
        <w:sz w:val="20"/>
      </w:rPr>
      <w:instrText xml:space="preserve"> PAGE </w:instrText>
    </w:r>
    <w:r>
      <w:rPr>
        <w:rStyle w:val="PageNumber"/>
        <w:rFonts w:cs="Arial" w:ascii="Arial" w:hAnsi="Arial"/>
        <w:sz w:val="20"/>
      </w:rPr>
      <w:fldChar w:fldCharType="separate"/>
    </w:r>
    <w:r>
      <w:rPr>
        <w:rStyle w:val="PageNumber"/>
        <w:rFonts w:cs="Arial" w:ascii="Arial" w:hAnsi="Arial"/>
        <w:sz w:val="20"/>
      </w:rPr>
      <w:t>10</w:t>
    </w:r>
    <w:r>
      <w:rPr>
        <w:rStyle w:val="PageNumber"/>
        <w:rFonts w:cs="Arial" w:ascii="Arial" w:hAnsi="Arial"/>
        <w:sz w:val="20"/>
      </w:rPr>
      <w:fldChar w:fldCharType="end"/>
    </w:r>
    <w:r>
      <w:rPr>
        <w:rStyle w:val="PageNumber"/>
        <w:rFonts w:cs="Arial" w:ascii="Arial" w:hAnsi="Arial"/>
        <w:sz w:val="20"/>
      </w:rPr>
      <w:t xml:space="preserve"> of </w:t>
    </w:r>
    <w:r>
      <w:rPr>
        <w:rStyle w:val="PageNumber"/>
        <w:rFonts w:cs="Arial" w:ascii="Arial" w:hAnsi="Arial"/>
        <w:sz w:val="20"/>
      </w:rPr>
      <w:fldChar w:fldCharType="begin"/>
    </w:r>
    <w:r>
      <w:rPr>
        <w:rStyle w:val="PageNumber"/>
        <w:rFonts w:cs="Arial" w:ascii="Arial" w:hAnsi="Arial"/>
        <w:sz w:val="20"/>
      </w:rPr>
      <w:instrText xml:space="preserve"> NUMPAGES \* ARABIC </w:instrText>
    </w:r>
    <w:r>
      <w:rPr>
        <w:rStyle w:val="PageNumber"/>
        <w:rFonts w:cs="Arial" w:ascii="Arial" w:hAnsi="Arial"/>
        <w:sz w:val="20"/>
      </w:rPr>
      <w:fldChar w:fldCharType="separate"/>
    </w:r>
    <w:r>
      <w:rPr>
        <w:rStyle w:val="PageNumber"/>
        <w:rFonts w:cs="Arial" w:ascii="Arial" w:hAnsi="Arial"/>
        <w:sz w:val="20"/>
      </w:rPr>
      <w:t>10</w:t>
    </w:r>
    <w:r>
      <w:rPr>
        <w:rStyle w:val="PageNumber"/>
        <w:rFonts w:cs="Arial" w:ascii="Arial" w:hAnsi="Arial"/>
        <w:sz w:val="20"/>
      </w:rPr>
      <w:fldChar w:fldCharType="end"/>
    </w:r>
  </w:p>
  <w:p>
    <w:pPr>
      <w:pStyle w:val="Header"/>
      <w:rPr>
        <w:rStyle w:val="PageNumber"/>
        <w:rFonts w:ascii="Arial" w:hAnsi="Arial" w:cs="Arial"/>
        <w:sz w:val="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720" w:hanging="360"/>
      </w:pPr>
      <w:rPr>
        <w:rFonts w:ascii="Arial" w:hAnsi="Arial" w:cs="Arial"/>
        <w:b w:val="false"/>
        <w:i w:val="false"/>
        <w:sz w:val="24"/>
        <w:szCs w:val="20"/>
      </w:rPr>
    </w:lvl>
  </w:abstractNum>
  <w:abstractNum w:abstractNumId="3">
    <w:lvl w:ilvl="0">
      <w:start w:val="1"/>
      <w:numFmt w:val="decimal"/>
      <w:lvlText w:val="%1."/>
      <w:lvlJc w:val="start"/>
      <w:pPr>
        <w:tabs>
          <w:tab w:val="num" w:pos="360"/>
        </w:tabs>
        <w:ind w:start="360" w:hanging="360"/>
      </w:pPr>
      <w:rPr>
        <w:rFonts w:ascii="Arial" w:hAnsi="Arial" w:cs="Arial"/>
        <w:b w:val="false"/>
        <w:i w:val="false"/>
        <w:sz w:val="24"/>
        <w:szCs w:val="20"/>
      </w:rPr>
    </w:lvl>
  </w:abstractNum>
  <w:abstractNum w:abstractNumId="4">
    <w:lvl w:ilvl="0">
      <w:start w:val="1"/>
      <w:numFmt w:val="decimal"/>
      <w:lvlText w:val="%1."/>
      <w:lvlJc w:val="start"/>
      <w:pPr>
        <w:tabs>
          <w:tab w:val="num" w:pos="360"/>
        </w:tabs>
        <w:ind w:start="360" w:hanging="360"/>
      </w:pPr>
      <w:rPr>
        <w:rFonts w:ascii="Arial" w:hAnsi="Arial" w:cs="Arial"/>
        <w:b w:val="false"/>
        <w:i w:val="false"/>
        <w:sz w:val="24"/>
        <w:szCs w:val="20"/>
      </w:rPr>
    </w:lvl>
  </w:abstractNum>
  <w:abstractNum w:abstractNumId="5">
    <w:lvl w:ilvl="0">
      <w:start w:val="1"/>
      <w:numFmt w:val="bullet"/>
      <w:lvlText w:val=""/>
      <w:lvlJc w:val="start"/>
      <w:pPr>
        <w:tabs>
          <w:tab w:val="num" w:pos="1080"/>
        </w:tabs>
        <w:ind w:start="108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sz w:val="20"/>
      </w:rPr>
    </w:lvl>
  </w:abstractNum>
  <w:abstractNum w:abstractNumId="7">
    <w:lvl w:ilvl="0">
      <w:start w:val="6"/>
      <w:numFmt w:val="decimal"/>
      <w:lvlText w:val="%1."/>
      <w:lvlJc w:val="start"/>
      <w:pPr>
        <w:tabs>
          <w:tab w:val="num" w:pos="360"/>
        </w:tabs>
        <w:ind w:start="360" w:hanging="360"/>
      </w:pPr>
    </w:lvl>
  </w:abstractNum>
  <w:abstractNum w:abstractNumId="8">
    <w:lvl w:ilvl="0">
      <w:numFmt w:val="bullet"/>
      <w:lvlText w:val=""/>
      <w:lvlJc w:val="start"/>
      <w:pPr>
        <w:tabs>
          <w:tab w:val="num" w:pos="360"/>
        </w:tabs>
        <w:ind w:start="360" w:hanging="360"/>
      </w:pPr>
      <w:rPr>
        <w:rFonts w:ascii="Symbol" w:hAnsi="Symbol" w:cs="Symbol" w:hint="default"/>
      </w:rPr>
    </w:lvl>
  </w:abstractNum>
  <w:abstractNum w:abstractNumId="9">
    <w:lvl w:ilvl="0">
      <w:numFmt w:val="bullet"/>
      <w:lvlText w:val=""/>
      <w:lvlJc w:val="start"/>
      <w:pPr>
        <w:tabs>
          <w:tab w:val="num" w:pos="36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trackRevisions/>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numPr>
        <w:ilvl w:val="0"/>
        <w:numId w:val="1"/>
      </w:numPr>
      <w:spacing w:before="0" w:after="240"/>
      <w:outlineLvl w:val="0"/>
    </w:pPr>
    <w:rPr>
      <w:rFonts w:ascii="Garamond" w:hAnsi="Garamond" w:cs="Garamond"/>
      <w:b/>
      <w:sz w:val="22"/>
    </w:rPr>
  </w:style>
  <w:style w:type="paragraph" w:styleId="Heading2">
    <w:name w:val="heading 2"/>
    <w:basedOn w:val="Normal"/>
    <w:next w:val="Normal"/>
    <w:qFormat/>
    <w:pPr>
      <w:keepNext w:val="true"/>
      <w:numPr>
        <w:ilvl w:val="1"/>
        <w:numId w:val="1"/>
      </w:numPr>
      <w:spacing w:before="0" w:after="240"/>
      <w:jc w:val="both"/>
      <w:outlineLvl w:val="1"/>
    </w:pPr>
    <w:rPr>
      <w:rFonts w:ascii="Trebuchet MS" w:hAnsi="Trebuchet MS" w:cs="Trebuchet MS"/>
      <w:b/>
      <w:sz w:val="22"/>
    </w:rPr>
  </w:style>
  <w:style w:type="paragraph" w:styleId="Heading3">
    <w:name w:val="heading 3"/>
    <w:basedOn w:val="Normal"/>
    <w:next w:val="Normal"/>
    <w:qFormat/>
    <w:pPr>
      <w:keepNext w:val="true"/>
      <w:numPr>
        <w:ilvl w:val="2"/>
        <w:numId w:val="1"/>
      </w:numPr>
      <w:pBdr>
        <w:top w:val="single" w:sz="30" w:space="1" w:color="000000"/>
        <w:left w:val="single" w:sz="30" w:space="1" w:color="000000"/>
        <w:bottom w:val="single" w:sz="30" w:space="1" w:color="000000"/>
        <w:right w:val="single" w:sz="30" w:space="1" w:color="000000"/>
      </w:pBdr>
      <w:tabs>
        <w:tab w:val="clear" w:pos="720"/>
        <w:tab w:val="center" w:pos="4320" w:leader="none"/>
      </w:tabs>
      <w:suppressAutoHyphens w:val="true"/>
      <w:jc w:val="center"/>
      <w:outlineLvl w:val="2"/>
    </w:pPr>
    <w:rPr>
      <w:rFonts w:ascii="Century Gothic" w:hAnsi="Century Gothic" w:cs="Century Gothic"/>
      <w:b/>
      <w:spacing w:val="-3"/>
      <w:sz w:val="44"/>
    </w:rPr>
  </w:style>
  <w:style w:type="paragraph" w:styleId="Heading4">
    <w:name w:val="heading 4"/>
    <w:basedOn w:val="Normal"/>
    <w:next w:val="Normal"/>
    <w:qFormat/>
    <w:pPr>
      <w:keepNext w:val="true"/>
      <w:numPr>
        <w:ilvl w:val="3"/>
        <w:numId w:val="1"/>
      </w:numPr>
      <w:tabs>
        <w:tab w:val="clear" w:pos="720"/>
        <w:tab w:val="center" w:pos="4320" w:leader="none"/>
      </w:tabs>
      <w:suppressAutoHyphens w:val="true"/>
      <w:jc w:val="center"/>
      <w:outlineLvl w:val="3"/>
    </w:pPr>
    <w:rPr>
      <w:rFonts w:ascii="Arial" w:hAnsi="Arial" w:cs="Arial"/>
      <w:b/>
      <w:spacing w:val="-3"/>
    </w:rPr>
  </w:style>
  <w:style w:type="paragraph" w:styleId="Heading5">
    <w:name w:val="heading 5"/>
    <w:basedOn w:val="Normal"/>
    <w:next w:val="Normal"/>
    <w:qFormat/>
    <w:pPr>
      <w:keepNext w:val="true"/>
      <w:numPr>
        <w:ilvl w:val="4"/>
        <w:numId w:val="1"/>
      </w:numPr>
      <w:spacing w:before="0" w:after="240"/>
      <w:ind w:hanging="0" w:start="360" w:end="0"/>
      <w:jc w:val="both"/>
      <w:outlineLvl w:val="4"/>
    </w:pPr>
    <w:rPr>
      <w:rFonts w:ascii="Arial" w:hAnsi="Arial" w:cs="Arial"/>
      <w:b/>
      <w:szCs w:val="24"/>
    </w:rPr>
  </w:style>
  <w:style w:type="character" w:styleId="WW8Num2z0">
    <w:name w:val="WW8Num2z0"/>
    <w:qFormat/>
    <w:rPr>
      <w:rFonts w:ascii="Century Gothic" w:hAnsi="Century Gothic" w:cs="Century Gothic"/>
      <w:b w:val="false"/>
      <w:i w:val="false"/>
      <w:sz w:val="20"/>
      <w:szCs w:val="20"/>
    </w:rPr>
  </w:style>
  <w:style w:type="character" w:styleId="WW8Num4z0">
    <w:name w:val="WW8Num4z0"/>
    <w:qFormat/>
    <w:rPr>
      <w:rFonts w:ascii="Arial" w:hAnsi="Arial" w:cs="Arial"/>
      <w:sz w:val="24"/>
    </w:rPr>
  </w:style>
  <w:style w:type="character" w:styleId="WW8Num5z0">
    <w:name w:val="WW8Num5z0"/>
    <w:qFormat/>
    <w:rPr>
      <w:rFonts w:ascii="Arial" w:hAnsi="Arial" w:cs="Arial"/>
      <w:b w:val="false"/>
      <w:i w:val="false"/>
      <w:sz w:val="24"/>
      <w:szCs w:val="20"/>
    </w:rPr>
  </w:style>
  <w:style w:type="character" w:styleId="WW8Num6z0">
    <w:name w:val="WW8Num6z0"/>
    <w:qFormat/>
    <w:rPr>
      <w:rFonts w:ascii="Arial" w:hAnsi="Arial" w:cs="Arial"/>
      <w:b w:val="false"/>
      <w:i w:val="false"/>
      <w:sz w:val="24"/>
      <w:szCs w:val="20"/>
    </w:rPr>
  </w:style>
  <w:style w:type="character" w:styleId="WW8Num7z0">
    <w:name w:val="WW8Num7z0"/>
    <w:qFormat/>
    <w:rPr>
      <w:rFonts w:ascii="Century Gothic" w:hAnsi="Century Gothic" w:cs="Century Gothic"/>
      <w:b w:val="false"/>
      <w:i w:val="false"/>
      <w:sz w:val="20"/>
      <w:szCs w:val="20"/>
    </w:rPr>
  </w:style>
  <w:style w:type="character" w:styleId="WW8Num8z0">
    <w:name w:val="WW8Num8z0"/>
    <w:qFormat/>
    <w:rPr>
      <w:rFonts w:ascii="Century Gothic" w:hAnsi="Century Gothic" w:cs="Century Gothic"/>
      <w:b w:val="false"/>
      <w:i w:val="false"/>
      <w:sz w:val="20"/>
      <w:szCs w:val="20"/>
    </w:rPr>
  </w:style>
  <w:style w:type="character" w:styleId="WW8Num9z0">
    <w:name w:val="WW8Num9z0"/>
    <w:qFormat/>
    <w:rPr>
      <w:rFonts w:ascii="Arial" w:hAnsi="Arial" w:cs="Arial"/>
      <w:b w:val="false"/>
      <w:i w:val="false"/>
      <w:sz w:val="24"/>
      <w:szCs w:val="20"/>
    </w:rPr>
  </w:style>
  <w:style w:type="character" w:styleId="WW8Num11z0">
    <w:name w:val="WW8Num11z0"/>
    <w:qFormat/>
    <w:rPr>
      <w:rFonts w:ascii="Arial" w:hAnsi="Arial" w:cs="Arial"/>
      <w:b w:val="false"/>
      <w:i w:val="false"/>
      <w:sz w:val="24"/>
      <w:szCs w:val="20"/>
    </w:rPr>
  </w:style>
  <w:style w:type="character" w:styleId="WW8Num12z0">
    <w:name w:val="WW8Num12z0"/>
    <w:qFormat/>
    <w:rPr>
      <w:rFonts w:ascii="Arial" w:hAnsi="Arial" w:cs="Arial"/>
      <w:b w:val="false"/>
      <w:i w:val="false"/>
      <w:sz w:val="24"/>
      <w:szCs w:val="20"/>
    </w:rPr>
  </w:style>
  <w:style w:type="character" w:styleId="WW8Num13z0">
    <w:name w:val="WW8Num13z0"/>
    <w:qFormat/>
    <w:rPr>
      <w:rFonts w:ascii="Arial" w:hAnsi="Arial" w:cs="Arial"/>
      <w:b w:val="false"/>
      <w:i w:val="false"/>
      <w:sz w:val="24"/>
      <w:szCs w:val="20"/>
    </w:rPr>
  </w:style>
  <w:style w:type="character" w:styleId="WW8Num14z0">
    <w:name w:val="WW8Num14z0"/>
    <w:qFormat/>
    <w:rPr>
      <w:rFonts w:ascii="Arial" w:hAnsi="Arial" w:cs="Arial"/>
      <w:b w:val="false"/>
      <w:i w:val="false"/>
      <w:sz w:val="24"/>
      <w:szCs w:val="20"/>
    </w:rPr>
  </w:style>
  <w:style w:type="character" w:styleId="WW8Num15z0">
    <w:name w:val="WW8Num15z0"/>
    <w:qFormat/>
    <w:rPr>
      <w:rFonts w:ascii="Garamond" w:hAnsi="Garamond" w:cs="Garamond"/>
      <w:sz w:val="22"/>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9z0">
    <w:name w:val="WW8Num19z0"/>
    <w:qFormat/>
    <w:rPr>
      <w:rFonts w:ascii="Arial" w:hAnsi="Arial" w:cs="Arial"/>
      <w:b w:val="false"/>
      <w:i w:val="false"/>
      <w:sz w:val="24"/>
      <w:szCs w:val="20"/>
    </w:rPr>
  </w:style>
  <w:style w:type="character" w:styleId="WW8Num20z0">
    <w:name w:val="WW8Num20z0"/>
    <w:qFormat/>
    <w:rPr>
      <w:rFonts w:ascii="Symbol" w:hAnsi="Symbol" w:cs="Symbol"/>
      <w:b w:val="false"/>
      <w:i w:val="false"/>
      <w:sz w:val="18"/>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sz w:val="20"/>
    </w:rPr>
  </w:style>
  <w:style w:type="character" w:styleId="WW8NumSt1z0">
    <w:name w:val="WW8NumSt1z0"/>
    <w:qFormat/>
    <w:rPr>
      <w:rFonts w:ascii="Symbol" w:hAnsi="Symbol" w:cs="Symbol"/>
    </w:rPr>
  </w:style>
  <w:style w:type="character" w:styleId="WW8NumSt9z0">
    <w:name w:val="WW8NumSt9z0"/>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240"/>
      <w:jc w:val="both"/>
    </w:pPr>
    <w:rPr>
      <w:rFonts w:ascii="Trebuchet MS" w:hAnsi="Trebuchet MS" w:cs="Trebuchet MS"/>
      <w:sz w:val="2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spacing w:before="0" w:after="240"/>
    </w:pPr>
    <w:rPr>
      <w:rFonts w:ascii="Trebuchet MS" w:hAnsi="Trebuchet MS" w:cs="Arial"/>
      <w:sz w:val="22"/>
    </w:rPr>
  </w:style>
  <w:style w:type="paragraph" w:styleId="BalloonText">
    <w:name w:val="Balloon Text"/>
    <w:basedOn w:val="Normal"/>
    <w:qFormat/>
    <w:pPr/>
    <w:rPr>
      <w:rFonts w:ascii="Tahoma" w:hAnsi="Tahoma" w:cs="Tahoma"/>
      <w:sz w:val="16"/>
      <w:szCs w:val="16"/>
    </w:rPr>
  </w:style>
  <w:style w:type="paragraph" w:styleId="BodyTextIndent">
    <w:name w:val="Body Text Indent"/>
    <w:basedOn w:val="Normal"/>
    <w:pPr>
      <w:spacing w:before="0" w:after="240"/>
      <w:ind w:hanging="0" w:start="360" w:end="0"/>
      <w:jc w:val="both"/>
    </w:pPr>
    <w:rPr>
      <w:rFonts w:ascii="Arial" w:hAnsi="Arial" w:cs="Arial"/>
      <w:szCs w:val="24"/>
    </w:rPr>
  </w:style>
  <w:style w:type="paragraph" w:styleId="B1">
    <w:name w:val="B1"/>
    <w:basedOn w:val="Normal"/>
    <w:qFormat/>
    <w:pPr>
      <w:tabs>
        <w:tab w:val="left" w:pos="720" w:leader="none"/>
      </w:tabs>
      <w:overflowPunct w:val="true"/>
      <w:autoSpaceDE w:val="true"/>
      <w:spacing w:lineRule="exact" w:line="260" w:before="120" w:after="0"/>
      <w:ind w:hanging="360" w:start="720" w:end="0"/>
      <w:jc w:val="both"/>
      <w:textAlignment w:val="auto"/>
    </w:pPr>
    <w:rPr>
      <w:sz w:val="22"/>
    </w:rPr>
  </w:style>
  <w:style w:type="paragraph" w:styleId="12">
    <w:name w:val="12"/>
    <w:basedOn w:val="Normal"/>
    <w:qFormat/>
    <w:pPr>
      <w:overflowPunct w:val="true"/>
      <w:autoSpaceDE w:val="true"/>
      <w:spacing w:lineRule="exact" w:line="260" w:before="160" w:after="0"/>
      <w:jc w:val="both"/>
      <w:textAlignment w:val="auto"/>
    </w:pPr>
    <w:rPr>
      <w:sz w:val="22"/>
    </w:rPr>
  </w:style>
  <w:style w:type="paragraph" w:styleId="2H">
    <w:name w:val="2H"/>
    <w:basedOn w:val="Normal"/>
    <w:qFormat/>
    <w:pPr>
      <w:keepNext w:val="true"/>
      <w:keepLines/>
      <w:overflowPunct w:val="true"/>
      <w:autoSpaceDE w:val="true"/>
      <w:spacing w:lineRule="exact" w:line="260" w:before="240" w:after="0"/>
      <w:textAlignment w:val="auto"/>
    </w:pPr>
    <w:rPr>
      <w:b/>
      <w:sz w:val="22"/>
    </w:rPr>
  </w:style>
  <w:style w:type="paragraph" w:styleId="1H">
    <w:name w:val="1H"/>
    <w:basedOn w:val="Normal"/>
    <w:qFormat/>
    <w:pPr>
      <w:keepNext w:val="true"/>
      <w:keepLines/>
      <w:overflowPunct w:val="true"/>
      <w:autoSpaceDE w:val="true"/>
      <w:spacing w:lineRule="exact" w:line="260" w:before="320" w:after="0"/>
      <w:textAlignment w:val="auto"/>
    </w:pPr>
    <w:rPr>
      <w:b/>
      <w:caps/>
      <w:sz w:val="22"/>
    </w:rPr>
  </w:style>
  <w:style w:type="paragraph" w:styleId="Revision">
    <w:name w:val="Revision"/>
    <w:qFormat/>
    <w:pPr>
      <w:widowControl/>
      <w:bidi w:val="0"/>
    </w:pPr>
    <w:rPr>
      <w:rFonts w:ascii="Times New Roman" w:hAnsi="Times New Roman" w:eastAsia="Times New Roman" w:cs="Times New Roman"/>
      <w:color w:val="auto"/>
      <w:sz w:val="24"/>
      <w:szCs w:val="20"/>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2014-04-21T22:52:00Z</dcterms:created>
  <dc:creator>Beth Shipman</dc:creator>
  <dc:description/>
  <cp:keywords/>
  <dc:language>en-US</dc:language>
  <cp:lastModifiedBy>Kottke, Don</cp:lastModifiedBy>
  <cp:lastPrinted>2014-05-20T15:29:00Z</cp:lastPrinted>
  <dcterms:modified xsi:type="dcterms:W3CDTF">2015-02-26T22:04:00Z</dcterms:modified>
  <cp:revision>8</cp:revision>
  <dc:subject/>
  <dc:title>Internal Control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olicy Owner">
    <vt:lpwstr>Director of Compliance and Audit</vt:lpwstr>
  </property>
  <property fmtid="{D5CDD505-2E9C-101B-9397-08002B2CF9AE}" pid="3" name="_DCDateModified">
    <vt:lpwstr/>
  </property>
</Properties>
</file>