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62FBC" w14:textId="77777777" w:rsidR="00605A42" w:rsidRPr="00F43916" w:rsidRDefault="00605A42" w:rsidP="00605A42">
      <w:pPr>
        <w:pStyle w:val="Default"/>
        <w:rPr>
          <w:rFonts w:asciiTheme="minorHAnsi" w:hAnsiTheme="minorHAnsi" w:cstheme="minorHAnsi"/>
          <w:sz w:val="20"/>
          <w:szCs w:val="20"/>
        </w:rPr>
      </w:pPr>
    </w:p>
    <w:p w14:paraId="6E422BDE" w14:textId="6DBCE3F5" w:rsidR="00605A42" w:rsidRPr="00BF119A" w:rsidRDefault="00A07E32" w:rsidP="00A07E32">
      <w:pPr>
        <w:pStyle w:val="Default"/>
        <w:spacing w:after="160" w:line="221" w:lineRule="atLeast"/>
        <w:jc w:val="center"/>
        <w:rPr>
          <w:rStyle w:val="A0"/>
          <w:rFonts w:asciiTheme="minorHAnsi" w:hAnsiTheme="minorHAnsi" w:cstheme="minorHAnsi"/>
          <w:sz w:val="28"/>
          <w:szCs w:val="28"/>
        </w:rPr>
      </w:pPr>
      <w:r w:rsidRPr="00BF119A">
        <w:rPr>
          <w:rFonts w:asciiTheme="minorHAnsi" w:hAnsiTheme="minorHAnsi" w:cstheme="minorHAnsi"/>
          <w:sz w:val="28"/>
          <w:szCs w:val="28"/>
        </w:rPr>
        <w:t>Présentation de</w:t>
      </w:r>
      <w:r w:rsidR="00F43916" w:rsidRPr="00BF119A">
        <w:rPr>
          <w:rFonts w:asciiTheme="minorHAnsi" w:hAnsiTheme="minorHAnsi" w:cstheme="minorHAnsi"/>
          <w:sz w:val="28"/>
          <w:szCs w:val="28"/>
        </w:rPr>
        <w:t>s</w:t>
      </w:r>
      <w:r w:rsidRPr="00BF119A">
        <w:rPr>
          <w:rFonts w:asciiTheme="minorHAnsi" w:hAnsiTheme="minorHAnsi" w:cstheme="minorHAnsi"/>
          <w:sz w:val="28"/>
          <w:szCs w:val="28"/>
        </w:rPr>
        <w:t xml:space="preserve"> </w:t>
      </w:r>
      <w:r w:rsidR="00EC63F3" w:rsidRPr="00EC63F3">
        <w:rPr>
          <w:rFonts w:asciiTheme="minorHAnsi" w:hAnsiTheme="minorHAnsi" w:cstheme="minorHAnsi"/>
          <w:b/>
          <w:sz w:val="28"/>
          <w:szCs w:val="28"/>
        </w:rPr>
        <w:t xml:space="preserve">bases communale et départementale des </w:t>
      </w:r>
      <w:r w:rsidR="00A32AB1">
        <w:rPr>
          <w:rFonts w:asciiTheme="minorHAnsi" w:hAnsiTheme="minorHAnsi" w:cstheme="minorHAnsi"/>
          <w:b/>
          <w:sz w:val="28"/>
          <w:szCs w:val="28"/>
        </w:rPr>
        <w:t>principaux</w:t>
      </w:r>
      <w:r w:rsidR="00EC63F3" w:rsidRPr="00EC63F3">
        <w:rPr>
          <w:rFonts w:asciiTheme="minorHAnsi" w:hAnsiTheme="minorHAnsi" w:cstheme="minorHAnsi"/>
          <w:b/>
          <w:sz w:val="28"/>
          <w:szCs w:val="28"/>
        </w:rPr>
        <w:t xml:space="preserve"> </w:t>
      </w:r>
      <w:r w:rsidR="00A32AB1">
        <w:rPr>
          <w:rFonts w:asciiTheme="minorHAnsi" w:hAnsiTheme="minorHAnsi" w:cstheme="minorHAnsi"/>
          <w:b/>
          <w:sz w:val="28"/>
          <w:szCs w:val="28"/>
        </w:rPr>
        <w:t xml:space="preserve">indicateurs des </w:t>
      </w:r>
      <w:r w:rsidR="00EC63F3" w:rsidRPr="00EC63F3">
        <w:rPr>
          <w:rFonts w:asciiTheme="minorHAnsi" w:hAnsiTheme="minorHAnsi" w:cstheme="minorHAnsi"/>
          <w:b/>
          <w:sz w:val="28"/>
          <w:szCs w:val="28"/>
        </w:rPr>
        <w:t>crimes</w:t>
      </w:r>
      <w:r w:rsidR="00947E5F">
        <w:rPr>
          <w:rFonts w:asciiTheme="minorHAnsi" w:hAnsiTheme="minorHAnsi" w:cstheme="minorHAnsi"/>
          <w:b/>
          <w:sz w:val="28"/>
          <w:szCs w:val="28"/>
        </w:rPr>
        <w:t xml:space="preserve"> et</w:t>
      </w:r>
      <w:r w:rsidR="00EC63F3" w:rsidRPr="00EC63F3">
        <w:rPr>
          <w:rFonts w:asciiTheme="minorHAnsi" w:hAnsiTheme="minorHAnsi" w:cstheme="minorHAnsi"/>
          <w:b/>
          <w:sz w:val="28"/>
          <w:szCs w:val="28"/>
        </w:rPr>
        <w:t xml:space="preserve"> délits enregistrés par la police et la gendarmerie nationales</w:t>
      </w:r>
    </w:p>
    <w:p w14:paraId="7B99C50D" w14:textId="68AC655C" w:rsidR="00A07E32" w:rsidRPr="00F43916" w:rsidRDefault="00A07E32" w:rsidP="00A07E32">
      <w:pPr>
        <w:pStyle w:val="Default"/>
        <w:spacing w:after="160" w:line="221" w:lineRule="atLeast"/>
        <w:jc w:val="center"/>
        <w:rPr>
          <w:rFonts w:asciiTheme="minorHAnsi" w:hAnsiTheme="minorHAnsi" w:cstheme="minorHAnsi"/>
          <w:sz w:val="20"/>
          <w:szCs w:val="20"/>
        </w:rPr>
      </w:pPr>
      <w:r w:rsidRPr="00F43916">
        <w:rPr>
          <w:rStyle w:val="A0"/>
          <w:rFonts w:asciiTheme="minorHAnsi" w:hAnsiTheme="minorHAnsi" w:cstheme="minorHAnsi"/>
        </w:rPr>
        <w:t xml:space="preserve">Dernière mise à jour : </w:t>
      </w:r>
      <w:r w:rsidR="00CE3AB3">
        <w:rPr>
          <w:rStyle w:val="A0"/>
          <w:rFonts w:asciiTheme="minorHAnsi" w:hAnsiTheme="minorHAnsi" w:cstheme="minorHAnsi"/>
        </w:rPr>
        <w:t>mars 2022</w:t>
      </w:r>
      <w:bookmarkStart w:id="0" w:name="_GoBack"/>
      <w:bookmarkEnd w:id="0"/>
    </w:p>
    <w:p w14:paraId="55298905" w14:textId="77777777" w:rsidR="001539C5" w:rsidRPr="00F43916" w:rsidRDefault="001539C5" w:rsidP="00605A42">
      <w:pPr>
        <w:pStyle w:val="Pa1"/>
        <w:spacing w:after="40"/>
        <w:ind w:firstLine="280"/>
        <w:jc w:val="both"/>
        <w:rPr>
          <w:rFonts w:asciiTheme="minorHAnsi" w:hAnsiTheme="minorHAnsi" w:cstheme="minorHAnsi"/>
          <w:color w:val="000000"/>
          <w:sz w:val="20"/>
          <w:szCs w:val="20"/>
        </w:rPr>
      </w:pPr>
    </w:p>
    <w:p w14:paraId="74226C5C" w14:textId="77777777" w:rsidR="000A393B" w:rsidRDefault="000A393B" w:rsidP="00057435">
      <w:pPr>
        <w:pStyle w:val="NormalWeb"/>
        <w:spacing w:before="0" w:beforeAutospacing="0" w:after="0" w:afterAutospacing="0"/>
        <w:rPr>
          <w:rStyle w:val="fontstyle01"/>
        </w:rPr>
      </w:pPr>
    </w:p>
    <w:p w14:paraId="6AFB9BB7" w14:textId="67AD4975"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Depuis sa création fin 2014, le SSMSI constitue et exploite des bases de données statistiques </w:t>
      </w:r>
      <w:r w:rsidR="00CE6C34">
        <w:rPr>
          <w:rFonts w:asciiTheme="minorHAnsi" w:eastAsiaTheme="minorHAnsi" w:hAnsiTheme="minorHAnsi" w:cstheme="minorBidi"/>
          <w:lang w:eastAsia="en-US"/>
        </w:rPr>
        <w:t>élaborées à partir</w:t>
      </w:r>
      <w:r w:rsidRPr="000A393B">
        <w:rPr>
          <w:rFonts w:asciiTheme="minorHAnsi" w:eastAsiaTheme="minorHAnsi" w:hAnsiTheme="minorHAnsi" w:cstheme="minorBidi"/>
          <w:lang w:eastAsia="en-US"/>
        </w:rPr>
        <w:t xml:space="preserve"> des </w:t>
      </w:r>
      <w:r w:rsidR="00CE6C34">
        <w:rPr>
          <w:rFonts w:asciiTheme="minorHAnsi" w:eastAsiaTheme="minorHAnsi" w:hAnsiTheme="minorHAnsi" w:cstheme="minorBidi"/>
          <w:lang w:eastAsia="en-US"/>
        </w:rPr>
        <w:t>sources</w:t>
      </w:r>
      <w:r w:rsidRPr="000A393B">
        <w:rPr>
          <w:rFonts w:asciiTheme="minorHAnsi" w:eastAsiaTheme="minorHAnsi" w:hAnsiTheme="minorHAnsi" w:cstheme="minorBidi"/>
          <w:lang w:eastAsia="en-US"/>
        </w:rPr>
        <w:t xml:space="preserve"> administratives correspondant aux enregistrements par les services de </w:t>
      </w:r>
      <w:r>
        <w:rPr>
          <w:rFonts w:asciiTheme="minorHAnsi" w:eastAsiaTheme="minorHAnsi" w:hAnsiTheme="minorHAnsi" w:cstheme="minorBidi"/>
          <w:lang w:eastAsia="en-US"/>
        </w:rPr>
        <w:t>p</w:t>
      </w:r>
      <w:r w:rsidRPr="000A393B">
        <w:rPr>
          <w:rFonts w:asciiTheme="minorHAnsi" w:eastAsiaTheme="minorHAnsi" w:hAnsiTheme="minorHAnsi" w:cstheme="minorBidi"/>
          <w:lang w:eastAsia="en-US"/>
        </w:rPr>
        <w:t>olice et unités de gendarmerie des procédures relatives à des infractions pénales, avant leur transmission à l’a</w:t>
      </w:r>
      <w:r w:rsidR="00CE6C34">
        <w:rPr>
          <w:rFonts w:asciiTheme="minorHAnsi" w:eastAsiaTheme="minorHAnsi" w:hAnsiTheme="minorHAnsi" w:cstheme="minorBidi"/>
          <w:lang w:eastAsia="en-US"/>
        </w:rPr>
        <w:t>utorité</w:t>
      </w:r>
      <w:r w:rsidRPr="000A393B">
        <w:rPr>
          <w:rFonts w:asciiTheme="minorHAnsi" w:eastAsiaTheme="minorHAnsi" w:hAnsiTheme="minorHAnsi" w:cstheme="minorBidi"/>
          <w:lang w:eastAsia="en-US"/>
        </w:rPr>
        <w:t xml:space="preserve"> judiciaire (</w:t>
      </w:r>
      <w:r>
        <w:rPr>
          <w:rFonts w:asciiTheme="minorHAnsi" w:eastAsiaTheme="minorHAnsi" w:hAnsiTheme="minorHAnsi" w:cstheme="minorBidi"/>
          <w:lang w:eastAsia="en-US"/>
        </w:rPr>
        <w:t>cf.</w:t>
      </w:r>
      <w:r w:rsidRPr="004209F6">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Interstats Méthode 2 </w:t>
      </w:r>
      <w:hyperlink r:id="rId8" w:history="1">
        <w:r w:rsidRPr="00CD5243">
          <w:rPr>
            <w:rStyle w:val="Lienhypertexte"/>
            <w:rFonts w:asciiTheme="minorHAnsi" w:eastAsiaTheme="minorHAnsi" w:hAnsiTheme="minorHAnsi" w:cstheme="minorBidi"/>
            <w:lang w:eastAsia="en-US"/>
          </w:rPr>
          <w:t>https://www.interieur.gouv.fr/Interstats/Methode</w:t>
        </w:r>
      </w:hyperlink>
      <w:r w:rsidRPr="000A393B">
        <w:rPr>
          <w:rFonts w:asciiTheme="minorHAnsi" w:eastAsiaTheme="minorHAnsi" w:hAnsiTheme="minorHAnsi" w:cstheme="minorBidi"/>
          <w:lang w:eastAsia="en-US"/>
        </w:rPr>
        <w:t xml:space="preserve">). </w:t>
      </w:r>
    </w:p>
    <w:p w14:paraId="51919CA9" w14:textId="77777777" w:rsidR="00947E5F" w:rsidRDefault="00947E5F" w:rsidP="00947E5F">
      <w:pPr>
        <w:pStyle w:val="NormalWeb"/>
        <w:spacing w:before="0" w:beforeAutospacing="0" w:after="0" w:afterAutospacing="0"/>
        <w:rPr>
          <w:rFonts w:asciiTheme="minorHAnsi" w:eastAsiaTheme="minorHAnsi" w:hAnsiTheme="minorHAnsi" w:cstheme="minorBidi"/>
          <w:lang w:eastAsia="en-US"/>
        </w:rPr>
      </w:pPr>
    </w:p>
    <w:p w14:paraId="5A33EFDC" w14:textId="49AAB2B4"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0A393B">
        <w:rPr>
          <w:rFonts w:asciiTheme="minorHAnsi" w:eastAsiaTheme="minorHAnsi" w:hAnsiTheme="minorHAnsi" w:cstheme="minorBidi"/>
          <w:lang w:eastAsia="en-US"/>
        </w:rPr>
        <w:t xml:space="preserve">Dans le cadre de leur activité judiciaire, les </w:t>
      </w:r>
      <w:r w:rsidR="00CE6C34">
        <w:rPr>
          <w:rFonts w:asciiTheme="minorHAnsi" w:eastAsiaTheme="minorHAnsi" w:hAnsiTheme="minorHAnsi" w:cstheme="minorBidi"/>
          <w:lang w:eastAsia="en-US"/>
        </w:rPr>
        <w:t>services</w:t>
      </w:r>
      <w:r w:rsidRPr="000A393B">
        <w:rPr>
          <w:rFonts w:asciiTheme="minorHAnsi" w:eastAsiaTheme="minorHAnsi" w:hAnsiTheme="minorHAnsi" w:cstheme="minorBidi"/>
          <w:lang w:eastAsia="en-US"/>
        </w:rPr>
        <w:t xml:space="preserve"> de sécurité (services de police et unités de gendarmerie) sont amenés à rédiger des procédures relatives à des infractions, avant de les transmettre à l’autorité judiciaire qui est susceptible de requalifier ces infractions </w:t>
      </w:r>
      <w:r w:rsidR="00EA5DF9">
        <w:rPr>
          <w:rFonts w:asciiTheme="minorHAnsi" w:eastAsiaTheme="minorHAnsi" w:hAnsiTheme="minorHAnsi" w:cstheme="minorBidi"/>
          <w:lang w:eastAsia="en-US"/>
        </w:rPr>
        <w:t>pendant ou après l’enquête</w:t>
      </w:r>
      <w:r w:rsidRPr="000A393B">
        <w:rPr>
          <w:rFonts w:asciiTheme="minorHAnsi" w:eastAsiaTheme="minorHAnsi" w:hAnsiTheme="minorHAnsi" w:cstheme="minorBidi"/>
          <w:lang w:eastAsia="en-US"/>
        </w:rPr>
        <w:t>. Ces infractions ont pu être constatées suite à une plainte déposée par une victime, à un signalement, un témoignage, un délit flagrant, une dénonciation, etc., mais aussi sur l’initiative des forces de sécurité. La comptabilisation des infractions enregistrées peut fournir une indication du volume réel des infractions commises, et donc de l’insécurité qui en découle, dans les domaines où la part des délits qui arrivent à la connaissance des services est élevée.</w:t>
      </w:r>
    </w:p>
    <w:p w14:paraId="1585BD6A" w14:textId="77777777" w:rsidR="00947E5F" w:rsidRDefault="00947E5F" w:rsidP="00947E5F">
      <w:pPr>
        <w:pStyle w:val="NormalWeb"/>
        <w:spacing w:before="0" w:beforeAutospacing="0" w:after="0" w:afterAutospacing="0"/>
        <w:rPr>
          <w:rFonts w:asciiTheme="minorHAnsi" w:eastAsiaTheme="minorHAnsi" w:hAnsiTheme="minorHAnsi" w:cstheme="minorBidi"/>
          <w:lang w:eastAsia="en-US"/>
        </w:rPr>
      </w:pPr>
    </w:p>
    <w:p w14:paraId="46C053F7" w14:textId="25BA13C7" w:rsidR="00947E5F" w:rsidRDefault="00CE6C34" w:rsidP="00947E5F">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Depuis</w:t>
      </w:r>
      <w:r w:rsidR="00947E5F" w:rsidRPr="00354947">
        <w:rPr>
          <w:rFonts w:asciiTheme="minorHAnsi" w:eastAsiaTheme="minorHAnsi" w:hAnsiTheme="minorHAnsi" w:cstheme="minorBidi"/>
          <w:lang w:eastAsia="en-US"/>
        </w:rPr>
        <w:t xml:space="preserve"> 1972, </w:t>
      </w:r>
      <w:r w:rsidR="00947E5F">
        <w:rPr>
          <w:rFonts w:asciiTheme="minorHAnsi" w:eastAsiaTheme="minorHAnsi" w:hAnsiTheme="minorHAnsi" w:cstheme="minorBidi"/>
          <w:lang w:eastAsia="en-US"/>
        </w:rPr>
        <w:t xml:space="preserve">les </w:t>
      </w:r>
      <w:r>
        <w:rPr>
          <w:rFonts w:asciiTheme="minorHAnsi" w:eastAsiaTheme="minorHAnsi" w:hAnsiTheme="minorHAnsi" w:cstheme="minorBidi"/>
          <w:lang w:eastAsia="en-US"/>
        </w:rPr>
        <w:t>services</w:t>
      </w:r>
      <w:r w:rsidR="00947E5F">
        <w:rPr>
          <w:rFonts w:asciiTheme="minorHAnsi" w:eastAsiaTheme="minorHAnsi" w:hAnsiTheme="minorHAnsi" w:cstheme="minorBidi"/>
          <w:lang w:eastAsia="en-US"/>
        </w:rPr>
        <w:t xml:space="preserve"> de sécurité (</w:t>
      </w:r>
      <w:r w:rsidR="00947E5F" w:rsidRPr="00354947">
        <w:rPr>
          <w:rFonts w:asciiTheme="minorHAnsi" w:eastAsiaTheme="minorHAnsi" w:hAnsiTheme="minorHAnsi" w:cstheme="minorBidi"/>
          <w:lang w:eastAsia="en-US"/>
        </w:rPr>
        <w:t>police et gendarmerie nationales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se sont dotées d’un outil standardisé de mesure de l’activité judiciaire des services basé sur des comptages mensuels, appelé « état 4001 ». Ce document administratif porte sur les </w:t>
      </w:r>
      <w:r w:rsidR="00947E5F">
        <w:rPr>
          <w:rFonts w:asciiTheme="minorHAnsi" w:eastAsiaTheme="minorHAnsi" w:hAnsiTheme="minorHAnsi" w:cstheme="minorBidi"/>
          <w:lang w:eastAsia="en-US"/>
        </w:rPr>
        <w:t xml:space="preserve">infractions criminelles et délictuelles </w:t>
      </w:r>
      <w:r w:rsidR="00947E5F" w:rsidRPr="00354947">
        <w:rPr>
          <w:rFonts w:asciiTheme="minorHAnsi" w:eastAsiaTheme="minorHAnsi" w:hAnsiTheme="minorHAnsi" w:cstheme="minorBidi"/>
          <w:lang w:eastAsia="en-US"/>
        </w:rPr>
        <w:t>(exclusion des contraventions</w:t>
      </w:r>
      <w:r w:rsidR="00947E5F">
        <w:rPr>
          <w:rFonts w:asciiTheme="minorHAnsi" w:eastAsiaTheme="minorHAnsi" w:hAnsiTheme="minorHAnsi" w:cstheme="minorBidi"/>
          <w:lang w:eastAsia="en-US"/>
        </w:rPr>
        <w:t>)</w:t>
      </w:r>
      <w:r w:rsidR="00947E5F" w:rsidRPr="00354947">
        <w:rPr>
          <w:rFonts w:asciiTheme="minorHAnsi" w:eastAsiaTheme="minorHAnsi" w:hAnsiTheme="minorHAnsi" w:cstheme="minorBidi"/>
          <w:lang w:eastAsia="en-US"/>
        </w:rPr>
        <w:t xml:space="preserve"> enregistré</w:t>
      </w:r>
      <w:r w:rsidR="00947E5F">
        <w:rPr>
          <w:rFonts w:asciiTheme="minorHAnsi" w:eastAsiaTheme="minorHAnsi" w:hAnsiTheme="minorHAnsi" w:cstheme="minorBidi"/>
          <w:lang w:eastAsia="en-US"/>
        </w:rPr>
        <w:t>e</w:t>
      </w:r>
      <w:r w:rsidR="00947E5F" w:rsidRPr="00354947">
        <w:rPr>
          <w:rFonts w:asciiTheme="minorHAnsi" w:eastAsiaTheme="minorHAnsi" w:hAnsiTheme="minorHAnsi" w:cstheme="minorBidi"/>
          <w:lang w:eastAsia="en-US"/>
        </w:rPr>
        <w:t>s pour la</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première fois par les forces de sécurité (afin d’éviter une double comptabilisation si une même infraction est traitée successivement par des services différents) et portés à la connaissance de</w:t>
      </w:r>
      <w:r w:rsidR="00947E5F">
        <w:rPr>
          <w:rFonts w:asciiTheme="minorHAnsi" w:eastAsiaTheme="minorHAnsi" w:hAnsiTheme="minorHAnsi" w:cstheme="minorBidi"/>
          <w:lang w:eastAsia="en-US"/>
        </w:rPr>
        <w:t xml:space="preserve"> l</w:t>
      </w:r>
      <w:r w:rsidR="00947E5F" w:rsidRPr="00354947">
        <w:rPr>
          <w:rFonts w:asciiTheme="minorHAnsi" w:eastAsiaTheme="minorHAnsi" w:hAnsiTheme="minorHAnsi" w:cstheme="minorBidi"/>
          <w:lang w:eastAsia="en-US"/>
        </w:rPr>
        <w:t>’institution judiciaire (n’y sont donc retracées que les infractions suffisamment constituées</w:t>
      </w:r>
      <w:r w:rsidR="00947E5F">
        <w:rPr>
          <w:rFonts w:asciiTheme="minorHAnsi" w:eastAsiaTheme="minorHAnsi" w:hAnsiTheme="minorHAnsi" w:cstheme="minorBidi"/>
          <w:lang w:eastAsia="en-US"/>
        </w:rPr>
        <w:t xml:space="preserve"> j</w:t>
      </w:r>
      <w:r w:rsidR="00947E5F" w:rsidRPr="00354947">
        <w:rPr>
          <w:rFonts w:asciiTheme="minorHAnsi" w:eastAsiaTheme="minorHAnsi" w:hAnsiTheme="minorHAnsi" w:cstheme="minorBidi"/>
          <w:lang w:eastAsia="en-US"/>
        </w:rPr>
        <w:t>uridiquement pour pouvoir être poursuivies</w:t>
      </w:r>
      <w:r w:rsidR="00947E5F">
        <w:rPr>
          <w:rFonts w:asciiTheme="minorHAnsi" w:eastAsiaTheme="minorHAnsi" w:hAnsiTheme="minorHAnsi" w:cstheme="minorBidi"/>
          <w:lang w:eastAsia="en-US"/>
        </w:rPr>
        <w:t xml:space="preserve"> </w:t>
      </w:r>
      <w:r w:rsidR="00947E5F" w:rsidRPr="00354947">
        <w:rPr>
          <w:rFonts w:asciiTheme="minorHAnsi" w:eastAsiaTheme="minorHAnsi" w:hAnsiTheme="minorHAnsi" w:cstheme="minorBidi"/>
          <w:lang w:eastAsia="en-US"/>
        </w:rPr>
        <w:t>par un tribunal).</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Les infractions y sont classées en 10</w:t>
      </w:r>
      <w:r w:rsidR="00FE26D6">
        <w:rPr>
          <w:rFonts w:asciiTheme="minorHAnsi" w:eastAsiaTheme="minorHAnsi" w:hAnsiTheme="minorHAnsi" w:cstheme="minorBidi"/>
          <w:lang w:eastAsia="en-US"/>
        </w:rPr>
        <w:t>7</w:t>
      </w:r>
      <w:r w:rsidR="00947E5F" w:rsidRPr="006E3ACE">
        <w:rPr>
          <w:rFonts w:asciiTheme="minorHAnsi" w:eastAsiaTheme="minorHAnsi" w:hAnsiTheme="minorHAnsi" w:cstheme="minorBidi"/>
          <w:lang w:eastAsia="en-US"/>
        </w:rPr>
        <w:t xml:space="preserve"> catégories, très hétérogènes par la nature et la gravité des faits, mais aussi par le nombre d’infractions constatées chaque mois. On y trouve aussi bien les « Homicides commis sur des mineurs de moins de 15 ans » que les « Coups et blessures volontaires criminels ou</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correctionnels sur personnes de 15 ans et plus »; l’infraction de « Non</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versements de pension alimentaire »  ou encore les « Infractions relatives à la chasse et à la pêche »</w:t>
      </w:r>
      <w:r w:rsidR="00FE26D6">
        <w:rPr>
          <w:rFonts w:asciiTheme="minorHAnsi" w:eastAsiaTheme="minorHAnsi" w:hAnsiTheme="minorHAnsi" w:cstheme="minorBidi"/>
          <w:lang w:eastAsia="en-US"/>
        </w:rPr>
        <w:t>.</w:t>
      </w:r>
      <w:r w:rsidR="00947E5F" w:rsidRPr="006E3ACE">
        <w:rPr>
          <w:rFonts w:asciiTheme="minorHAnsi" w:eastAsiaTheme="minorHAnsi" w:hAnsiTheme="minorHAnsi" w:cstheme="minorBidi"/>
          <w:lang w:eastAsia="en-US"/>
        </w:rPr>
        <w:t xml:space="preserve"> Les critères de différenciation entre les postes de cette nomenclature font souvent référence à l’incrimination pénale constitutive du crime ou du délit, mais aussi</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parfois au type de victime (les mineurs de moins de 15 ans sont souvent spécifiés, ainsi que les particuliers, voire les femmes, ou certains groupes professionnels), au mode opératoire (le cambriolage est spécifié, ainsi que le « vol à la tire ») ou au lieu de commission de l’infraction (lieux publics, domiciles...). Numérotée de 1 à</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107 (quatre positions ne sont pas utilisées, on recense donc 103 types d’infractions), cette nomenclature, qui n’a évolué que</w:t>
      </w:r>
      <w:r w:rsidR="00947E5F">
        <w:rPr>
          <w:rFonts w:asciiTheme="minorHAnsi" w:eastAsiaTheme="minorHAnsi" w:hAnsiTheme="minorHAnsi" w:cstheme="minorBidi"/>
          <w:lang w:eastAsia="en-US"/>
        </w:rPr>
        <w:t xml:space="preserve"> </w:t>
      </w:r>
      <w:r w:rsidR="00947E5F" w:rsidRPr="006E3ACE">
        <w:rPr>
          <w:rFonts w:asciiTheme="minorHAnsi" w:eastAsiaTheme="minorHAnsi" w:hAnsiTheme="minorHAnsi" w:cstheme="minorBidi"/>
          <w:lang w:eastAsia="en-US"/>
        </w:rPr>
        <w:t>marginalement depuis 1972 est appelée couramment « les 107 index de l’état 4001 »)</w:t>
      </w:r>
      <w:r w:rsidR="00947E5F" w:rsidRPr="00354947">
        <w:rPr>
          <w:rFonts w:asciiTheme="minorHAnsi" w:eastAsiaTheme="minorHAnsi" w:hAnsiTheme="minorHAnsi" w:cstheme="minorBidi"/>
          <w:lang w:eastAsia="en-US"/>
        </w:rPr>
        <w:t>. Ce sont les séries suivies</w:t>
      </w:r>
      <w:r w:rsidR="00947E5F">
        <w:rPr>
          <w:rFonts w:asciiTheme="minorHAnsi" w:eastAsiaTheme="minorHAnsi" w:hAnsiTheme="minorHAnsi" w:cstheme="minorBidi"/>
          <w:lang w:eastAsia="en-US"/>
        </w:rPr>
        <w:t xml:space="preserve"> h</w:t>
      </w:r>
      <w:r w:rsidR="00947E5F" w:rsidRPr="00354947">
        <w:rPr>
          <w:rFonts w:asciiTheme="minorHAnsi" w:eastAsiaTheme="minorHAnsi" w:hAnsiTheme="minorHAnsi" w:cstheme="minorBidi"/>
          <w:lang w:eastAsia="en-US"/>
        </w:rPr>
        <w:t>istoriquement par le ministère de l’Intérieur</w:t>
      </w:r>
      <w:r w:rsidR="00FE26D6">
        <w:rPr>
          <w:rFonts w:asciiTheme="minorHAnsi" w:eastAsiaTheme="minorHAnsi" w:hAnsiTheme="minorHAnsi" w:cstheme="minorBidi"/>
          <w:lang w:eastAsia="en-US"/>
        </w:rPr>
        <w:t>, y compris</w:t>
      </w:r>
      <w:r w:rsidR="00947E5F">
        <w:rPr>
          <w:rFonts w:asciiTheme="minorHAnsi" w:eastAsiaTheme="minorHAnsi" w:hAnsiTheme="minorHAnsi" w:cstheme="minorBidi"/>
          <w:lang w:eastAsia="en-US"/>
        </w:rPr>
        <w:t xml:space="preserve"> depuis sa création fin 2014 par le Service statistique ministériel de la sécurité intérieure (SSMSI)</w:t>
      </w:r>
      <w:r w:rsidR="00947E5F" w:rsidRPr="00354947">
        <w:rPr>
          <w:rFonts w:asciiTheme="minorHAnsi" w:eastAsiaTheme="minorHAnsi" w:hAnsiTheme="minorHAnsi" w:cstheme="minorBidi"/>
          <w:lang w:eastAsia="en-US"/>
        </w:rPr>
        <w:t xml:space="preserve">. </w:t>
      </w:r>
    </w:p>
    <w:p w14:paraId="75021D97"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71C189DD" w14:textId="50CB2BE0" w:rsidR="003014B0" w:rsidRPr="00337FAB" w:rsidRDefault="003014B0" w:rsidP="003014B0">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Afin de favoriser l’ouverture des données sur la délinquance et l’insécurité, le SSMSI met à disposition  deux bases de données annuelles</w:t>
      </w:r>
      <w:r w:rsidR="00FE26D6" w:rsidRPr="00FE26D6">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sur l</w:t>
      </w:r>
      <w:r w:rsidR="00FE26D6" w:rsidRPr="00E74F67">
        <w:rPr>
          <w:rFonts w:asciiTheme="minorHAnsi" w:eastAsiaTheme="minorHAnsi" w:hAnsiTheme="minorHAnsi" w:cstheme="minorBidi"/>
          <w:b/>
          <w:lang w:eastAsia="en-US"/>
        </w:rPr>
        <w:t>es principaux</w:t>
      </w:r>
      <w:r w:rsidR="00FE26D6">
        <w:rPr>
          <w:rFonts w:asciiTheme="minorHAnsi" w:eastAsiaTheme="minorHAnsi" w:hAnsiTheme="minorHAnsi" w:cstheme="minorBidi"/>
          <w:b/>
          <w:lang w:eastAsia="en-US"/>
        </w:rPr>
        <w:t xml:space="preserve"> indicateurs des</w:t>
      </w:r>
      <w:r w:rsidR="00FE26D6" w:rsidRPr="00E74F67">
        <w:rPr>
          <w:rFonts w:asciiTheme="minorHAnsi" w:eastAsiaTheme="minorHAnsi" w:hAnsiTheme="minorHAnsi" w:cstheme="minorBidi"/>
          <w:b/>
          <w:lang w:eastAsia="en-US"/>
        </w:rPr>
        <w:t xml:space="preserve"> crimes et délits enregistrés par la police et la gendarmerie nationales</w:t>
      </w:r>
      <w:r w:rsidR="00FE26D6">
        <w:rPr>
          <w:rFonts w:asciiTheme="minorHAnsi" w:eastAsiaTheme="minorHAnsi" w:hAnsiTheme="minorHAnsi" w:cstheme="minorBidi"/>
          <w:b/>
          <w:lang w:eastAsia="en-US"/>
        </w:rPr>
        <w:t xml:space="preserve">, </w:t>
      </w:r>
      <w:r w:rsidR="0082745C">
        <w:rPr>
          <w:rFonts w:asciiTheme="minorHAnsi" w:eastAsiaTheme="minorHAnsi" w:hAnsiTheme="minorHAnsi" w:cstheme="minorBidi"/>
          <w:b/>
          <w:lang w:eastAsia="en-US"/>
        </w:rPr>
        <w:t>depuis</w:t>
      </w:r>
      <w:r w:rsidR="00FE26D6" w:rsidRPr="00E74F67">
        <w:rPr>
          <w:rFonts w:asciiTheme="minorHAnsi" w:eastAsiaTheme="minorHAnsi" w:hAnsiTheme="minorHAnsi" w:cstheme="minorBidi"/>
          <w:b/>
          <w:lang w:eastAsia="en-US"/>
        </w:rPr>
        <w:t xml:space="preserve"> 2016</w:t>
      </w:r>
      <w:r w:rsidRPr="00337FAB">
        <w:rPr>
          <w:rFonts w:asciiTheme="minorHAnsi" w:eastAsiaTheme="minorHAnsi" w:hAnsiTheme="minorHAnsi" w:cstheme="minorBidi"/>
          <w:b/>
          <w:lang w:eastAsia="en-US"/>
        </w:rPr>
        <w:t> : l’une à l’échelle communale et l’autre à l’échelle départementale</w:t>
      </w:r>
      <w:r w:rsidR="00EA5DF9">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 xml:space="preserve">toutes deux </w:t>
      </w:r>
      <w:r w:rsidR="00EA5DF9">
        <w:rPr>
          <w:rFonts w:asciiTheme="minorHAnsi" w:eastAsiaTheme="minorHAnsi" w:hAnsiTheme="minorHAnsi" w:cstheme="minorBidi"/>
          <w:b/>
          <w:lang w:eastAsia="en-US"/>
        </w:rPr>
        <w:t>selon le lieu de commission</w:t>
      </w:r>
      <w:r w:rsidR="00054001" w:rsidRPr="00337FAB">
        <w:rPr>
          <w:rFonts w:asciiTheme="minorHAnsi" w:eastAsiaTheme="minorHAnsi" w:hAnsiTheme="minorHAnsi" w:cstheme="minorBidi"/>
          <w:b/>
          <w:lang w:eastAsia="en-US"/>
        </w:rPr>
        <w:t>.</w:t>
      </w:r>
    </w:p>
    <w:p w14:paraId="48E38E8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4279705D" w14:textId="357B6ABD" w:rsidR="003014B0" w:rsidRPr="00337FAB" w:rsidRDefault="00947E5F" w:rsidP="00054001">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I</w:t>
      </w:r>
      <w:r w:rsidR="00054001" w:rsidRPr="00337FAB">
        <w:rPr>
          <w:rFonts w:asciiTheme="minorHAnsi" w:eastAsiaTheme="minorHAnsi" w:hAnsiTheme="minorHAnsi" w:cstheme="minorBidi"/>
          <w:b/>
          <w:lang w:eastAsia="en-US"/>
        </w:rPr>
        <w:t>l s’agit des 11 indicateurs suivants :</w:t>
      </w:r>
    </w:p>
    <w:p w14:paraId="1A215145" w14:textId="77777777" w:rsidR="00FE26D6"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 Coups et blessures volontaires</w:t>
      </w:r>
      <w:r w:rsidR="001D1B7D">
        <w:rPr>
          <w:rFonts w:asciiTheme="minorHAnsi" w:eastAsiaTheme="minorHAnsi" w:hAnsiTheme="minorHAnsi" w:cstheme="minorBidi"/>
          <w:b/>
          <w:lang w:eastAsia="en-US"/>
        </w:rPr>
        <w:t xml:space="preserve"> sur personnes de 15 ans ou plus</w:t>
      </w:r>
      <w:r w:rsidRPr="00337FAB">
        <w:rPr>
          <w:rFonts w:asciiTheme="minorHAnsi" w:eastAsiaTheme="minorHAnsi" w:hAnsiTheme="minorHAnsi" w:cstheme="minorBidi"/>
          <w:b/>
          <w:lang w:eastAsia="en-US"/>
        </w:rPr>
        <w:t xml:space="preserve">  </w:t>
      </w:r>
    </w:p>
    <w:p w14:paraId="6B1946FC" w14:textId="206092B2" w:rsidR="00054001" w:rsidRPr="00337FAB" w:rsidRDefault="00FE26D6" w:rsidP="00054001">
      <w:pPr>
        <w:pStyle w:val="NormalWeb"/>
        <w:spacing w:before="0" w:beforeAutospacing="0" w:after="0" w:afterAutospacing="0"/>
        <w:rPr>
          <w:rFonts w:asciiTheme="minorHAnsi" w:eastAsiaTheme="minorHAnsi" w:hAnsiTheme="minorHAnsi" w:cstheme="minorBidi"/>
          <w:b/>
          <w:lang w:eastAsia="en-US"/>
        </w:rPr>
      </w:pPr>
      <w:r>
        <w:rPr>
          <w:rFonts w:asciiTheme="minorHAnsi" w:eastAsiaTheme="minorHAnsi" w:hAnsiTheme="minorHAnsi" w:cstheme="minorBidi"/>
          <w:b/>
          <w:lang w:eastAsia="en-US"/>
        </w:rPr>
        <w:t>qui se répartissent en :</w:t>
      </w:r>
      <w:r w:rsidR="00054001" w:rsidRPr="00337FAB">
        <w:rPr>
          <w:rFonts w:asciiTheme="minorHAnsi" w:eastAsiaTheme="minorHAnsi" w:hAnsiTheme="minorHAnsi" w:cstheme="minorBidi"/>
          <w:b/>
          <w:lang w:eastAsia="en-US"/>
        </w:rPr>
        <w:t xml:space="preserve">        </w:t>
      </w:r>
    </w:p>
    <w:p w14:paraId="43C52A08" w14:textId="7D657F95" w:rsidR="00054001" w:rsidRPr="00337FAB" w:rsidRDefault="00054001" w:rsidP="00CE3AB3">
      <w:pPr>
        <w:pStyle w:val="NormalWeb"/>
        <w:spacing w:before="0" w:beforeAutospacing="0" w:after="0" w:afterAutospacing="0"/>
        <w:ind w:firstLine="708"/>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2 </w:t>
      </w:r>
      <w:r w:rsidR="001D1B7D" w:rsidRPr="00337FAB">
        <w:rPr>
          <w:rFonts w:asciiTheme="minorHAnsi" w:eastAsiaTheme="minorHAnsi" w:hAnsiTheme="minorHAnsi" w:cstheme="minorBidi"/>
          <w:b/>
          <w:lang w:eastAsia="en-US"/>
        </w:rPr>
        <w:t>Coups et blessures volontaires</w:t>
      </w:r>
      <w:r w:rsidR="001D1B7D">
        <w:rPr>
          <w:rFonts w:asciiTheme="minorHAnsi" w:eastAsiaTheme="minorHAnsi" w:hAnsiTheme="minorHAnsi" w:cstheme="minorBidi"/>
          <w:b/>
          <w:lang w:eastAsia="en-US"/>
        </w:rPr>
        <w:t xml:space="preserve"> </w:t>
      </w:r>
      <w:r w:rsidR="00A32AB1">
        <w:rPr>
          <w:rFonts w:asciiTheme="minorHAnsi" w:eastAsiaTheme="minorHAnsi" w:hAnsiTheme="minorHAnsi" w:cstheme="minorBidi"/>
          <w:b/>
          <w:lang w:eastAsia="en-US"/>
        </w:rPr>
        <w:t>intrafamiliaux</w:t>
      </w:r>
      <w:r w:rsidR="00FE26D6">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Pr="00337FAB">
        <w:rPr>
          <w:rFonts w:asciiTheme="minorHAnsi" w:eastAsiaTheme="minorHAnsi" w:hAnsiTheme="minorHAnsi" w:cstheme="minorBidi"/>
          <w:b/>
          <w:lang w:eastAsia="en-US"/>
        </w:rPr>
        <w:t xml:space="preserve">               </w:t>
      </w:r>
    </w:p>
    <w:p w14:paraId="7DEA51BD" w14:textId="69482167" w:rsidR="00054001" w:rsidRPr="00337FAB" w:rsidRDefault="00054001" w:rsidP="00CE3AB3">
      <w:pPr>
        <w:pStyle w:val="NormalWeb"/>
        <w:spacing w:before="0" w:beforeAutospacing="0" w:after="0" w:afterAutospacing="0"/>
        <w:ind w:left="705"/>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3 </w:t>
      </w:r>
      <w:r w:rsidR="001D1B7D">
        <w:rPr>
          <w:rFonts w:asciiTheme="minorHAnsi" w:eastAsiaTheme="minorHAnsi" w:hAnsiTheme="minorHAnsi" w:cstheme="minorBidi"/>
          <w:b/>
          <w:lang w:eastAsia="en-US"/>
        </w:rPr>
        <w:t>C</w:t>
      </w:r>
      <w:r w:rsidRPr="00337FAB">
        <w:rPr>
          <w:rFonts w:asciiTheme="minorHAnsi" w:eastAsiaTheme="minorHAnsi" w:hAnsiTheme="minorHAnsi" w:cstheme="minorBidi"/>
          <w:b/>
          <w:lang w:eastAsia="en-US"/>
        </w:rPr>
        <w:t>oups et blessures volontaires</w:t>
      </w:r>
      <w:r w:rsidR="00A32AB1">
        <w:rPr>
          <w:rFonts w:asciiTheme="minorHAnsi" w:eastAsiaTheme="minorHAnsi" w:hAnsiTheme="minorHAnsi" w:cstheme="minorBidi"/>
          <w:b/>
          <w:lang w:eastAsia="en-US"/>
        </w:rPr>
        <w:t xml:space="preserve"> </w:t>
      </w:r>
      <w:r w:rsidR="001D1B7D">
        <w:rPr>
          <w:rFonts w:asciiTheme="minorHAnsi" w:eastAsiaTheme="minorHAnsi" w:hAnsiTheme="minorHAnsi" w:cstheme="minorBidi"/>
          <w:b/>
          <w:lang w:eastAsia="en-US"/>
        </w:rPr>
        <w:t>sur personnes de 15 ans ou plus</w:t>
      </w:r>
      <w:r w:rsidRPr="00337FAB">
        <w:rPr>
          <w:rFonts w:asciiTheme="minorHAnsi" w:eastAsiaTheme="minorHAnsi" w:hAnsiTheme="minorHAnsi" w:cstheme="minorBidi"/>
          <w:b/>
          <w:lang w:eastAsia="en-US"/>
        </w:rPr>
        <w:t xml:space="preserve">   </w:t>
      </w:r>
      <w:r w:rsidR="00FE26D6">
        <w:rPr>
          <w:rFonts w:asciiTheme="minorHAnsi" w:eastAsiaTheme="minorHAnsi" w:hAnsiTheme="minorHAnsi" w:cstheme="minorBidi"/>
          <w:b/>
          <w:lang w:eastAsia="en-US"/>
        </w:rPr>
        <w:t>commis hors cadre familial</w:t>
      </w:r>
    </w:p>
    <w:p w14:paraId="214EC1E3"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4 Violences sexuelles                     </w:t>
      </w:r>
    </w:p>
    <w:p w14:paraId="6570EF9D"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5 Vols avec armes                         </w:t>
      </w:r>
    </w:p>
    <w:p w14:paraId="38A5452F"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6 Vols violents sans arme                 </w:t>
      </w:r>
    </w:p>
    <w:p w14:paraId="375BEC2C"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7 Vols sans violence contre des personnes </w:t>
      </w:r>
    </w:p>
    <w:p w14:paraId="5C80347E"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8 Cambriolages de logement                </w:t>
      </w:r>
    </w:p>
    <w:p w14:paraId="3D6A9DD1"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 xml:space="preserve"> 9 Vols de véhicules                       </w:t>
      </w:r>
    </w:p>
    <w:p w14:paraId="5CDF1B05" w14:textId="409B8BA4" w:rsidR="00054001" w:rsidRDefault="00054001" w:rsidP="00054001">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sidR="001D1B7D">
        <w:rPr>
          <w:rFonts w:asciiTheme="minorHAnsi" w:eastAsiaTheme="minorHAnsi" w:hAnsiTheme="minorHAnsi" w:cstheme="minorBidi"/>
          <w:b/>
          <w:lang w:eastAsia="en-US"/>
        </w:rPr>
        <w:t>0</w:t>
      </w:r>
      <w:r w:rsidRPr="00337FAB">
        <w:rPr>
          <w:rFonts w:asciiTheme="minorHAnsi" w:eastAsiaTheme="minorHAnsi" w:hAnsiTheme="minorHAnsi" w:cstheme="minorBidi"/>
          <w:b/>
          <w:lang w:eastAsia="en-US"/>
        </w:rPr>
        <w:t xml:space="preserve"> Vols dans les véhicules    </w:t>
      </w:r>
    </w:p>
    <w:p w14:paraId="12D9A5A1" w14:textId="2A48EB72" w:rsidR="001D1B7D" w:rsidRPr="00337FAB" w:rsidRDefault="001D1B7D" w:rsidP="001D1B7D">
      <w:pPr>
        <w:pStyle w:val="NormalWeb"/>
        <w:spacing w:before="0" w:beforeAutospacing="0" w:after="0" w:afterAutospacing="0"/>
        <w:rPr>
          <w:rFonts w:asciiTheme="minorHAnsi" w:eastAsiaTheme="minorHAnsi" w:hAnsiTheme="minorHAnsi" w:cstheme="minorBidi"/>
          <w:b/>
          <w:lang w:eastAsia="en-US"/>
        </w:rPr>
      </w:pPr>
      <w:r w:rsidRPr="00337FAB">
        <w:rPr>
          <w:rFonts w:asciiTheme="minorHAnsi" w:eastAsiaTheme="minorHAnsi" w:hAnsiTheme="minorHAnsi" w:cstheme="minorBidi"/>
          <w:b/>
          <w:lang w:eastAsia="en-US"/>
        </w:rPr>
        <w:t>1</w:t>
      </w:r>
      <w:r>
        <w:rPr>
          <w:rFonts w:asciiTheme="minorHAnsi" w:eastAsiaTheme="minorHAnsi" w:hAnsiTheme="minorHAnsi" w:cstheme="minorBidi"/>
          <w:b/>
          <w:lang w:eastAsia="en-US"/>
        </w:rPr>
        <w:t>1</w:t>
      </w:r>
      <w:r w:rsidRPr="00337FAB">
        <w:rPr>
          <w:rFonts w:asciiTheme="minorHAnsi" w:eastAsiaTheme="minorHAnsi" w:hAnsiTheme="minorHAnsi" w:cstheme="minorBidi"/>
          <w:b/>
          <w:lang w:eastAsia="en-US"/>
        </w:rPr>
        <w:t xml:space="preserve"> Vols d'accessoires sur véhicules        </w:t>
      </w:r>
    </w:p>
    <w:p w14:paraId="322A10F7" w14:textId="77777777" w:rsidR="001D1B7D" w:rsidRPr="00337FAB" w:rsidRDefault="001D1B7D" w:rsidP="00054001">
      <w:pPr>
        <w:pStyle w:val="NormalWeb"/>
        <w:spacing w:before="0" w:beforeAutospacing="0" w:after="0" w:afterAutospacing="0"/>
        <w:rPr>
          <w:rFonts w:asciiTheme="minorHAnsi" w:eastAsiaTheme="minorHAnsi" w:hAnsiTheme="minorHAnsi" w:cstheme="minorBidi"/>
          <w:b/>
          <w:lang w:eastAsia="en-US"/>
        </w:rPr>
      </w:pPr>
    </w:p>
    <w:p w14:paraId="233EEC06" w14:textId="77777777" w:rsidR="00054001" w:rsidRPr="00337FAB" w:rsidRDefault="00054001" w:rsidP="00054001">
      <w:pPr>
        <w:pStyle w:val="NormalWeb"/>
        <w:spacing w:before="0" w:beforeAutospacing="0" w:after="0" w:afterAutospacing="0"/>
        <w:rPr>
          <w:rFonts w:asciiTheme="minorHAnsi" w:eastAsiaTheme="minorHAnsi" w:hAnsiTheme="minorHAnsi" w:cstheme="minorBidi"/>
          <w:b/>
          <w:lang w:eastAsia="en-US"/>
        </w:rPr>
      </w:pPr>
    </w:p>
    <w:p w14:paraId="3C45F167" w14:textId="77777777" w:rsidR="003014B0" w:rsidRDefault="003014B0" w:rsidP="003014B0">
      <w:pPr>
        <w:pStyle w:val="NormalWeb"/>
        <w:spacing w:before="0" w:beforeAutospacing="0" w:after="0" w:afterAutospacing="0"/>
        <w:rPr>
          <w:rFonts w:asciiTheme="minorHAnsi" w:eastAsiaTheme="minorHAnsi" w:hAnsiTheme="minorHAnsi" w:cstheme="minorBidi"/>
          <w:lang w:eastAsia="en-US"/>
        </w:rPr>
      </w:pPr>
    </w:p>
    <w:p w14:paraId="4505274D" w14:textId="38B2FC7E" w:rsidR="003014B0" w:rsidRDefault="003014B0" w:rsidP="003014B0">
      <w:pPr>
        <w:pStyle w:val="NormalWeb"/>
        <w:spacing w:before="0" w:beforeAutospacing="0" w:after="0" w:afterAutospacing="0"/>
        <w:rPr>
          <w:rFonts w:asciiTheme="minorHAnsi" w:eastAsiaTheme="minorHAnsi" w:hAnsiTheme="minorHAnsi" w:cstheme="minorBidi"/>
          <w:lang w:eastAsia="en-US"/>
        </w:rPr>
      </w:pPr>
      <w:r w:rsidRPr="006F2A36">
        <w:rPr>
          <w:rFonts w:asciiTheme="minorHAnsi" w:eastAsiaTheme="minorHAnsi" w:hAnsiTheme="minorHAnsi" w:cstheme="minorBidi"/>
          <w:lang w:eastAsia="en-US"/>
        </w:rPr>
        <w:t xml:space="preserve">Ces bases de données ont vocation à être enrichies au fur et à mesure </w:t>
      </w:r>
      <w:r w:rsidR="00400364">
        <w:rPr>
          <w:rFonts w:asciiTheme="minorHAnsi" w:eastAsiaTheme="minorHAnsi" w:hAnsiTheme="minorHAnsi" w:cstheme="minorBidi"/>
          <w:lang w:eastAsia="en-US"/>
        </w:rPr>
        <w:t xml:space="preserve">de la fiabilisation </w:t>
      </w:r>
      <w:r w:rsidRPr="006F2A36">
        <w:rPr>
          <w:rFonts w:asciiTheme="minorHAnsi" w:eastAsiaTheme="minorHAnsi" w:hAnsiTheme="minorHAnsi" w:cstheme="minorBidi"/>
          <w:lang w:eastAsia="en-US"/>
        </w:rPr>
        <w:t>d’autres indicateurs</w:t>
      </w:r>
      <w:r w:rsidR="00400364">
        <w:rPr>
          <w:rFonts w:asciiTheme="minorHAnsi" w:eastAsiaTheme="minorHAnsi" w:hAnsiTheme="minorHAnsi" w:cstheme="minorBidi"/>
          <w:lang w:eastAsia="en-US"/>
        </w:rPr>
        <w:t xml:space="preserve"> </w:t>
      </w:r>
      <w:r w:rsidRPr="006F2A36">
        <w:rPr>
          <w:rFonts w:asciiTheme="minorHAnsi" w:eastAsiaTheme="minorHAnsi" w:hAnsiTheme="minorHAnsi" w:cstheme="minorBidi"/>
          <w:lang w:eastAsia="en-US"/>
        </w:rPr>
        <w:t>(escroqueries,</w:t>
      </w:r>
      <w:r w:rsidR="00FE26D6">
        <w:rPr>
          <w:rFonts w:asciiTheme="minorHAnsi" w:eastAsiaTheme="minorHAnsi" w:hAnsiTheme="minorHAnsi" w:cstheme="minorBidi"/>
          <w:lang w:eastAsia="en-US"/>
        </w:rPr>
        <w:t xml:space="preserve"> destructions/dégradations volontaires,</w:t>
      </w:r>
      <w:r w:rsidRPr="006F2A36">
        <w:rPr>
          <w:rFonts w:asciiTheme="minorHAnsi" w:eastAsiaTheme="minorHAnsi" w:hAnsiTheme="minorHAnsi" w:cstheme="minorBidi"/>
          <w:lang w:eastAsia="en-US"/>
        </w:rPr>
        <w:t xml:space="preserve"> infractions à la législation sur les stupéfiants…). </w:t>
      </w:r>
    </w:p>
    <w:p w14:paraId="534E05CD" w14:textId="77777777" w:rsidR="00A32AB1" w:rsidRPr="006F2A36" w:rsidRDefault="00A32AB1" w:rsidP="003014B0">
      <w:pPr>
        <w:pStyle w:val="NormalWeb"/>
        <w:spacing w:before="0" w:beforeAutospacing="0" w:after="0" w:afterAutospacing="0"/>
        <w:rPr>
          <w:rFonts w:asciiTheme="minorHAnsi" w:eastAsiaTheme="minorHAnsi" w:hAnsiTheme="minorHAnsi" w:cstheme="minorBidi"/>
          <w:lang w:eastAsia="en-US"/>
        </w:rPr>
      </w:pPr>
    </w:p>
    <w:p w14:paraId="0DECF089" w14:textId="77777777"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Ces indicateurs ont été sélectionnés selon l’un ou plusieurs des critères suivants </w:t>
      </w:r>
      <w:r w:rsidRPr="00354947">
        <w:rPr>
          <w:rFonts w:asciiTheme="minorHAnsi" w:eastAsiaTheme="minorHAnsi" w:hAnsiTheme="minorHAnsi" w:cstheme="minorBidi"/>
          <w:lang w:eastAsia="en-US"/>
        </w:rPr>
        <w:t xml:space="preserve">: </w:t>
      </w:r>
    </w:p>
    <w:p w14:paraId="55D47117" w14:textId="77777777"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354947">
        <w:rPr>
          <w:rFonts w:asciiTheme="minorHAnsi" w:eastAsiaTheme="minorHAnsi" w:hAnsiTheme="minorHAnsi" w:cstheme="minorBidi"/>
          <w:lang w:eastAsia="en-US"/>
        </w:rPr>
        <w:t>• l’existence d’une victim</w:t>
      </w:r>
      <w:r>
        <w:rPr>
          <w:rFonts w:asciiTheme="minorHAnsi" w:eastAsiaTheme="minorHAnsi" w:hAnsiTheme="minorHAnsi" w:cstheme="minorBidi"/>
          <w:lang w:eastAsia="en-US"/>
        </w:rPr>
        <w:t>e</w:t>
      </w:r>
      <w:r w:rsidRPr="00354947">
        <w:rPr>
          <w:rFonts w:asciiTheme="minorHAnsi" w:eastAsiaTheme="minorHAnsi" w:hAnsiTheme="minorHAnsi" w:cstheme="minorBidi"/>
          <w:lang w:eastAsia="en-US"/>
        </w:rPr>
        <w:t xml:space="preserve"> directe : quand les infractions mesurent une atteinte à une loi ou à un règlement, mais qu’il n’y a pas par nature de victime identifiable, le comptage n’a pas de signification pour mesurer un degré ou une évolution de la délinquance directement subie. </w:t>
      </w:r>
    </w:p>
    <w:p w14:paraId="52035778" w14:textId="77777777"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354947">
        <w:rPr>
          <w:rFonts w:asciiTheme="minorHAnsi" w:eastAsiaTheme="minorHAnsi" w:hAnsiTheme="minorHAnsi" w:cstheme="minorBidi"/>
          <w:lang w:eastAsia="en-US"/>
        </w:rPr>
        <w:t>• la cohérence entre les données administratives et les résultats des enquêtes</w:t>
      </w:r>
      <w:r>
        <w:rPr>
          <w:rFonts w:asciiTheme="minorHAnsi" w:eastAsiaTheme="minorHAnsi" w:hAnsiTheme="minorHAnsi" w:cstheme="minorBidi"/>
          <w:lang w:eastAsia="en-US"/>
        </w:rPr>
        <w:t xml:space="preserve"> Cadre de Vie et Sécurité (</w:t>
      </w:r>
      <w:r w:rsidRPr="00574F22">
        <w:rPr>
          <w:rFonts w:asciiTheme="minorHAnsi" w:eastAsiaTheme="minorHAnsi" w:hAnsiTheme="minorHAnsi" w:cstheme="minorBidi"/>
          <w:lang w:eastAsia="en-US"/>
        </w:rPr>
        <w:t>mettre un lien vers les données CVS sur data.gouv.fr</w:t>
      </w:r>
      <w:r>
        <w:rPr>
          <w:rFonts w:asciiTheme="minorHAnsi" w:eastAsiaTheme="minorHAnsi" w:hAnsiTheme="minorHAnsi" w:cstheme="minorBidi"/>
          <w:lang w:eastAsia="en-US"/>
        </w:rPr>
        <w:t>) :</w:t>
      </w:r>
      <w:r w:rsidRPr="00354947">
        <w:rPr>
          <w:rFonts w:asciiTheme="minorHAnsi" w:eastAsiaTheme="minorHAnsi" w:hAnsiTheme="minorHAnsi" w:cstheme="minorBidi"/>
          <w:lang w:eastAsia="en-US"/>
        </w:rPr>
        <w:t xml:space="preserve"> plus la proportion des victimes qui se signalent aux forces de sécurité est élevée, plus la donnée administrative est représentative de l’ampleur réelle du phénomène. </w:t>
      </w:r>
    </w:p>
    <w:p w14:paraId="653F87CF" w14:textId="2C4BF20D"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354947">
        <w:rPr>
          <w:rFonts w:asciiTheme="minorHAnsi" w:eastAsiaTheme="minorHAnsi" w:hAnsiTheme="minorHAnsi" w:cstheme="minorBidi"/>
          <w:lang w:eastAsia="en-US"/>
        </w:rPr>
        <w:t xml:space="preserve">• </w:t>
      </w:r>
    </w:p>
    <w:p w14:paraId="5149FBA5" w14:textId="060D87BA" w:rsidR="00947E5F" w:rsidRDefault="00947E5F" w:rsidP="00947E5F">
      <w:pPr>
        <w:pStyle w:val="NormalWeb"/>
        <w:spacing w:before="0" w:beforeAutospacing="0" w:after="0" w:afterAutospacing="0"/>
        <w:rPr>
          <w:rFonts w:asciiTheme="minorHAnsi" w:eastAsiaTheme="minorHAnsi" w:hAnsiTheme="minorHAnsi" w:cstheme="minorBidi"/>
          <w:lang w:eastAsia="en-US"/>
        </w:rPr>
      </w:pPr>
      <w:r w:rsidRPr="00354947">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lorsque</w:t>
      </w:r>
      <w:r w:rsidRPr="00354947">
        <w:rPr>
          <w:rFonts w:asciiTheme="minorHAnsi" w:eastAsiaTheme="minorHAnsi" w:hAnsiTheme="minorHAnsi" w:cstheme="minorBidi"/>
          <w:lang w:eastAsia="en-US"/>
        </w:rPr>
        <w:t xml:space="preserve"> les frontières entre deux </w:t>
      </w:r>
      <w:r>
        <w:rPr>
          <w:rFonts w:asciiTheme="minorHAnsi" w:eastAsiaTheme="minorHAnsi" w:hAnsiTheme="minorHAnsi" w:cstheme="minorBidi"/>
          <w:lang w:eastAsia="en-US"/>
        </w:rPr>
        <w:t>index</w:t>
      </w:r>
      <w:r w:rsidRPr="00354947">
        <w:rPr>
          <w:rFonts w:asciiTheme="minorHAnsi" w:eastAsiaTheme="minorHAnsi" w:hAnsiTheme="minorHAnsi" w:cstheme="minorBidi"/>
          <w:lang w:eastAsia="en-US"/>
        </w:rPr>
        <w:t xml:space="preserve"> peuvent faire l’objet d’hésitations ou d’erreurs de classements, le fait de les analyser de façon groupée limite les risques d’interprétations erronées </w:t>
      </w:r>
      <w:r w:rsidRPr="006E3ACE">
        <w:rPr>
          <w:rFonts w:asciiTheme="minorHAnsi" w:eastAsiaTheme="minorHAnsi" w:hAnsiTheme="minorHAnsi" w:cstheme="minorBidi"/>
          <w:lang w:eastAsia="en-US"/>
        </w:rPr>
        <w:t>(par exemple, on observera dans un</w:t>
      </w:r>
      <w:r>
        <w:rPr>
          <w:rFonts w:asciiTheme="minorHAnsi" w:eastAsiaTheme="minorHAnsi" w:hAnsiTheme="minorHAnsi" w:cstheme="minorBidi"/>
          <w:lang w:eastAsia="en-US"/>
        </w:rPr>
        <w:t xml:space="preserve"> </w:t>
      </w:r>
      <w:r w:rsidRPr="006E3ACE">
        <w:rPr>
          <w:rFonts w:asciiTheme="minorHAnsi" w:eastAsiaTheme="minorHAnsi" w:hAnsiTheme="minorHAnsi" w:cstheme="minorBidi"/>
          <w:lang w:eastAsia="en-US"/>
        </w:rPr>
        <w:t>même indicateur les cambriolages de résidences principales et secondaires)</w:t>
      </w:r>
      <w:r>
        <w:rPr>
          <w:rFonts w:asciiTheme="minorHAnsi" w:eastAsiaTheme="minorHAnsi" w:hAnsiTheme="minorHAnsi" w:cstheme="minorBidi"/>
          <w:lang w:eastAsia="en-US"/>
        </w:rPr>
        <w:t xml:space="preserve">. </w:t>
      </w:r>
    </w:p>
    <w:p w14:paraId="33A6F131"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38CBDDD3" w14:textId="77777777" w:rsidR="000A393B" w:rsidRDefault="000A393B" w:rsidP="000A393B">
      <w:pPr>
        <w:pStyle w:val="NormalWeb"/>
        <w:spacing w:before="0" w:beforeAutospacing="0" w:after="0" w:afterAutospacing="0"/>
        <w:rPr>
          <w:rFonts w:asciiTheme="minorHAnsi" w:eastAsiaTheme="minorHAnsi" w:hAnsiTheme="minorHAnsi" w:cstheme="minorBidi"/>
          <w:lang w:eastAsia="en-US"/>
        </w:rPr>
      </w:pPr>
    </w:p>
    <w:p w14:paraId="4F5E12CA" w14:textId="64C20A29" w:rsidR="006E4B75" w:rsidRDefault="00947E5F" w:rsidP="003014B0">
      <w:pPr>
        <w:pStyle w:val="NormalWeb"/>
        <w:spacing w:before="0" w:beforeAutospacing="0" w:after="0" w:afterAutospacing="0"/>
        <w:rPr>
          <w:rFonts w:asciiTheme="minorHAnsi" w:eastAsiaTheme="minorHAnsi" w:hAnsiTheme="minorHAnsi" w:cstheme="minorBidi"/>
          <w:lang w:eastAsia="en-US"/>
        </w:rPr>
      </w:pPr>
      <w:r w:rsidRPr="000354C3">
        <w:rPr>
          <w:rFonts w:asciiTheme="minorHAnsi" w:eastAsiaTheme="minorHAnsi" w:hAnsiTheme="minorHAnsi" w:cstheme="minorBidi"/>
          <w:lang w:eastAsia="en-US"/>
        </w:rPr>
        <w:t>Les indicateurs font référence</w:t>
      </w:r>
      <w:r>
        <w:rPr>
          <w:rFonts w:asciiTheme="minorHAnsi" w:eastAsiaTheme="minorHAnsi" w:hAnsiTheme="minorHAnsi" w:cstheme="minorBidi"/>
          <w:lang w:eastAsia="en-US"/>
        </w:rPr>
        <w:t>, chaque année,</w:t>
      </w:r>
      <w:r w:rsidRPr="000354C3">
        <w:rPr>
          <w:rFonts w:asciiTheme="minorHAnsi" w:eastAsiaTheme="minorHAnsi" w:hAnsiTheme="minorHAnsi" w:cstheme="minorBidi"/>
          <w:lang w:eastAsia="en-US"/>
        </w:rPr>
        <w:t xml:space="preserve"> aux infractions comptabilisées </w:t>
      </w:r>
      <w:r>
        <w:rPr>
          <w:rFonts w:asciiTheme="minorHAnsi" w:eastAsiaTheme="minorHAnsi" w:hAnsiTheme="minorHAnsi" w:cstheme="minorBidi"/>
          <w:lang w:eastAsia="en-US"/>
        </w:rPr>
        <w:t>au cours des 12 mois</w:t>
      </w:r>
      <w:r w:rsidRPr="000354C3">
        <w:rPr>
          <w:rFonts w:asciiTheme="minorHAnsi" w:eastAsiaTheme="minorHAnsi" w:hAnsiTheme="minorHAnsi" w:cstheme="minorBidi"/>
          <w:lang w:eastAsia="en-US"/>
        </w:rPr>
        <w:t xml:space="preserve"> d’enregistrement, avec quelques cas particuliers (pour plus de détails : </w:t>
      </w:r>
      <w:hyperlink r:id="rId9" w:history="1">
        <w:r w:rsidRPr="000354C3">
          <w:rPr>
            <w:rFonts w:asciiTheme="minorHAnsi" w:hAnsiTheme="minorHAnsi"/>
            <w:lang w:eastAsia="en-US"/>
          </w:rPr>
          <w:t>https://www.interieur.gouv.fr/Interstats/Methode</w:t>
        </w:r>
      </w:hyperlink>
      <w:r w:rsidRPr="000354C3">
        <w:rPr>
          <w:rFonts w:asciiTheme="minorHAnsi" w:eastAsiaTheme="minorHAnsi" w:hAnsiTheme="minorHAnsi" w:cstheme="minorBidi"/>
          <w:lang w:eastAsia="en-US"/>
        </w:rPr>
        <w:t xml:space="preserve"> Interstats Méthode n°2 et 3). Les requalifications </w:t>
      </w:r>
      <w:r>
        <w:rPr>
          <w:rFonts w:asciiTheme="minorHAnsi" w:eastAsiaTheme="minorHAnsi" w:hAnsiTheme="minorHAnsi" w:cstheme="minorBidi"/>
          <w:lang w:eastAsia="en-US"/>
        </w:rPr>
        <w:t>des infractions</w:t>
      </w:r>
      <w:r w:rsidRPr="000354C3">
        <w:rPr>
          <w:rFonts w:asciiTheme="minorHAnsi" w:eastAsiaTheme="minorHAnsi" w:hAnsiTheme="minorHAnsi" w:cstheme="minorBidi"/>
          <w:lang w:eastAsia="en-US"/>
        </w:rPr>
        <w:t>, y compris les suppressions, sont prises en compte</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 xml:space="preserve">jusqu’à la </w:t>
      </w:r>
      <w:r w:rsidRPr="000354C3">
        <w:rPr>
          <w:rFonts w:asciiTheme="minorHAnsi" w:eastAsiaTheme="minorHAnsi" w:hAnsiTheme="minorHAnsi" w:cstheme="minorBidi"/>
          <w:lang w:eastAsia="en-US"/>
        </w:rPr>
        <w:lastRenderedPageBreak/>
        <w:t xml:space="preserve">date à laquelle sont arrêtées les comptabilisations, c’est-à-dire, pour chaque </w:t>
      </w:r>
      <w:r>
        <w:rPr>
          <w:rFonts w:asciiTheme="minorHAnsi" w:eastAsiaTheme="minorHAnsi" w:hAnsiTheme="minorHAnsi" w:cstheme="minorBidi"/>
          <w:lang w:eastAsia="en-US"/>
        </w:rPr>
        <w:t>année</w:t>
      </w:r>
      <w:r w:rsidRPr="000354C3">
        <w:rPr>
          <w:rFonts w:asciiTheme="minorHAnsi" w:eastAsiaTheme="minorHAnsi" w:hAnsiTheme="minorHAnsi" w:cstheme="minorBidi"/>
          <w:lang w:eastAsia="en-US"/>
        </w:rPr>
        <w:t xml:space="preserve">, </w:t>
      </w:r>
      <w:r w:rsidRPr="00645753">
        <w:rPr>
          <w:rFonts w:asciiTheme="minorHAnsi" w:eastAsiaTheme="minorHAnsi" w:hAnsiTheme="minorHAnsi" w:cstheme="minorBidi"/>
          <w:lang w:eastAsia="en-US"/>
        </w:rPr>
        <w:t>au début du mois de janvier de l’année suivante</w:t>
      </w:r>
      <w:r w:rsidRPr="000354C3">
        <w:rPr>
          <w:rFonts w:asciiTheme="minorHAnsi" w:eastAsiaTheme="minorHAnsi" w:hAnsiTheme="minorHAnsi" w:cstheme="minorBidi"/>
          <w:lang w:eastAsia="en-US"/>
        </w:rPr>
        <w:t>.</w:t>
      </w:r>
      <w:r w:rsidR="0082745C">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Deux éléments sont à prendre en compte dans l’interprétation du niveau des indicateurs :- le délai d’enregistrement, qui peut créer un décalage temporel entre le moment où les infractions se sont déroulées et le moment où elles sont comptabilisées;</w:t>
      </w:r>
      <w:r w:rsidRPr="000354C3">
        <w:rPr>
          <w:rFonts w:asciiTheme="minorHAnsi" w:eastAsiaTheme="minorHAnsi" w:hAnsiTheme="minorHAnsi" w:cstheme="minorBidi"/>
          <w:lang w:eastAsia="en-US"/>
        </w:rPr>
        <w:br/>
        <w:t>- le taux de dépôt de plainte a un impact sur le niveau de la délinquance enregistrée. Les enquêtes Cadre de vie et sécurité (</w:t>
      </w:r>
      <w:hyperlink r:id="rId10" w:history="1">
        <w:r w:rsidRPr="003354DB">
          <w:rPr>
            <w:rStyle w:val="Lienhypertexte"/>
            <w:rFonts w:asciiTheme="minorHAnsi" w:eastAsiaTheme="minorHAnsi" w:hAnsiTheme="minorHAnsi" w:cstheme="minorBidi"/>
            <w:lang w:eastAsia="en-US"/>
          </w:rPr>
          <w:t>https://www.data.gouv.fr/fr/datasets/indicateurs-annuels-de-la-victimation-et-du-sentiment-dinsecurite-issus-des-enquetes-cadre-de-vie-et-securite/</w:t>
        </w:r>
      </w:hyperlink>
      <w:r w:rsidRPr="007167CA">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et </w:t>
      </w:r>
      <w:hyperlink r:id="rId11" w:history="1">
        <w:r w:rsidRPr="003354DB">
          <w:rPr>
            <w:rStyle w:val="Lienhypertexte"/>
            <w:rFonts w:asciiTheme="minorHAnsi" w:eastAsiaTheme="minorHAnsi" w:hAnsiTheme="minorHAnsi" w:cstheme="minorBidi"/>
            <w:lang w:eastAsia="en-US"/>
          </w:rPr>
          <w:t>https://www.interieur.gouv.fr/Interstats/L-enquete-Cadre-de-vie-et-securite-CVS</w:t>
        </w:r>
      </w:hyperlink>
      <w:r w:rsidRPr="000354C3">
        <w:rPr>
          <w:rFonts w:asciiTheme="minorHAnsi" w:eastAsiaTheme="minorHAnsi" w:hAnsiTheme="minorHAnsi" w:cstheme="minorBidi"/>
          <w:lang w:eastAsia="en-US"/>
        </w:rPr>
        <w:t xml:space="preserve">) </w:t>
      </w:r>
      <w:r>
        <w:rPr>
          <w:rFonts w:asciiTheme="minorHAnsi" w:eastAsiaTheme="minorHAnsi" w:hAnsiTheme="minorHAnsi" w:cstheme="minorBidi"/>
          <w:lang w:eastAsia="en-US"/>
        </w:rPr>
        <w:t xml:space="preserve">permettent </w:t>
      </w:r>
      <w:r w:rsidRPr="000354C3">
        <w:rPr>
          <w:rFonts w:asciiTheme="minorHAnsi" w:eastAsiaTheme="minorHAnsi" w:hAnsiTheme="minorHAnsi" w:cstheme="minorBidi"/>
          <w:lang w:eastAsia="en-US"/>
        </w:rPr>
        <w:t>d’évaluer les taux de plainte. Ainsi par exemple selon ce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enquête</w:t>
      </w:r>
      <w:r>
        <w:rPr>
          <w:rFonts w:asciiTheme="minorHAnsi" w:eastAsiaTheme="minorHAnsi" w:hAnsiTheme="minorHAnsi" w:cstheme="minorBidi"/>
          <w:lang w:eastAsia="en-US"/>
        </w:rPr>
        <w:t>s</w:t>
      </w:r>
      <w:r w:rsidRPr="000354C3">
        <w:rPr>
          <w:rFonts w:asciiTheme="minorHAnsi" w:eastAsiaTheme="minorHAnsi" w:hAnsiTheme="minorHAnsi" w:cstheme="minorBidi"/>
          <w:lang w:eastAsia="en-US"/>
        </w:rPr>
        <w:t xml:space="preserve"> en moyenne sur la période 2011-2018 seules 12 %</w:t>
      </w:r>
      <w:r>
        <w:rPr>
          <w:rFonts w:asciiTheme="minorHAnsi" w:eastAsiaTheme="minorHAnsi" w:hAnsiTheme="minorHAnsi" w:cstheme="minorBidi"/>
          <w:lang w:eastAsia="en-US"/>
        </w:rPr>
        <w:t xml:space="preserve"> </w:t>
      </w:r>
      <w:r w:rsidRPr="000354C3">
        <w:rPr>
          <w:rFonts w:asciiTheme="minorHAnsi" w:eastAsiaTheme="minorHAnsi" w:hAnsiTheme="minorHAnsi" w:cstheme="minorBidi"/>
          <w:lang w:eastAsia="en-US"/>
        </w:rPr>
        <w:t>des victimes de violences sexuelles hors ménage portent plainte, contre 74 % pour les victimes de cambriolages.</w:t>
      </w:r>
    </w:p>
    <w:p w14:paraId="3D57D32B" w14:textId="77777777" w:rsidR="00A32AB1" w:rsidRDefault="00A32AB1" w:rsidP="003014B0">
      <w:pPr>
        <w:pStyle w:val="NormalWeb"/>
        <w:spacing w:before="0" w:beforeAutospacing="0" w:after="0" w:afterAutospacing="0"/>
        <w:rPr>
          <w:rFonts w:asciiTheme="minorHAnsi" w:eastAsiaTheme="minorHAnsi" w:hAnsiTheme="minorHAnsi" w:cstheme="minorBidi"/>
          <w:lang w:eastAsia="en-US"/>
        </w:rPr>
      </w:pPr>
    </w:p>
    <w:p w14:paraId="15595ABA" w14:textId="38E22E5D"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Les principales variables de la base communale sont</w:t>
      </w:r>
      <w:r w:rsidR="00A32AB1" w:rsidRPr="00A32AB1">
        <w:rPr>
          <w:rFonts w:asciiTheme="minorHAnsi" w:eastAsiaTheme="minorHAnsi" w:hAnsiTheme="minorHAnsi" w:cstheme="minorBidi"/>
          <w:lang w:eastAsia="en-US"/>
        </w:rPr>
        <w:t> :</w:t>
      </w:r>
    </w:p>
    <w:p w14:paraId="581975E2" w14:textId="77777777" w:rsidR="00A32AB1" w:rsidRPr="00A32AB1" w:rsidRDefault="00A32AB1"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p>
    <w:p w14:paraId="7F4817F7" w14:textId="1FFA3E61" w:rsidR="00376A82"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code officiel géographique de la commune (COG_COMMUNE_2021)</w:t>
      </w:r>
    </w:p>
    <w:p w14:paraId="115D6E72" w14:textId="39C0661A"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l’année pendant laquelle la délinquance a été enregistrée (annee)</w:t>
      </w:r>
    </w:p>
    <w:p w14:paraId="7FA4AC60" w14:textId="5D2B6AF3"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l’indicateur de</w:t>
      </w:r>
      <w:r w:rsidR="00A32AB1" w:rsidRPr="00CA391D">
        <w:rPr>
          <w:rFonts w:asciiTheme="minorHAnsi" w:eastAsiaTheme="minorHAnsi" w:hAnsiTheme="minorHAnsi" w:cstheme="minorBidi"/>
          <w:lang w:eastAsia="en-US"/>
        </w:rPr>
        <w:t>s crimes et délits</w:t>
      </w:r>
      <w:r w:rsidRPr="00A32AB1">
        <w:rPr>
          <w:rFonts w:asciiTheme="minorHAnsi" w:eastAsiaTheme="minorHAnsi" w:hAnsiTheme="minorHAnsi" w:cstheme="minorBidi"/>
          <w:lang w:eastAsia="en-US"/>
        </w:rPr>
        <w:t xml:space="preserve"> (classe)</w:t>
      </w:r>
    </w:p>
    <w:p w14:paraId="658B6F65" w14:textId="65B2E609" w:rsidR="006E4B75" w:rsidRPr="00A32AB1"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A32AB1">
        <w:rPr>
          <w:rFonts w:asciiTheme="minorHAnsi" w:eastAsiaTheme="minorHAnsi" w:hAnsiTheme="minorHAnsi" w:cstheme="minorBidi"/>
          <w:lang w:eastAsia="en-US"/>
        </w:rPr>
        <w:t xml:space="preserve">- l’unité de compte associée à cet indicateur (unité.de.compte) </w:t>
      </w:r>
    </w:p>
    <w:p w14:paraId="612555A3" w14:textId="789196A4"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de délinquance enregistrés (faits)</w:t>
      </w:r>
      <w:r w:rsidR="00FC0697">
        <w:rPr>
          <w:rFonts w:asciiTheme="minorHAnsi" w:eastAsiaTheme="minorHAnsi" w:hAnsiTheme="minorHAnsi" w:cstheme="minorBidi"/>
          <w:lang w:eastAsia="en-US"/>
        </w:rPr>
        <w:t xml:space="preserve"> établis en </w:t>
      </w:r>
      <w:r w:rsidR="00222983">
        <w:rPr>
          <w:rFonts w:asciiTheme="minorHAnsi" w:eastAsiaTheme="minorHAnsi" w:hAnsiTheme="minorHAnsi" w:cstheme="minorBidi"/>
          <w:lang w:eastAsia="en-US"/>
        </w:rPr>
        <w:t>commune</w:t>
      </w:r>
      <w:r w:rsidR="00FC0697">
        <w:rPr>
          <w:rFonts w:asciiTheme="minorHAnsi" w:eastAsiaTheme="minorHAnsi" w:hAnsiTheme="minorHAnsi" w:cstheme="minorBidi"/>
          <w:lang w:eastAsia="en-US"/>
        </w:rPr>
        <w:t xml:space="preserve"> de commission</w:t>
      </w:r>
    </w:p>
    <w:p w14:paraId="3D002C9D" w14:textId="4ABC4725" w:rsidR="006E4B75" w:rsidRPr="00CA391D" w:rsidRDefault="006E4B75" w:rsidP="00CA391D">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lang w:eastAsia="en-US"/>
        </w:rPr>
      </w:pPr>
      <w:r w:rsidRPr="00CA391D">
        <w:rPr>
          <w:rFonts w:asciiTheme="minorHAnsi" w:eastAsiaTheme="minorHAnsi" w:hAnsiTheme="minorHAnsi" w:cstheme="minorBidi"/>
          <w:lang w:eastAsia="en-US"/>
        </w:rPr>
        <w:t>- le nombre de faits pour mille habitants (ou logements dans le cas des cambriolages) (tauxpourmille)</w:t>
      </w:r>
    </w:p>
    <w:p w14:paraId="6CD5FC6F" w14:textId="77777777"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la population municipale issue du recensement de la commune (POP) pour l’année précisée par une variable millésime (millPOP)</w:t>
      </w:r>
    </w:p>
    <w:p w14:paraId="3402348D" w14:textId="1B2FC77B" w:rsidR="006E4B75" w:rsidRPr="00CA391D" w:rsidRDefault="006E4B75"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le nombre de logements issu du recensement de la commune (LOG) pour l’année précisée par une variable millésime (millLOG)</w:t>
      </w:r>
    </w:p>
    <w:p w14:paraId="7BFFA161" w14:textId="77777777" w:rsidR="00E0536C" w:rsidRDefault="006E4B75"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lang w:eastAsia="en-US"/>
        </w:rPr>
        <w:t>- une indicatrice identifiant les communes pour lesquelles les données sont diffusées (valeur.publiée)</w:t>
      </w:r>
      <w:r w:rsidR="00222983">
        <w:rPr>
          <w:rFonts w:asciiTheme="minorHAnsi" w:eastAsiaTheme="minorHAnsi" w:hAnsiTheme="minorHAnsi" w:cstheme="minorBidi"/>
          <w:sz w:val="24"/>
          <w:szCs w:val="24"/>
          <w:lang w:eastAsia="en-US"/>
        </w:rPr>
        <w:t>**</w:t>
      </w:r>
      <w:r w:rsidR="00DE2CE2" w:rsidRPr="00CA391D">
        <w:rPr>
          <w:rFonts w:asciiTheme="minorHAnsi" w:eastAsiaTheme="minorHAnsi" w:hAnsiTheme="minorHAnsi" w:cstheme="minorBidi"/>
          <w:sz w:val="24"/>
          <w:szCs w:val="24"/>
          <w:lang w:eastAsia="en-US"/>
        </w:rPr>
        <w:t xml:space="preserve">. </w:t>
      </w:r>
    </w:p>
    <w:p w14:paraId="46113962" w14:textId="044CFB15" w:rsidR="00E0536C" w:rsidRDefault="00E0536C"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DE2CE2" w:rsidRPr="00CA391D">
        <w:rPr>
          <w:rFonts w:asciiTheme="minorHAnsi" w:eastAsiaTheme="minorHAnsi" w:hAnsiTheme="minorHAnsi" w:cstheme="minorBidi"/>
          <w:sz w:val="24"/>
          <w:szCs w:val="24"/>
          <w:lang w:eastAsia="en-US"/>
        </w:rPr>
        <w:t>Si cette indicatrice prend la valeur</w:t>
      </w:r>
      <w:r w:rsidR="00222983">
        <w:rPr>
          <w:rFonts w:asciiTheme="minorHAnsi" w:eastAsiaTheme="minorHAnsi" w:hAnsiTheme="minorHAnsi" w:cstheme="minorBidi"/>
          <w:sz w:val="24"/>
          <w:szCs w:val="24"/>
          <w:lang w:eastAsia="en-US"/>
        </w:rPr>
        <w:t xml:space="preserve"> « </w:t>
      </w:r>
      <w:r w:rsidR="00CE3AB3">
        <w:rPr>
          <w:rFonts w:asciiTheme="minorHAnsi" w:eastAsiaTheme="minorHAnsi" w:hAnsiTheme="minorHAnsi" w:cstheme="minorBidi"/>
          <w:sz w:val="24"/>
          <w:szCs w:val="24"/>
          <w:lang w:eastAsia="en-US"/>
        </w:rPr>
        <w:t>diff</w:t>
      </w:r>
      <w:r w:rsidR="00222983">
        <w:rPr>
          <w:rFonts w:asciiTheme="minorHAnsi" w:eastAsiaTheme="minorHAnsi" w:hAnsiTheme="minorHAnsi" w:cstheme="minorBidi"/>
          <w:sz w:val="24"/>
          <w:szCs w:val="24"/>
          <w:lang w:eastAsia="en-US"/>
        </w:rPr>
        <w:t xml:space="preserve"> » </w:t>
      </w:r>
      <w:r w:rsidR="00222983" w:rsidRPr="00CA391D">
        <w:rPr>
          <w:rFonts w:asciiTheme="minorHAnsi" w:eastAsiaTheme="minorHAnsi" w:hAnsiTheme="minorHAnsi" w:cstheme="minorBidi"/>
          <w:sz w:val="24"/>
          <w:szCs w:val="24"/>
          <w:lang w:eastAsia="en-US"/>
        </w:rPr>
        <w:t xml:space="preserve">alors </w:t>
      </w:r>
      <w:r w:rsidR="00222983">
        <w:rPr>
          <w:rFonts w:asciiTheme="minorHAnsi" w:eastAsiaTheme="minorHAnsi" w:hAnsiTheme="minorHAnsi" w:cstheme="minorBidi"/>
          <w:sz w:val="24"/>
          <w:szCs w:val="24"/>
          <w:lang w:eastAsia="en-US"/>
        </w:rPr>
        <w:t xml:space="preserve"> les variables </w:t>
      </w:r>
      <w:r w:rsidR="00222983" w:rsidRPr="00CA391D">
        <w:rPr>
          <w:rFonts w:asciiTheme="minorHAnsi" w:eastAsiaTheme="minorHAnsi" w:hAnsiTheme="minorHAnsi" w:cstheme="minorBidi"/>
          <w:i/>
          <w:sz w:val="24"/>
          <w:szCs w:val="24"/>
          <w:lang w:eastAsia="en-US"/>
        </w:rPr>
        <w:t>faits</w:t>
      </w:r>
      <w:r w:rsidR="00222983" w:rsidRPr="00CA391D">
        <w:rPr>
          <w:rFonts w:asciiTheme="minorHAnsi" w:eastAsiaTheme="minorHAnsi" w:hAnsiTheme="minorHAnsi" w:cstheme="minorBidi"/>
          <w:sz w:val="24"/>
          <w:szCs w:val="24"/>
          <w:lang w:eastAsia="en-US"/>
        </w:rPr>
        <w:t xml:space="preserve"> et </w:t>
      </w:r>
      <w:r w:rsidR="00222983" w:rsidRPr="00CA391D">
        <w:rPr>
          <w:rFonts w:asciiTheme="minorHAnsi" w:eastAsiaTheme="minorHAnsi" w:hAnsiTheme="minorHAnsi" w:cstheme="minorBidi"/>
          <w:i/>
          <w:sz w:val="24"/>
          <w:szCs w:val="24"/>
          <w:lang w:eastAsia="en-US"/>
        </w:rPr>
        <w:t>tauxpourmille</w:t>
      </w:r>
      <w:r w:rsidR="00DE2CE2" w:rsidRPr="00CA391D">
        <w:rPr>
          <w:rFonts w:asciiTheme="minorHAnsi" w:eastAsiaTheme="minorHAnsi" w:hAnsiTheme="minorHAnsi" w:cstheme="minorBidi"/>
          <w:sz w:val="24"/>
          <w:szCs w:val="24"/>
          <w:lang w:eastAsia="en-US"/>
        </w:rPr>
        <w:t xml:space="preserve"> </w:t>
      </w:r>
      <w:r w:rsidR="00222983">
        <w:rPr>
          <w:rFonts w:asciiTheme="minorHAnsi" w:eastAsiaTheme="minorHAnsi" w:hAnsiTheme="minorHAnsi" w:cstheme="minorBidi"/>
          <w:sz w:val="24"/>
          <w:szCs w:val="24"/>
          <w:lang w:eastAsia="en-US"/>
        </w:rPr>
        <w:t xml:space="preserve">sont renseignées. </w:t>
      </w:r>
    </w:p>
    <w:p w14:paraId="1B4CDBA0" w14:textId="78BE8416" w:rsidR="00DE2CE2" w:rsidRDefault="00E0536C"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ab/>
        <w:t xml:space="preserve">- </w:t>
      </w:r>
      <w:r w:rsidR="00222983">
        <w:rPr>
          <w:rFonts w:asciiTheme="minorHAnsi" w:eastAsiaTheme="minorHAnsi" w:hAnsiTheme="minorHAnsi" w:cstheme="minorBidi"/>
          <w:sz w:val="24"/>
          <w:szCs w:val="24"/>
          <w:lang w:eastAsia="en-US"/>
        </w:rPr>
        <w:t>Au contraire si cette indi</w:t>
      </w:r>
      <w:r w:rsidR="00F4513E">
        <w:rPr>
          <w:rFonts w:asciiTheme="minorHAnsi" w:eastAsiaTheme="minorHAnsi" w:hAnsiTheme="minorHAnsi" w:cstheme="minorBidi"/>
          <w:sz w:val="24"/>
          <w:szCs w:val="24"/>
          <w:lang w:eastAsia="en-US"/>
        </w:rPr>
        <w:t>c</w:t>
      </w:r>
      <w:r w:rsidR="00222983">
        <w:rPr>
          <w:rFonts w:asciiTheme="minorHAnsi" w:eastAsiaTheme="minorHAnsi" w:hAnsiTheme="minorHAnsi" w:cstheme="minorBidi"/>
          <w:sz w:val="24"/>
          <w:szCs w:val="24"/>
          <w:lang w:eastAsia="en-US"/>
        </w:rPr>
        <w:t>atrice vaut</w:t>
      </w:r>
      <w:r w:rsidR="00DE2CE2" w:rsidRPr="00CA391D">
        <w:rPr>
          <w:rFonts w:asciiTheme="minorHAnsi" w:eastAsiaTheme="minorHAnsi" w:hAnsiTheme="minorHAnsi" w:cstheme="minorBidi"/>
          <w:sz w:val="24"/>
          <w:szCs w:val="24"/>
          <w:lang w:eastAsia="en-US"/>
        </w:rPr>
        <w:t>« </w:t>
      </w:r>
      <w:r w:rsidR="00CE3AB3">
        <w:rPr>
          <w:rFonts w:asciiTheme="minorHAnsi" w:eastAsiaTheme="minorHAnsi" w:hAnsiTheme="minorHAnsi" w:cstheme="minorBidi"/>
          <w:sz w:val="24"/>
          <w:szCs w:val="24"/>
          <w:lang w:eastAsia="en-US"/>
        </w:rPr>
        <w:t>ndiff</w:t>
      </w:r>
      <w:r w:rsidR="00222983" w:rsidRPr="00CA391D">
        <w:rPr>
          <w:rFonts w:asciiTheme="minorHAnsi" w:eastAsiaTheme="minorHAnsi" w:hAnsiTheme="minorHAnsi" w:cstheme="minorBidi"/>
          <w:sz w:val="24"/>
          <w:szCs w:val="24"/>
          <w:lang w:eastAsia="en-US"/>
        </w:rPr>
        <w:t> </w:t>
      </w:r>
      <w:r w:rsidR="00DE2CE2" w:rsidRPr="00CA391D">
        <w:rPr>
          <w:rFonts w:asciiTheme="minorHAnsi" w:eastAsiaTheme="minorHAnsi" w:hAnsiTheme="minorHAnsi" w:cstheme="minorBidi"/>
          <w:sz w:val="24"/>
          <w:szCs w:val="24"/>
          <w:lang w:eastAsia="en-US"/>
        </w:rPr>
        <w:t>», alors</w:t>
      </w:r>
      <w:r w:rsidR="00222983">
        <w:rPr>
          <w:rFonts w:asciiTheme="minorHAnsi" w:eastAsiaTheme="minorHAnsi" w:hAnsiTheme="minorHAnsi" w:cstheme="minorBidi"/>
          <w:sz w:val="24"/>
          <w:szCs w:val="24"/>
          <w:lang w:eastAsia="en-US"/>
        </w:rPr>
        <w:t xml:space="preserve"> ces deux variables </w:t>
      </w:r>
      <w:r w:rsidR="00DE2CE2" w:rsidRPr="00CA391D">
        <w:rPr>
          <w:rFonts w:asciiTheme="minorHAnsi" w:eastAsiaTheme="minorHAnsi" w:hAnsiTheme="minorHAnsi" w:cstheme="minorBidi"/>
          <w:i/>
          <w:sz w:val="24"/>
          <w:szCs w:val="24"/>
          <w:lang w:eastAsia="en-US"/>
        </w:rPr>
        <w:t>e</w:t>
      </w:r>
      <w:r w:rsidR="00DE2CE2" w:rsidRPr="00CA391D">
        <w:rPr>
          <w:rFonts w:asciiTheme="minorHAnsi" w:eastAsiaTheme="minorHAnsi" w:hAnsiTheme="minorHAnsi" w:cstheme="minorBidi"/>
          <w:sz w:val="24"/>
          <w:szCs w:val="24"/>
          <w:lang w:eastAsia="en-US"/>
        </w:rPr>
        <w:t xml:space="preserve"> ne sont pas renseignés.</w:t>
      </w:r>
      <w:r>
        <w:rPr>
          <w:rFonts w:asciiTheme="minorHAnsi" w:eastAsiaTheme="minorHAnsi" w:hAnsiTheme="minorHAnsi" w:cstheme="minorBidi"/>
          <w:sz w:val="24"/>
          <w:szCs w:val="24"/>
          <w:lang w:eastAsia="en-US"/>
        </w:rPr>
        <w:t xml:space="preserve"> Toutefois, le nombre moyen de</w:t>
      </w:r>
      <w:r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faits ainsi que le </w:t>
      </w:r>
      <w:r w:rsidRPr="00CA391D">
        <w:rPr>
          <w:rFonts w:asciiTheme="minorHAnsi" w:eastAsiaTheme="minorHAnsi" w:hAnsiTheme="minorHAnsi" w:cstheme="minorBidi"/>
          <w:sz w:val="24"/>
          <w:szCs w:val="24"/>
          <w:lang w:eastAsia="en-US"/>
        </w:rPr>
        <w:t>taux</w:t>
      </w:r>
      <w:r>
        <w:rPr>
          <w:rFonts w:asciiTheme="minorHAnsi" w:eastAsiaTheme="minorHAnsi" w:hAnsiTheme="minorHAnsi" w:cstheme="minorBidi"/>
          <w:sz w:val="24"/>
          <w:szCs w:val="24"/>
          <w:lang w:eastAsia="en-US"/>
        </w:rPr>
        <w:t xml:space="preserve"> </w:t>
      </w:r>
      <w:r w:rsidRPr="00CA391D">
        <w:rPr>
          <w:rFonts w:asciiTheme="minorHAnsi" w:eastAsiaTheme="minorHAnsi" w:hAnsiTheme="minorHAnsi" w:cstheme="minorBidi"/>
          <w:sz w:val="24"/>
          <w:szCs w:val="24"/>
          <w:lang w:eastAsia="en-US"/>
        </w:rPr>
        <w:t>moyen pour mille</w:t>
      </w:r>
      <w:r w:rsidR="00DE2CE2" w:rsidRPr="00CA391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par classe, </w:t>
      </w:r>
      <w:r w:rsidR="00DE2CE2" w:rsidRPr="00CA391D">
        <w:rPr>
          <w:rFonts w:asciiTheme="minorHAnsi" w:eastAsiaTheme="minorHAnsi" w:hAnsiTheme="minorHAnsi" w:cstheme="minorBidi"/>
          <w:sz w:val="24"/>
          <w:szCs w:val="24"/>
          <w:lang w:eastAsia="en-US"/>
        </w:rPr>
        <w:t xml:space="preserve">année et département pour les communes non diffusées </w:t>
      </w:r>
      <w:r>
        <w:rPr>
          <w:rFonts w:asciiTheme="minorHAnsi" w:eastAsiaTheme="minorHAnsi" w:hAnsiTheme="minorHAnsi" w:cstheme="minorBidi"/>
          <w:sz w:val="24"/>
          <w:szCs w:val="24"/>
          <w:lang w:eastAsia="en-US"/>
        </w:rPr>
        <w:t xml:space="preserve">sont renseignés </w:t>
      </w:r>
      <w:r w:rsidR="00DE2CE2" w:rsidRPr="00CA391D">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 xml:space="preserve">respectivement </w:t>
      </w:r>
      <w:r w:rsidR="00DE2CE2" w:rsidRPr="00CA391D">
        <w:rPr>
          <w:rFonts w:asciiTheme="minorHAnsi" w:eastAsiaTheme="minorHAnsi" w:hAnsiTheme="minorHAnsi" w:cstheme="minorBidi"/>
          <w:sz w:val="24"/>
          <w:szCs w:val="24"/>
          <w:lang w:eastAsia="en-US"/>
        </w:rPr>
        <w:t>complementinfoval</w:t>
      </w:r>
      <w:r>
        <w:rPr>
          <w:rFonts w:asciiTheme="minorHAnsi" w:eastAsiaTheme="minorHAnsi" w:hAnsiTheme="minorHAnsi" w:cstheme="minorBidi"/>
          <w:sz w:val="24"/>
          <w:szCs w:val="24"/>
          <w:lang w:eastAsia="en-US"/>
        </w:rPr>
        <w:t xml:space="preserve"> et </w:t>
      </w:r>
      <w:r w:rsidR="00DE2CE2" w:rsidRPr="00CA391D">
        <w:rPr>
          <w:rFonts w:asciiTheme="minorHAnsi" w:eastAsiaTheme="minorHAnsi" w:hAnsiTheme="minorHAnsi" w:cstheme="minorBidi"/>
          <w:sz w:val="24"/>
          <w:szCs w:val="24"/>
          <w:lang w:eastAsia="en-US"/>
        </w:rPr>
        <w:t>complementinfotaux)</w:t>
      </w:r>
    </w:p>
    <w:p w14:paraId="4C391CA6" w14:textId="77777777" w:rsidR="00222983"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58F9DD1C" w14:textId="4934D201" w:rsidR="00222983" w:rsidRPr="00222983" w:rsidRDefault="00222983" w:rsidP="00222983">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i/>
          <w:sz w:val="24"/>
          <w:szCs w:val="24"/>
          <w:lang w:eastAsia="en-US"/>
        </w:rPr>
      </w:pPr>
      <w:r w:rsidRPr="00222983">
        <w:rPr>
          <w:rFonts w:asciiTheme="minorHAnsi" w:eastAsiaTheme="minorHAnsi" w:hAnsiTheme="minorHAnsi" w:cstheme="minorBidi"/>
          <w:i/>
          <w:sz w:val="24"/>
          <w:szCs w:val="24"/>
          <w:lang w:eastAsia="en-US"/>
        </w:rPr>
        <w:t>** : Les données diffusées sont limitées aux communes pour lesquelles plus de 5 faits ont été enregistrés pendant 3 années successives. Cette précaution est motivée</w:t>
      </w:r>
      <w:r w:rsidR="00E0536C">
        <w:rPr>
          <w:rFonts w:asciiTheme="minorHAnsi" w:eastAsiaTheme="minorHAnsi" w:hAnsiTheme="minorHAnsi" w:cstheme="minorBidi"/>
          <w:i/>
          <w:sz w:val="24"/>
          <w:szCs w:val="24"/>
          <w:lang w:eastAsia="en-US"/>
        </w:rPr>
        <w:t xml:space="preserve"> : d’une part par la fragilité des estimations sur des communes qui enregistrent peu de faits de délinquance (Interstats Analyse n°44, mars 2022), d’autre part par </w:t>
      </w:r>
      <w:r w:rsidRPr="00222983">
        <w:rPr>
          <w:rFonts w:asciiTheme="minorHAnsi" w:eastAsiaTheme="minorHAnsi" w:hAnsiTheme="minorHAnsi" w:cstheme="minorBidi"/>
          <w:i/>
          <w:sz w:val="24"/>
          <w:szCs w:val="24"/>
          <w:lang w:eastAsia="en-US"/>
        </w:rPr>
        <w:t xml:space="preserve">le secret statistique qui ne doit pas permettre, par le croisement de multiples sources, de déduire des informations individuelles sur les personnes concernées dans ces procédures. Cette précaution doit </w:t>
      </w:r>
      <w:r w:rsidR="00E0536C">
        <w:rPr>
          <w:rFonts w:asciiTheme="minorHAnsi" w:eastAsiaTheme="minorHAnsi" w:hAnsiTheme="minorHAnsi" w:cstheme="minorBidi"/>
          <w:i/>
          <w:sz w:val="24"/>
          <w:szCs w:val="24"/>
          <w:lang w:eastAsia="en-US"/>
        </w:rPr>
        <w:t xml:space="preserve">notamment </w:t>
      </w:r>
      <w:r w:rsidRPr="00222983">
        <w:rPr>
          <w:rFonts w:asciiTheme="minorHAnsi" w:eastAsiaTheme="minorHAnsi" w:hAnsiTheme="minorHAnsi" w:cstheme="minorBidi"/>
          <w:i/>
          <w:sz w:val="24"/>
          <w:szCs w:val="24"/>
          <w:lang w:eastAsia="en-US"/>
        </w:rPr>
        <w:t>être appréciée au regard de la sensibilité de certaines atteintes</w:t>
      </w:r>
      <w:r w:rsidR="00E0536C">
        <w:rPr>
          <w:rFonts w:asciiTheme="minorHAnsi" w:eastAsiaTheme="minorHAnsi" w:hAnsiTheme="minorHAnsi" w:cstheme="minorBidi"/>
          <w:i/>
          <w:sz w:val="24"/>
          <w:szCs w:val="24"/>
          <w:lang w:eastAsia="en-US"/>
        </w:rPr>
        <w:t xml:space="preserve"> comme les </w:t>
      </w:r>
      <w:r w:rsidRPr="00222983">
        <w:rPr>
          <w:rFonts w:asciiTheme="minorHAnsi" w:eastAsiaTheme="minorHAnsi" w:hAnsiTheme="minorHAnsi" w:cstheme="minorBidi"/>
          <w:i/>
          <w:sz w:val="24"/>
          <w:szCs w:val="24"/>
          <w:lang w:eastAsia="en-US"/>
        </w:rPr>
        <w:t xml:space="preserve">violences sexuelles. La base de données diffusée fournit </w:t>
      </w:r>
      <w:r w:rsidR="00E0536C">
        <w:rPr>
          <w:rFonts w:asciiTheme="minorHAnsi" w:eastAsiaTheme="minorHAnsi" w:hAnsiTheme="minorHAnsi" w:cstheme="minorBidi"/>
          <w:i/>
          <w:sz w:val="24"/>
          <w:szCs w:val="24"/>
          <w:lang w:eastAsia="en-US"/>
        </w:rPr>
        <w:t>également l'</w:t>
      </w:r>
      <w:r w:rsidRPr="00222983">
        <w:rPr>
          <w:rFonts w:asciiTheme="minorHAnsi" w:eastAsiaTheme="minorHAnsi" w:hAnsiTheme="minorHAnsi" w:cstheme="minorBidi"/>
          <w:i/>
          <w:sz w:val="24"/>
          <w:szCs w:val="24"/>
          <w:lang w:eastAsia="en-US"/>
        </w:rPr>
        <w:t>information sur l'absence de faits enregistrés lorsqu’elle se rep</w:t>
      </w:r>
      <w:r w:rsidR="00E0536C">
        <w:rPr>
          <w:rFonts w:asciiTheme="minorHAnsi" w:eastAsiaTheme="minorHAnsi" w:hAnsiTheme="minorHAnsi" w:cstheme="minorBidi"/>
          <w:i/>
          <w:sz w:val="24"/>
          <w:szCs w:val="24"/>
          <w:lang w:eastAsia="en-US"/>
        </w:rPr>
        <w:t>roduit sur 3 années successives.</w:t>
      </w:r>
      <w:r w:rsidR="008954DA">
        <w:rPr>
          <w:rFonts w:asciiTheme="minorHAnsi" w:eastAsiaTheme="minorHAnsi" w:hAnsiTheme="minorHAnsi" w:cstheme="minorBidi"/>
          <w:i/>
          <w:sz w:val="24"/>
          <w:szCs w:val="24"/>
          <w:lang w:eastAsia="en-US"/>
        </w:rPr>
        <w:t xml:space="preserve"> N’ayant pas les données de délinquance ventilées par lieu de commission en 2014 et en 2015, les données communales de 2016 et de 2017 sont diffusées si les critères de diffusion pour l’année 2018 sont vérifiés.</w:t>
      </w:r>
    </w:p>
    <w:p w14:paraId="460CD8E2" w14:textId="12FEEDEA" w:rsidR="00222983" w:rsidRPr="00CA391D" w:rsidRDefault="00222983" w:rsidP="00CA391D">
      <w:pPr>
        <w:pStyle w:val="PrformatHTML"/>
        <w:pBdr>
          <w:top w:val="single" w:sz="4" w:space="1" w:color="auto"/>
          <w:left w:val="single" w:sz="4" w:space="4" w:color="auto"/>
          <w:bottom w:val="single" w:sz="4" w:space="1" w:color="auto"/>
          <w:right w:val="single" w:sz="4" w:space="4" w:color="auto"/>
        </w:pBdr>
        <w:rPr>
          <w:rFonts w:asciiTheme="minorHAnsi" w:eastAsiaTheme="minorHAnsi" w:hAnsiTheme="minorHAnsi" w:cstheme="minorBidi"/>
          <w:sz w:val="24"/>
          <w:szCs w:val="24"/>
          <w:lang w:eastAsia="en-US"/>
        </w:rPr>
      </w:pPr>
    </w:p>
    <w:p w14:paraId="24F30D2A" w14:textId="77777777" w:rsidR="00DE2CE2" w:rsidRDefault="00DE2CE2" w:rsidP="006E4B75">
      <w:pPr>
        <w:pStyle w:val="PrformatHTML"/>
        <w:rPr>
          <w:rFonts w:asciiTheme="minorHAnsi" w:eastAsiaTheme="minorHAnsi" w:hAnsiTheme="minorHAnsi" w:cstheme="minorBidi"/>
          <w:sz w:val="24"/>
          <w:szCs w:val="24"/>
          <w:lang w:eastAsia="en-US"/>
        </w:rPr>
      </w:pPr>
    </w:p>
    <w:p w14:paraId="028614BB" w14:textId="77777777" w:rsidR="006E4B75" w:rsidRDefault="006E4B75" w:rsidP="003014B0">
      <w:pPr>
        <w:pStyle w:val="NormalWeb"/>
        <w:spacing w:before="0" w:beforeAutospacing="0" w:after="0" w:afterAutospacing="0"/>
        <w:rPr>
          <w:rFonts w:asciiTheme="minorHAnsi" w:eastAsiaTheme="minorHAnsi" w:hAnsiTheme="minorHAnsi" w:cstheme="minorBidi"/>
          <w:lang w:eastAsia="en-US"/>
        </w:rPr>
      </w:pPr>
    </w:p>
    <w:p w14:paraId="6991FE3C" w14:textId="78E20A03" w:rsidR="00376A82" w:rsidRDefault="00376A82" w:rsidP="003014B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En sus de</w:t>
      </w:r>
      <w:r w:rsidR="00A32AB1">
        <w:rPr>
          <w:rFonts w:asciiTheme="minorHAnsi" w:eastAsiaTheme="minorHAnsi" w:hAnsiTheme="minorHAnsi" w:cstheme="minorBidi"/>
          <w:lang w:eastAsia="en-US"/>
        </w:rPr>
        <w:t xml:space="preserve"> ces principales variables</w:t>
      </w:r>
      <w:r>
        <w:rPr>
          <w:rFonts w:asciiTheme="minorHAnsi" w:eastAsiaTheme="minorHAnsi" w:hAnsiTheme="minorHAnsi" w:cstheme="minorBidi"/>
          <w:lang w:eastAsia="en-US"/>
        </w:rPr>
        <w:t>, la base communale comporte des données informatives relatives à chaque commune</w:t>
      </w:r>
      <w:r w:rsidR="00DE2CE2">
        <w:rPr>
          <w:rFonts w:asciiTheme="minorHAnsi" w:eastAsiaTheme="minorHAnsi" w:hAnsiTheme="minorHAnsi" w:cstheme="minorBidi"/>
          <w:lang w:eastAsia="en-US"/>
        </w:rPr>
        <w:t xml:space="preserve">. Ces données sont principalement issues de la </w:t>
      </w:r>
      <w:r w:rsidR="00DE2CE2">
        <w:rPr>
          <w:rFonts w:asciiTheme="minorHAnsi" w:eastAsiaTheme="minorHAnsi" w:hAnsiTheme="minorHAnsi" w:cstheme="minorBidi"/>
          <w:i/>
          <w:lang w:eastAsia="en-US"/>
        </w:rPr>
        <w:t xml:space="preserve">table d’appartenance géographique des communes </w:t>
      </w:r>
      <w:r w:rsidR="00DE2CE2">
        <w:rPr>
          <w:rFonts w:asciiTheme="minorHAnsi" w:eastAsiaTheme="minorHAnsi" w:hAnsiTheme="minorHAnsi" w:cstheme="minorBidi"/>
          <w:lang w:eastAsia="en-US"/>
        </w:rPr>
        <w:t>produite par l’Insee</w:t>
      </w:r>
      <w:r w:rsidR="00DE2CE2">
        <w:rPr>
          <w:rStyle w:val="Appelnotedebasdep"/>
          <w:rFonts w:asciiTheme="minorHAnsi" w:eastAsiaTheme="minorHAnsi" w:hAnsiTheme="minorHAnsi" w:cstheme="minorBidi"/>
          <w:lang w:eastAsia="en-US"/>
        </w:rPr>
        <w:footnoteReference w:id="1"/>
      </w:r>
      <w:r>
        <w:rPr>
          <w:rFonts w:asciiTheme="minorHAnsi" w:eastAsiaTheme="minorHAnsi" w:hAnsiTheme="minorHAnsi" w:cstheme="minorBidi"/>
          <w:lang w:eastAsia="en-US"/>
        </w:rPr>
        <w:t> :</w:t>
      </w:r>
    </w:p>
    <w:p w14:paraId="35955FCD" w14:textId="056E19C3" w:rsidR="00376A82" w:rsidRDefault="00376A82" w:rsidP="00376A82">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le libellé de la commune</w:t>
      </w:r>
      <w:r w:rsidR="0059136F">
        <w:rPr>
          <w:rFonts w:asciiTheme="minorHAnsi" w:eastAsiaTheme="minorHAnsi" w:hAnsiTheme="minorHAnsi" w:cstheme="minorBidi"/>
          <w:lang w:eastAsia="en-US"/>
        </w:rPr>
        <w:t xml:space="preserve"> (</w:t>
      </w:r>
      <w:r w:rsidR="003D26D4">
        <w:rPr>
          <w:rFonts w:asciiTheme="minorHAnsi" w:eastAsiaTheme="minorHAnsi" w:hAnsiTheme="minorHAnsi" w:cstheme="minorBidi"/>
          <w:lang w:eastAsia="en-US"/>
        </w:rPr>
        <w:t>Nom.de.la.commune</w:t>
      </w:r>
      <w:r w:rsidR="0059136F">
        <w:rPr>
          <w:rFonts w:asciiTheme="minorHAnsi" w:eastAsiaTheme="minorHAnsi" w:hAnsiTheme="minorHAnsi" w:cstheme="minorBidi"/>
          <w:lang w:eastAsia="en-US"/>
        </w:rPr>
        <w:t>)</w:t>
      </w:r>
    </w:p>
    <w:p w14:paraId="1CFC47E6" w14:textId="63B5A3F1" w:rsidR="00376A82" w:rsidRDefault="00376A82" w:rsidP="00376A82">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le code officiel géographique du département</w:t>
      </w:r>
      <w:r w:rsidR="0059136F">
        <w:rPr>
          <w:rFonts w:asciiTheme="minorHAnsi" w:eastAsiaTheme="minorHAnsi" w:hAnsiTheme="minorHAnsi" w:cstheme="minorBidi"/>
          <w:lang w:eastAsia="en-US"/>
        </w:rPr>
        <w:t xml:space="preserve"> (</w:t>
      </w:r>
      <w:r w:rsidR="003D26D4">
        <w:rPr>
          <w:rFonts w:asciiTheme="minorHAnsi" w:eastAsiaTheme="minorHAnsi" w:hAnsiTheme="minorHAnsi" w:cstheme="minorBidi"/>
          <w:lang w:eastAsia="en-US"/>
        </w:rPr>
        <w:t>Code.département</w:t>
      </w:r>
      <w:r w:rsidR="0059136F">
        <w:rPr>
          <w:rFonts w:asciiTheme="minorHAnsi" w:eastAsiaTheme="minorHAnsi" w:hAnsiTheme="minorHAnsi" w:cstheme="minorBidi"/>
          <w:lang w:eastAsia="en-US"/>
        </w:rPr>
        <w:t>)</w:t>
      </w:r>
    </w:p>
    <w:p w14:paraId="0A7554C1" w14:textId="4A5F4D8F" w:rsidR="00376A82" w:rsidRDefault="00376A82" w:rsidP="00376A82">
      <w:pPr>
        <w:pStyle w:val="NormalWeb"/>
        <w:spacing w:before="0" w:beforeAutospacing="0" w:after="0" w:afterAutospacing="0"/>
        <w:rPr>
          <w:rFonts w:asciiTheme="minorHAnsi" w:eastAsiaTheme="minorHAnsi" w:hAnsiTheme="minorHAnsi" w:cstheme="minorBidi"/>
          <w:lang w:eastAsia="en-US"/>
        </w:rPr>
      </w:pPr>
      <w:r w:rsidRPr="00376A82">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le code officiel géographique de la région </w:t>
      </w:r>
      <w:r w:rsidR="0059136F">
        <w:rPr>
          <w:rFonts w:asciiTheme="minorHAnsi" w:eastAsiaTheme="minorHAnsi" w:hAnsiTheme="minorHAnsi" w:cstheme="minorBidi"/>
          <w:lang w:eastAsia="en-US"/>
        </w:rPr>
        <w:t>(</w:t>
      </w:r>
      <w:r w:rsidR="003D26D4">
        <w:rPr>
          <w:rFonts w:asciiTheme="minorHAnsi" w:eastAsiaTheme="minorHAnsi" w:hAnsiTheme="minorHAnsi" w:cstheme="minorBidi"/>
          <w:lang w:eastAsia="en-US"/>
        </w:rPr>
        <w:t>Code.région</w:t>
      </w:r>
      <w:r w:rsidR="0059136F">
        <w:rPr>
          <w:rFonts w:asciiTheme="minorHAnsi" w:eastAsiaTheme="minorHAnsi" w:hAnsiTheme="minorHAnsi" w:cstheme="minorBidi"/>
          <w:lang w:eastAsia="en-US"/>
        </w:rPr>
        <w:t>)</w:t>
      </w:r>
    </w:p>
    <w:p w14:paraId="524119EC" w14:textId="452F4E33" w:rsidR="00376A82" w:rsidRDefault="00376A82" w:rsidP="00376A82">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le libellé de la région</w:t>
      </w:r>
      <w:r w:rsidR="0059136F">
        <w:rPr>
          <w:rFonts w:asciiTheme="minorHAnsi" w:eastAsiaTheme="minorHAnsi" w:hAnsiTheme="minorHAnsi" w:cstheme="minorBidi"/>
          <w:lang w:eastAsia="en-US"/>
        </w:rPr>
        <w:t xml:space="preserve"> (</w:t>
      </w:r>
      <w:r w:rsidR="003D26D4">
        <w:rPr>
          <w:rFonts w:asciiTheme="minorHAnsi" w:eastAsiaTheme="minorHAnsi" w:hAnsiTheme="minorHAnsi" w:cstheme="minorBidi"/>
          <w:lang w:eastAsia="en-US"/>
        </w:rPr>
        <w:t>Nom.de.la.région</w:t>
      </w:r>
      <w:r w:rsidR="0059136F">
        <w:rPr>
          <w:rFonts w:asciiTheme="minorHAnsi" w:eastAsiaTheme="minorHAnsi" w:hAnsiTheme="minorHAnsi" w:cstheme="minorBidi"/>
          <w:lang w:eastAsia="en-US"/>
        </w:rPr>
        <w:t>)</w:t>
      </w:r>
    </w:p>
    <w:p w14:paraId="7108B04A" w14:textId="5B3C78A4" w:rsidR="002069B6" w:rsidRDefault="0059136F"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le code </w:t>
      </w:r>
      <w:r w:rsidRPr="0059136F">
        <w:rPr>
          <w:rFonts w:asciiTheme="minorHAnsi" w:eastAsiaTheme="minorHAnsi" w:hAnsiTheme="minorHAnsi" w:cstheme="minorBidi"/>
          <w:sz w:val="24"/>
          <w:szCs w:val="24"/>
          <w:lang w:eastAsia="en-US"/>
        </w:rPr>
        <w:t>de l’établissement public de coopération intercommunale (EPCI)</w:t>
      </w:r>
      <w:r w:rsidR="009E2A29">
        <w:rPr>
          <w:rFonts w:asciiTheme="minorHAnsi" w:eastAsiaTheme="minorHAnsi" w:hAnsiTheme="minorHAnsi" w:cstheme="minorBidi"/>
          <w:sz w:val="24"/>
          <w:szCs w:val="24"/>
          <w:lang w:eastAsia="en-US"/>
        </w:rPr>
        <w:t xml:space="preserve"> </w:t>
      </w:r>
      <w:r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Code.EPCI</w:t>
      </w:r>
      <w:r w:rsidR="0080375A" w:rsidRPr="0059136F">
        <w:rPr>
          <w:rFonts w:asciiTheme="minorHAnsi" w:eastAsiaTheme="minorHAnsi" w:hAnsiTheme="minorHAnsi" w:cstheme="minorBidi"/>
          <w:sz w:val="24"/>
          <w:szCs w:val="24"/>
          <w:lang w:eastAsia="en-US"/>
        </w:rPr>
        <w:t>)</w:t>
      </w:r>
    </w:p>
    <w:p w14:paraId="2990DB7E" w14:textId="39ED2350" w:rsidR="0080375A" w:rsidRDefault="0059136F"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w:t>
      </w:r>
      <w:r w:rsidR="008B0695">
        <w:rPr>
          <w:rFonts w:asciiTheme="minorHAnsi" w:eastAsiaTheme="minorHAnsi" w:hAnsiTheme="minorHAnsi" w:cstheme="minorBidi"/>
          <w:sz w:val="24"/>
          <w:szCs w:val="24"/>
          <w:lang w:eastAsia="en-US"/>
        </w:rPr>
        <w:t xml:space="preserve"> la nature </w:t>
      </w:r>
      <w:r w:rsidR="008B0695" w:rsidRPr="0059136F">
        <w:rPr>
          <w:rFonts w:asciiTheme="minorHAnsi" w:eastAsiaTheme="minorHAnsi" w:hAnsiTheme="minorHAnsi" w:cstheme="minorBidi"/>
          <w:sz w:val="24"/>
          <w:szCs w:val="24"/>
          <w:lang w:eastAsia="en-US"/>
        </w:rPr>
        <w:t xml:space="preserve">de </w:t>
      </w:r>
      <w:r w:rsidR="008B0695">
        <w:rPr>
          <w:rFonts w:asciiTheme="minorHAnsi" w:eastAsiaTheme="minorHAnsi" w:hAnsiTheme="minorHAnsi" w:cstheme="minorBidi"/>
          <w:sz w:val="24"/>
          <w:szCs w:val="24"/>
          <w:lang w:eastAsia="en-US"/>
        </w:rPr>
        <w:t>l’</w:t>
      </w:r>
      <w:r w:rsidR="008B0695" w:rsidRPr="0059136F">
        <w:rPr>
          <w:rFonts w:asciiTheme="minorHAnsi" w:eastAsiaTheme="minorHAnsi" w:hAnsiTheme="minorHAnsi" w:cstheme="minorBidi"/>
          <w:sz w:val="24"/>
          <w:szCs w:val="24"/>
          <w:lang w:eastAsia="en-US"/>
        </w:rPr>
        <w:t>EPCI</w:t>
      </w:r>
      <w:r w:rsidR="008B0695">
        <w:rPr>
          <w:rFonts w:asciiTheme="minorHAnsi" w:eastAsiaTheme="minorHAnsi" w:hAnsiTheme="minorHAnsi" w:cstheme="minorBidi"/>
          <w:sz w:val="24"/>
          <w:szCs w:val="24"/>
          <w:lang w:eastAsia="en-US"/>
        </w:rPr>
        <w:t xml:space="preserve"> (</w:t>
      </w:r>
      <w:r w:rsidR="008B0695" w:rsidRPr="008B0695">
        <w:rPr>
          <w:rFonts w:asciiTheme="minorHAnsi" w:eastAsiaTheme="minorHAnsi" w:hAnsiTheme="minorHAnsi" w:cstheme="minorBidi"/>
          <w:sz w:val="24"/>
          <w:szCs w:val="24"/>
          <w:lang w:eastAsia="en-US"/>
        </w:rPr>
        <w:t>communautés urbaines, communautés d'agglomération, communautés de communes,…)</w:t>
      </w:r>
      <w:r w:rsidR="008B0695">
        <w:rPr>
          <w:rFonts w:asciiTheme="minorHAnsi" w:eastAsiaTheme="minorHAnsi" w:hAnsiTheme="minorHAnsi" w:cstheme="minorBidi"/>
          <w:sz w:val="24"/>
          <w:szCs w:val="24"/>
          <w:lang w:eastAsia="en-US"/>
        </w:rPr>
        <w:t xml:space="preserve"> </w:t>
      </w:r>
      <w:r w:rsidR="008B0695" w:rsidRPr="0059136F">
        <w:rPr>
          <w:rFonts w:asciiTheme="minorHAnsi" w:eastAsiaTheme="minorHAnsi" w:hAnsiTheme="minorHAnsi" w:cstheme="minorBidi"/>
          <w:sz w:val="24"/>
          <w:szCs w:val="24"/>
          <w:lang w:eastAsia="en-US"/>
        </w:rPr>
        <w:t>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Nature.EPCI</w:t>
      </w:r>
      <w:r w:rsidR="0080375A" w:rsidRPr="0059136F">
        <w:rPr>
          <w:rFonts w:asciiTheme="minorHAnsi" w:eastAsiaTheme="minorHAnsi" w:hAnsiTheme="minorHAnsi" w:cstheme="minorBidi"/>
          <w:sz w:val="24"/>
          <w:szCs w:val="24"/>
          <w:lang w:eastAsia="en-US"/>
        </w:rPr>
        <w:t>)</w:t>
      </w:r>
    </w:p>
    <w:p w14:paraId="5F9A99F8" w14:textId="432BEF98" w:rsidR="008B0695" w:rsidRDefault="008B0695" w:rsidP="008B0695">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l’arrondissement</w:t>
      </w:r>
      <w:r w:rsidR="001209ED">
        <w:rPr>
          <w:rFonts w:asciiTheme="minorHAnsi" w:eastAsiaTheme="minorHAnsi" w:hAnsiTheme="minorHAnsi" w:cstheme="minorBidi"/>
          <w:sz w:val="24"/>
          <w:szCs w:val="24"/>
          <w:lang w:eastAsia="en-US"/>
        </w:rPr>
        <w:t xml:space="preserve"> (subdivision départementale dont le chef-lieu est une sous-préfecture) </w:t>
      </w:r>
      <w:r w:rsidR="00947E5F"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Code.arrondissement</w:t>
      </w:r>
      <w:r w:rsidR="00947E5F" w:rsidRPr="0059136F">
        <w:rPr>
          <w:rFonts w:asciiTheme="minorHAnsi" w:eastAsiaTheme="minorHAnsi" w:hAnsiTheme="minorHAnsi" w:cstheme="minorBidi"/>
          <w:sz w:val="24"/>
          <w:szCs w:val="24"/>
          <w:lang w:eastAsia="en-US"/>
        </w:rPr>
        <w:t>)</w:t>
      </w:r>
    </w:p>
    <w:p w14:paraId="5ACDE37D" w14:textId="524DFD53" w:rsidR="00237E30" w:rsidRDefault="00237E30" w:rsidP="008B0695">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400364">
        <w:rPr>
          <w:rFonts w:asciiTheme="minorHAnsi" w:eastAsiaTheme="minorHAnsi" w:hAnsiTheme="minorHAnsi" w:cstheme="minorBidi"/>
          <w:sz w:val="24"/>
          <w:szCs w:val="24"/>
          <w:lang w:eastAsia="en-US"/>
        </w:rPr>
        <w:t>le canton</w:t>
      </w:r>
      <w:r w:rsidR="001209ED">
        <w:rPr>
          <w:rFonts w:asciiTheme="minorHAnsi" w:eastAsiaTheme="minorHAnsi" w:hAnsiTheme="minorHAnsi" w:cstheme="minorBidi"/>
          <w:sz w:val="24"/>
          <w:szCs w:val="24"/>
          <w:lang w:eastAsia="en-US"/>
        </w:rPr>
        <w:t xml:space="preserve"> (NB : l</w:t>
      </w:r>
      <w:r w:rsidR="001209ED" w:rsidRPr="001209ED">
        <w:rPr>
          <w:rFonts w:asciiTheme="minorHAnsi" w:eastAsiaTheme="minorHAnsi" w:hAnsiTheme="minorHAnsi" w:cstheme="minorBidi"/>
          <w:sz w:val="24"/>
          <w:szCs w:val="24"/>
          <w:lang w:eastAsia="en-US"/>
        </w:rPr>
        <w:t>es cantons ne respectent pas toujours les limites communales : ils peuvent être à cheval sur plusieurs communes ou être incl</w:t>
      </w:r>
      <w:r w:rsidR="001209ED">
        <w:rPr>
          <w:rFonts w:asciiTheme="minorHAnsi" w:eastAsiaTheme="minorHAnsi" w:hAnsiTheme="minorHAnsi" w:cstheme="minorBidi"/>
          <w:sz w:val="24"/>
          <w:szCs w:val="24"/>
          <w:lang w:eastAsia="en-US"/>
        </w:rPr>
        <w:t>us strictement dans une commune</w:t>
      </w:r>
      <w:r w:rsidR="003D26D4">
        <w:rPr>
          <w:rFonts w:asciiTheme="minorHAnsi" w:eastAsiaTheme="minorHAnsi" w:hAnsiTheme="minorHAnsi" w:cstheme="minorBidi"/>
          <w:sz w:val="24"/>
          <w:szCs w:val="24"/>
          <w:lang w:eastAsia="en-US"/>
        </w:rPr>
        <w:t>, ce qui n’est pas pris en compte ici</w:t>
      </w:r>
      <w:r w:rsidR="001209ED">
        <w:rPr>
          <w:rFonts w:asciiTheme="minorHAnsi" w:eastAsiaTheme="minorHAnsi" w:hAnsiTheme="minorHAnsi" w:cstheme="minorBidi"/>
          <w:sz w:val="24"/>
          <w:szCs w:val="24"/>
          <w:lang w:eastAsia="en-US"/>
        </w:rPr>
        <w:t>)</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Code.canton</w:t>
      </w:r>
      <w:r w:rsidR="00947E5F" w:rsidRPr="0059136F">
        <w:rPr>
          <w:rFonts w:asciiTheme="minorHAnsi" w:eastAsiaTheme="minorHAnsi" w:hAnsiTheme="minorHAnsi" w:cstheme="minorBidi"/>
          <w:sz w:val="24"/>
          <w:szCs w:val="24"/>
          <w:lang w:eastAsia="en-US"/>
        </w:rPr>
        <w:t>)</w:t>
      </w:r>
    </w:p>
    <w:p w14:paraId="6E1E4B2D" w14:textId="7864BEE5" w:rsidR="00237E30" w:rsidRDefault="00237E30" w:rsidP="008B0695">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le code de </w:t>
      </w:r>
      <w:r w:rsidR="00400364">
        <w:rPr>
          <w:rFonts w:asciiTheme="minorHAnsi" w:eastAsiaTheme="minorHAnsi" w:hAnsiTheme="minorHAnsi" w:cstheme="minorBidi"/>
          <w:sz w:val="24"/>
          <w:szCs w:val="24"/>
          <w:lang w:eastAsia="en-US"/>
        </w:rPr>
        <w:t>la zone d’emploi</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 xml:space="preserve">à laquelle appartient la commue </w:t>
      </w:r>
      <w:r w:rsidR="00A32AB1">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ZE2020</w:t>
      </w:r>
      <w:r w:rsidR="00947E5F" w:rsidRPr="0059136F">
        <w:rPr>
          <w:rFonts w:asciiTheme="minorHAnsi" w:eastAsiaTheme="minorHAnsi" w:hAnsiTheme="minorHAnsi" w:cstheme="minorBidi"/>
          <w:sz w:val="24"/>
          <w:szCs w:val="24"/>
          <w:lang w:eastAsia="en-US"/>
        </w:rPr>
        <w:t>)</w:t>
      </w:r>
    </w:p>
    <w:p w14:paraId="225177CF" w14:textId="688ECE2C" w:rsidR="0080375A" w:rsidRDefault="0083401B"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le code de l’unité urbaine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UU2020</w:t>
      </w:r>
      <w:r w:rsidR="0080375A" w:rsidRPr="0059136F">
        <w:rPr>
          <w:rFonts w:asciiTheme="minorHAnsi" w:eastAsiaTheme="minorHAnsi" w:hAnsiTheme="minorHAnsi" w:cstheme="minorBidi"/>
          <w:sz w:val="24"/>
          <w:szCs w:val="24"/>
          <w:lang w:eastAsia="en-US"/>
        </w:rPr>
        <w:t>)</w:t>
      </w:r>
    </w:p>
    <w:p w14:paraId="5812DB0B" w14:textId="49885A68" w:rsidR="0080375A" w:rsidRDefault="00880790"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l’intitulé de l’unité urbaine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Nom.UU2020</w:t>
      </w:r>
      <w:r w:rsidR="0080375A" w:rsidRPr="0059136F">
        <w:rPr>
          <w:rFonts w:asciiTheme="minorHAnsi" w:eastAsiaTheme="minorHAnsi" w:hAnsiTheme="minorHAnsi" w:cstheme="minorBidi"/>
          <w:sz w:val="24"/>
          <w:szCs w:val="24"/>
          <w:lang w:eastAsia="en-US"/>
        </w:rPr>
        <w:t>)</w:t>
      </w:r>
    </w:p>
    <w:p w14:paraId="0F6E8668" w14:textId="5C82F8AA" w:rsidR="0080375A" w:rsidRDefault="0083401B"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w:t>
      </w:r>
      <w:r w:rsidR="0082745C">
        <w:rPr>
          <w:rFonts w:asciiTheme="minorHAnsi" w:eastAsiaTheme="minorHAnsi" w:hAnsiTheme="minorHAnsi" w:cstheme="minorBidi"/>
          <w:sz w:val="24"/>
          <w:szCs w:val="24"/>
          <w:lang w:eastAsia="en-US"/>
        </w:rPr>
        <w:t>’</w:t>
      </w:r>
      <w:r>
        <w:rPr>
          <w:rFonts w:asciiTheme="minorHAnsi" w:eastAsiaTheme="minorHAnsi" w:hAnsiTheme="minorHAnsi" w:cstheme="minorBidi"/>
          <w:sz w:val="24"/>
          <w:szCs w:val="24"/>
          <w:lang w:eastAsia="en-US"/>
        </w:rPr>
        <w:t>unité urbaine</w:t>
      </w:r>
      <w:r w:rsidR="002069B6">
        <w:rPr>
          <w:rFonts w:asciiTheme="minorHAnsi" w:eastAsiaTheme="minorHAnsi" w:hAnsiTheme="minorHAnsi" w:cstheme="minorBidi"/>
          <w:sz w:val="24"/>
          <w:szCs w:val="24"/>
          <w:lang w:eastAsia="en-US"/>
        </w:rPr>
        <w:t> :</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classification des unités urbaines en fonction de leur population</w:t>
      </w:r>
      <w:r w:rsidR="00880790">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en </w:t>
      </w:r>
      <w:r w:rsidR="001209ED">
        <w:rPr>
          <w:rFonts w:asciiTheme="minorHAnsi" w:eastAsiaTheme="minorHAnsi" w:hAnsiTheme="minorHAnsi" w:cstheme="minorBidi"/>
          <w:sz w:val="24"/>
          <w:szCs w:val="24"/>
          <w:lang w:eastAsia="en-US"/>
        </w:rPr>
        <w:t>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sidRPr="00CA391D">
        <w:rPr>
          <w:rFonts w:asciiTheme="minorHAnsi" w:eastAsiaTheme="minorHAnsi" w:hAnsiTheme="minorHAnsi" w:cstheme="minorBidi"/>
          <w:sz w:val="24"/>
          <w:szCs w:val="24"/>
          <w:lang w:eastAsia="en-US"/>
        </w:rPr>
        <w:t>TUU2017</w:t>
      </w:r>
      <w:r w:rsidR="0080375A" w:rsidRPr="0059136F">
        <w:rPr>
          <w:rFonts w:asciiTheme="minorHAnsi" w:eastAsiaTheme="minorHAnsi" w:hAnsiTheme="minorHAnsi" w:cstheme="minorBidi"/>
          <w:sz w:val="24"/>
          <w:szCs w:val="24"/>
          <w:lang w:eastAsia="en-US"/>
        </w:rPr>
        <w:t>)</w:t>
      </w:r>
    </w:p>
    <w:p w14:paraId="1E26FED4" w14:textId="13064C5E" w:rsidR="0080375A" w:rsidRDefault="0083401B"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d’unité urbaine (</w:t>
      </w:r>
      <w:r w:rsidR="002069B6">
        <w:rPr>
          <w:rFonts w:asciiTheme="minorHAnsi" w:eastAsiaTheme="minorHAnsi" w:hAnsiTheme="minorHAnsi" w:cstheme="minorBidi"/>
          <w:sz w:val="24"/>
          <w:szCs w:val="24"/>
          <w:lang w:eastAsia="en-US"/>
        </w:rPr>
        <w:t xml:space="preserve">découpage plus fin </w:t>
      </w:r>
      <w:r>
        <w:rPr>
          <w:rFonts w:asciiTheme="minorHAnsi" w:eastAsiaTheme="minorHAnsi" w:hAnsiTheme="minorHAnsi" w:cstheme="minorBidi"/>
          <w:sz w:val="24"/>
          <w:szCs w:val="24"/>
          <w:lang w:eastAsia="en-US"/>
        </w:rPr>
        <w:t xml:space="preserve">que la tranche d’unité urbaine) </w:t>
      </w:r>
      <w:r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TDUU2017</w:t>
      </w:r>
      <w:r w:rsidR="0080375A" w:rsidRPr="0059136F">
        <w:rPr>
          <w:rFonts w:asciiTheme="minorHAnsi" w:eastAsiaTheme="minorHAnsi" w:hAnsiTheme="minorHAnsi" w:cstheme="minorBidi"/>
          <w:sz w:val="24"/>
          <w:szCs w:val="24"/>
          <w:lang w:eastAsia="en-US"/>
        </w:rPr>
        <w:t>)</w:t>
      </w:r>
    </w:p>
    <w:p w14:paraId="4254B1D9" w14:textId="10E236F9" w:rsidR="0080375A" w:rsidRDefault="00880790"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le statut de la commune (hors unité urbaine, ville centre,…) </w:t>
      </w:r>
      <w:r w:rsidR="00F5079A">
        <w:rPr>
          <w:rFonts w:asciiTheme="minorHAnsi" w:eastAsiaTheme="minorHAnsi" w:hAnsiTheme="minorHAnsi" w:cstheme="minorBidi"/>
          <w:sz w:val="24"/>
          <w:szCs w:val="24"/>
          <w:lang w:eastAsia="en-US"/>
        </w:rPr>
        <w:t>au sein des unités urbaines</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F5079A">
        <w:rPr>
          <w:rFonts w:asciiTheme="minorHAnsi" w:eastAsiaTheme="minorHAnsi" w:hAnsiTheme="minorHAnsi" w:cstheme="minorBidi"/>
          <w:sz w:val="24"/>
          <w:szCs w:val="24"/>
          <w:lang w:eastAsia="en-US"/>
        </w:rPr>
        <w:t>UUSTATUT2017</w:t>
      </w:r>
      <w:r w:rsidR="0080375A" w:rsidRPr="0059136F">
        <w:rPr>
          <w:rFonts w:asciiTheme="minorHAnsi" w:eastAsiaTheme="minorHAnsi" w:hAnsiTheme="minorHAnsi" w:cstheme="minorBidi"/>
          <w:sz w:val="24"/>
          <w:szCs w:val="24"/>
          <w:lang w:eastAsia="en-US"/>
        </w:rPr>
        <w:t>)</w:t>
      </w:r>
    </w:p>
    <w:p w14:paraId="63009D4A" w14:textId="51639964" w:rsidR="0080375A" w:rsidRDefault="00880790"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-le code d’aire d’attractivité des villes auquel appartient la commune</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AAV2020</w:t>
      </w:r>
      <w:r w:rsidR="0080375A" w:rsidRPr="0059136F">
        <w:rPr>
          <w:rFonts w:asciiTheme="minorHAnsi" w:eastAsiaTheme="minorHAnsi" w:hAnsiTheme="minorHAnsi" w:cstheme="minorBidi"/>
          <w:sz w:val="24"/>
          <w:szCs w:val="24"/>
          <w:lang w:eastAsia="en-US"/>
        </w:rPr>
        <w:t>)</w:t>
      </w:r>
    </w:p>
    <w:p w14:paraId="55C49E83" w14:textId="408FE0D0" w:rsidR="0080375A" w:rsidRDefault="00880790"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d’aire d’attractivité des villes</w:t>
      </w:r>
      <w:r w:rsidR="002069B6">
        <w:rPr>
          <w:rFonts w:asciiTheme="minorHAnsi" w:eastAsiaTheme="minorHAnsi" w:hAnsiTheme="minorHAnsi" w:cstheme="minorBidi"/>
          <w:sz w:val="24"/>
          <w:szCs w:val="24"/>
          <w:lang w:eastAsia="en-US"/>
        </w:rPr>
        <w:t> : classification des aires d’attraction des villes en fonction de leur population en 2017</w:t>
      </w:r>
      <w:r w:rsidR="0080375A">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TAAV2017</w:t>
      </w:r>
      <w:r w:rsidR="0080375A" w:rsidRPr="0059136F">
        <w:rPr>
          <w:rFonts w:asciiTheme="minorHAnsi" w:eastAsiaTheme="minorHAnsi" w:hAnsiTheme="minorHAnsi" w:cstheme="minorBidi"/>
          <w:sz w:val="24"/>
          <w:szCs w:val="24"/>
          <w:lang w:eastAsia="en-US"/>
        </w:rPr>
        <w:t>)</w:t>
      </w:r>
    </w:p>
    <w:p w14:paraId="2B8A9F60" w14:textId="73D0B7D4" w:rsidR="00880790" w:rsidRDefault="00880790" w:rsidP="00880790">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la tranche détaillée d’aire d’attracti</w:t>
      </w:r>
      <w:r w:rsidR="002069B6">
        <w:rPr>
          <w:rFonts w:asciiTheme="minorHAnsi" w:eastAsiaTheme="minorHAnsi" w:hAnsiTheme="minorHAnsi" w:cstheme="minorBidi"/>
          <w:sz w:val="24"/>
          <w:szCs w:val="24"/>
          <w:lang w:eastAsia="en-US"/>
        </w:rPr>
        <w:t>on des villes</w:t>
      </w: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 xml:space="preserve">(découpage plus fin que la tranche d’aire d’attraction des villes) </w:t>
      </w:r>
      <w:r w:rsidR="002069B6" w:rsidRPr="0083401B">
        <w:rPr>
          <w:rFonts w:asciiTheme="minorHAnsi" w:eastAsiaTheme="minorHAnsi" w:hAnsiTheme="minorHAnsi" w:cstheme="minorBidi"/>
          <w:sz w:val="24"/>
          <w:szCs w:val="24"/>
          <w:lang w:eastAsia="en-US"/>
        </w:rPr>
        <w:t xml:space="preserve">à laquelle appartient la commune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TDAAV2017</w:t>
      </w:r>
      <w:r w:rsidR="0080375A" w:rsidRPr="0059136F">
        <w:rPr>
          <w:rFonts w:asciiTheme="minorHAnsi" w:eastAsiaTheme="minorHAnsi" w:hAnsiTheme="minorHAnsi" w:cstheme="minorBidi"/>
          <w:sz w:val="24"/>
          <w:szCs w:val="24"/>
          <w:lang w:eastAsia="en-US"/>
        </w:rPr>
        <w:t>)</w:t>
      </w:r>
    </w:p>
    <w:p w14:paraId="50C02EE0" w14:textId="522E2D48" w:rsidR="0080375A" w:rsidRDefault="00880790" w:rsidP="0080375A">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2069B6">
        <w:rPr>
          <w:rFonts w:asciiTheme="minorHAnsi" w:eastAsiaTheme="minorHAnsi" w:hAnsiTheme="minorHAnsi" w:cstheme="minorBidi"/>
          <w:sz w:val="24"/>
          <w:szCs w:val="24"/>
          <w:lang w:eastAsia="en-US"/>
        </w:rPr>
        <w:t>la c</w:t>
      </w:r>
      <w:r w:rsidR="002069B6" w:rsidRPr="002069B6">
        <w:rPr>
          <w:rFonts w:asciiTheme="minorHAnsi" w:eastAsiaTheme="minorHAnsi" w:hAnsiTheme="minorHAnsi" w:cstheme="minorBidi"/>
          <w:sz w:val="24"/>
          <w:szCs w:val="24"/>
          <w:lang w:eastAsia="en-US"/>
        </w:rPr>
        <w:t>atégorie de la commune dans le zonage en aire d'attraction des villes 2020</w:t>
      </w:r>
      <w:r w:rsidR="002069B6" w:rsidRPr="002069B6" w:rsidDel="002069B6">
        <w:rPr>
          <w:rFonts w:asciiTheme="minorHAnsi" w:eastAsiaTheme="minorHAnsi" w:hAnsiTheme="minorHAnsi" w:cstheme="minorBidi"/>
          <w:sz w:val="24"/>
          <w:szCs w:val="24"/>
          <w:lang w:eastAsia="en-US"/>
        </w:rPr>
        <w:t xml:space="preserve"> </w:t>
      </w:r>
      <w:r w:rsidRPr="00880790">
        <w:rPr>
          <w:rFonts w:asciiTheme="minorHAnsi" w:eastAsiaTheme="minorHAnsi" w:hAnsiTheme="minorHAnsi" w:cstheme="minorBidi"/>
          <w:sz w:val="24"/>
          <w:szCs w:val="24"/>
          <w:lang w:eastAsia="en-US"/>
        </w:rPr>
        <w:t>villes</w:t>
      </w:r>
      <w:r w:rsidR="00686967">
        <w:rPr>
          <w:rFonts w:asciiTheme="minorHAnsi" w:eastAsiaTheme="minorHAnsi" w:hAnsiTheme="minorHAnsi" w:cstheme="minorBidi"/>
          <w:sz w:val="24"/>
          <w:szCs w:val="24"/>
          <w:lang w:eastAsia="en-US"/>
        </w:rPr>
        <w:t xml:space="preserve"> </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CATEAAV2020</w:t>
      </w:r>
      <w:r w:rsidR="0080375A" w:rsidRPr="0059136F">
        <w:rPr>
          <w:rFonts w:asciiTheme="minorHAnsi" w:eastAsiaTheme="minorHAnsi" w:hAnsiTheme="minorHAnsi" w:cstheme="minorBidi"/>
          <w:sz w:val="24"/>
          <w:szCs w:val="24"/>
          <w:lang w:eastAsia="en-US"/>
        </w:rPr>
        <w:t>)</w:t>
      </w:r>
      <w:r w:rsidR="002069B6">
        <w:rPr>
          <w:rFonts w:asciiTheme="minorHAnsi" w:eastAsiaTheme="minorHAnsi" w:hAnsiTheme="minorHAnsi" w:cstheme="minorBidi"/>
          <w:sz w:val="24"/>
          <w:szCs w:val="24"/>
          <w:lang w:eastAsia="en-US"/>
        </w:rPr>
        <w:t xml:space="preserve">. </w:t>
      </w:r>
    </w:p>
    <w:p w14:paraId="5F84B210" w14:textId="3818E3CA" w:rsidR="00686967" w:rsidRDefault="00686967" w:rsidP="0083401B">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947E5F">
        <w:rPr>
          <w:rFonts w:asciiTheme="minorHAnsi" w:eastAsiaTheme="minorHAnsi" w:hAnsiTheme="minorHAnsi" w:cstheme="minorBidi"/>
          <w:sz w:val="24"/>
          <w:szCs w:val="24"/>
          <w:lang w:eastAsia="en-US"/>
        </w:rPr>
        <w:t>le</w:t>
      </w:r>
      <w:r w:rsidR="003D26D4">
        <w:rPr>
          <w:rFonts w:asciiTheme="minorHAnsi" w:eastAsiaTheme="minorHAnsi" w:hAnsiTheme="minorHAnsi" w:cstheme="minorBidi"/>
          <w:sz w:val="24"/>
          <w:szCs w:val="24"/>
          <w:lang w:eastAsia="en-US"/>
        </w:rPr>
        <w:t xml:space="preserve"> code du</w:t>
      </w:r>
      <w:r w:rsidR="001209ED">
        <w:rPr>
          <w:rFonts w:asciiTheme="minorHAnsi" w:eastAsiaTheme="minorHAnsi" w:hAnsiTheme="minorHAnsi" w:cstheme="minorBidi"/>
          <w:sz w:val="24"/>
          <w:szCs w:val="24"/>
          <w:lang w:eastAsia="en-US"/>
        </w:rPr>
        <w:t xml:space="preserve"> bassin de vie</w:t>
      </w:r>
      <w:r w:rsidR="00947E5F">
        <w:rPr>
          <w:rFonts w:asciiTheme="minorHAnsi" w:eastAsiaTheme="minorHAnsi" w:hAnsiTheme="minorHAnsi" w:cstheme="minorBidi"/>
          <w:sz w:val="24"/>
          <w:szCs w:val="24"/>
          <w:lang w:eastAsia="en-US"/>
        </w:rPr>
        <w:t xml:space="preserve"> </w:t>
      </w:r>
      <w:r w:rsidR="003D26D4">
        <w:rPr>
          <w:rFonts w:asciiTheme="minorHAnsi" w:eastAsiaTheme="minorHAnsi" w:hAnsiTheme="minorHAnsi" w:cstheme="minorBidi"/>
          <w:sz w:val="24"/>
          <w:szCs w:val="24"/>
          <w:lang w:eastAsia="en-US"/>
        </w:rPr>
        <w:t>auquel appartient</w:t>
      </w:r>
      <w:r w:rsidR="00947E5F">
        <w:rPr>
          <w:rFonts w:asciiTheme="minorHAnsi" w:eastAsiaTheme="minorHAnsi" w:hAnsiTheme="minorHAnsi" w:cstheme="minorBidi"/>
          <w:sz w:val="24"/>
          <w:szCs w:val="24"/>
          <w:lang w:eastAsia="en-US"/>
        </w:rPr>
        <w:t xml:space="preserve"> la commune </w:t>
      </w:r>
      <w:r w:rsidR="00947E5F" w:rsidRPr="0059136F">
        <w:rPr>
          <w:rFonts w:asciiTheme="minorHAnsi" w:eastAsiaTheme="minorHAnsi" w:hAnsiTheme="minorHAnsi" w:cstheme="minorBidi"/>
          <w:sz w:val="24"/>
          <w:szCs w:val="24"/>
          <w:lang w:eastAsia="en-US"/>
        </w:rPr>
        <w:t>(</w:t>
      </w:r>
      <w:r w:rsidR="003D26D4">
        <w:rPr>
          <w:rFonts w:asciiTheme="minorHAnsi" w:eastAsiaTheme="minorHAnsi" w:hAnsiTheme="minorHAnsi" w:cstheme="minorBidi"/>
          <w:sz w:val="24"/>
          <w:szCs w:val="24"/>
          <w:lang w:eastAsia="en-US"/>
        </w:rPr>
        <w:t>BV2012</w:t>
      </w:r>
      <w:r w:rsidR="00947E5F" w:rsidRPr="0059136F">
        <w:rPr>
          <w:rFonts w:asciiTheme="minorHAnsi" w:eastAsiaTheme="minorHAnsi" w:hAnsiTheme="minorHAnsi" w:cstheme="minorBidi"/>
          <w:sz w:val="24"/>
          <w:szCs w:val="24"/>
          <w:lang w:eastAsia="en-US"/>
        </w:rPr>
        <w:t>)</w:t>
      </w:r>
    </w:p>
    <w:p w14:paraId="356DB33A" w14:textId="270AEAEF" w:rsidR="00947E5F" w:rsidRDefault="00686967" w:rsidP="00947E5F">
      <w:pPr>
        <w:pStyle w:val="PrformatHTML"/>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 </w:t>
      </w:r>
      <w:r w:rsidR="00947E5F">
        <w:rPr>
          <w:rFonts w:asciiTheme="minorHAnsi" w:eastAsiaTheme="minorHAnsi" w:hAnsiTheme="minorHAnsi" w:cstheme="minorBidi"/>
          <w:sz w:val="24"/>
          <w:szCs w:val="24"/>
          <w:lang w:eastAsia="en-US"/>
        </w:rPr>
        <w:t xml:space="preserve">la </w:t>
      </w:r>
      <w:r w:rsidR="001209ED">
        <w:rPr>
          <w:rFonts w:asciiTheme="minorHAnsi" w:eastAsiaTheme="minorHAnsi" w:hAnsiTheme="minorHAnsi" w:cstheme="minorBidi"/>
          <w:sz w:val="24"/>
          <w:szCs w:val="24"/>
          <w:lang w:eastAsia="en-US"/>
        </w:rPr>
        <w:t>typologie urbaine ou rurale de la commune définie à partir de la grille de densité communale</w:t>
      </w:r>
      <w:r w:rsidR="00947E5F">
        <w:rPr>
          <w:rFonts w:asciiTheme="minorHAnsi" w:eastAsiaTheme="minorHAnsi" w:hAnsiTheme="minorHAnsi" w:cstheme="minorBidi"/>
          <w:sz w:val="24"/>
          <w:szCs w:val="24"/>
          <w:lang w:eastAsia="en-US"/>
        </w:rPr>
        <w:t xml:space="preserve"> </w:t>
      </w:r>
      <w:r w:rsidR="00947E5F" w:rsidRPr="0059136F">
        <w:rPr>
          <w:rFonts w:asciiTheme="minorHAnsi" w:eastAsiaTheme="minorHAnsi" w:hAnsiTheme="minorHAnsi" w:cstheme="minorBidi"/>
          <w:sz w:val="24"/>
          <w:szCs w:val="24"/>
          <w:lang w:eastAsia="en-US"/>
        </w:rPr>
        <w:t>(</w:t>
      </w:r>
      <w:r w:rsidR="00BE3FB1">
        <w:rPr>
          <w:rFonts w:asciiTheme="minorHAnsi" w:eastAsiaTheme="minorHAnsi" w:hAnsiTheme="minorHAnsi" w:cstheme="minorBidi"/>
          <w:sz w:val="24"/>
          <w:szCs w:val="24"/>
          <w:lang w:eastAsia="en-US"/>
        </w:rPr>
        <w:t>TypoRural</w:t>
      </w:r>
      <w:r w:rsidR="00F5079A">
        <w:rPr>
          <w:rFonts w:asciiTheme="minorHAnsi" w:eastAsiaTheme="minorHAnsi" w:hAnsiTheme="minorHAnsi" w:cstheme="minorBidi"/>
          <w:sz w:val="24"/>
          <w:szCs w:val="24"/>
          <w:lang w:eastAsia="en-US"/>
        </w:rPr>
        <w:t>2021</w:t>
      </w:r>
      <w:r w:rsidR="00947E5F" w:rsidRPr="0059136F">
        <w:rPr>
          <w:rFonts w:asciiTheme="minorHAnsi" w:eastAsiaTheme="minorHAnsi" w:hAnsiTheme="minorHAnsi" w:cstheme="minorBidi"/>
          <w:sz w:val="24"/>
          <w:szCs w:val="24"/>
          <w:lang w:eastAsia="en-US"/>
        </w:rPr>
        <w:t>)</w:t>
      </w:r>
    </w:p>
    <w:p w14:paraId="5B529B93" w14:textId="6F21944D" w:rsidR="006E4B75" w:rsidRDefault="006E4B75" w:rsidP="00947E5F">
      <w:pPr>
        <w:pStyle w:val="PrformatHTML"/>
        <w:rPr>
          <w:rFonts w:asciiTheme="minorHAnsi" w:eastAsiaTheme="minorHAnsi" w:hAnsiTheme="minorHAnsi" w:cstheme="minorBidi"/>
          <w:sz w:val="24"/>
          <w:szCs w:val="24"/>
          <w:lang w:eastAsia="en-US"/>
        </w:rPr>
      </w:pPr>
    </w:p>
    <w:p w14:paraId="0632F996" w14:textId="77777777" w:rsidR="002A1AC1" w:rsidRDefault="002A1AC1" w:rsidP="0083401B">
      <w:pPr>
        <w:pStyle w:val="PrformatHTML"/>
        <w:rPr>
          <w:rFonts w:asciiTheme="minorHAnsi" w:eastAsiaTheme="minorHAnsi" w:hAnsiTheme="minorHAnsi" w:cstheme="minorBidi"/>
          <w:sz w:val="24"/>
          <w:szCs w:val="24"/>
          <w:lang w:eastAsia="en-US"/>
        </w:rPr>
      </w:pPr>
    </w:p>
    <w:p w14:paraId="6C9DA284" w14:textId="34544CD9" w:rsidR="002A1AC1" w:rsidRDefault="002A1AC1" w:rsidP="0083401B">
      <w:pPr>
        <w:pStyle w:val="PrformatHTML"/>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Pour plus de détails sur les codes officiels géographiques : </w:t>
      </w:r>
      <w:r w:rsidRPr="002A1AC1">
        <w:rPr>
          <w:rFonts w:asciiTheme="minorHAnsi" w:eastAsiaTheme="minorHAnsi" w:hAnsiTheme="minorHAnsi" w:cstheme="minorBidi"/>
          <w:sz w:val="24"/>
          <w:szCs w:val="24"/>
          <w:lang w:eastAsia="en-US"/>
        </w:rPr>
        <w:t>https://www.insee.fr/fr/information/2560452</w:t>
      </w:r>
    </w:p>
    <w:p w14:paraId="3CF8B15D" w14:textId="77777777" w:rsidR="002A1AC1" w:rsidRDefault="002A1AC1" w:rsidP="0083401B">
      <w:pPr>
        <w:pStyle w:val="PrformatHTML"/>
        <w:rPr>
          <w:rFonts w:asciiTheme="minorHAnsi" w:eastAsiaTheme="minorHAnsi" w:hAnsiTheme="minorHAnsi" w:cstheme="minorBidi"/>
          <w:sz w:val="24"/>
          <w:szCs w:val="24"/>
          <w:lang w:eastAsia="en-US"/>
        </w:rPr>
      </w:pPr>
    </w:p>
    <w:p w14:paraId="40917E84" w14:textId="487A9D88" w:rsidR="002A1AC1" w:rsidRDefault="002A1AC1" w:rsidP="002A1AC1">
      <w:pPr>
        <w:pStyle w:val="PrformatHTML"/>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Pour plus de détails sur les EPCI :</w:t>
      </w:r>
      <w:r>
        <w:rPr>
          <w:rFonts w:asciiTheme="minorHAnsi" w:eastAsiaTheme="minorHAnsi" w:hAnsiTheme="minorHAnsi" w:cstheme="minorBidi"/>
          <w:sz w:val="24"/>
          <w:szCs w:val="24"/>
          <w:lang w:eastAsia="en-US"/>
        </w:rPr>
        <w:t xml:space="preserve"> </w:t>
      </w:r>
      <w:r w:rsidRPr="002A1AC1">
        <w:rPr>
          <w:rFonts w:asciiTheme="minorHAnsi" w:eastAsiaTheme="minorHAnsi" w:hAnsiTheme="minorHAnsi" w:cstheme="minorBidi"/>
          <w:sz w:val="24"/>
          <w:szCs w:val="24"/>
          <w:lang w:eastAsia="en-US"/>
        </w:rPr>
        <w:t>https://www.insee.fr/fr/information/2510634</w:t>
      </w:r>
    </w:p>
    <w:p w14:paraId="5F857008" w14:textId="77777777" w:rsidR="002A1AC1" w:rsidRDefault="002A1AC1" w:rsidP="002A1AC1">
      <w:pPr>
        <w:pStyle w:val="PrformatHTML"/>
        <w:rPr>
          <w:rFonts w:asciiTheme="minorHAnsi" w:eastAsiaTheme="minorHAnsi" w:hAnsiTheme="minorHAnsi" w:cstheme="minorBidi"/>
          <w:sz w:val="24"/>
          <w:szCs w:val="24"/>
          <w:lang w:eastAsia="en-US"/>
        </w:rPr>
      </w:pPr>
    </w:p>
    <w:p w14:paraId="3D88B994" w14:textId="2B22BEA6" w:rsidR="001209ED" w:rsidRDefault="002A1AC1" w:rsidP="001209ED">
      <w:pPr>
        <w:pStyle w:val="PrformatHTML"/>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lastRenderedPageBreak/>
        <w:t xml:space="preserve">Pour plus de détails sur les </w:t>
      </w:r>
      <w:r w:rsidR="001209ED" w:rsidRPr="00CA391D">
        <w:rPr>
          <w:rFonts w:asciiTheme="minorHAnsi" w:eastAsiaTheme="minorHAnsi" w:hAnsiTheme="minorHAnsi" w:cstheme="minorBidi"/>
          <w:sz w:val="24"/>
          <w:szCs w:val="24"/>
          <w:u w:val="single"/>
          <w:lang w:eastAsia="en-US"/>
        </w:rPr>
        <w:t>zon</w:t>
      </w:r>
      <w:r w:rsidR="00A7153D" w:rsidRPr="00CA391D">
        <w:rPr>
          <w:rFonts w:asciiTheme="minorHAnsi" w:eastAsiaTheme="minorHAnsi" w:hAnsiTheme="minorHAnsi" w:cstheme="minorBidi"/>
          <w:sz w:val="24"/>
          <w:szCs w:val="24"/>
          <w:u w:val="single"/>
          <w:lang w:eastAsia="en-US"/>
        </w:rPr>
        <w:t>ag</w:t>
      </w:r>
      <w:r w:rsidR="001209ED" w:rsidRPr="00CA391D">
        <w:rPr>
          <w:rFonts w:asciiTheme="minorHAnsi" w:eastAsiaTheme="minorHAnsi" w:hAnsiTheme="minorHAnsi" w:cstheme="minorBidi"/>
          <w:sz w:val="24"/>
          <w:szCs w:val="24"/>
          <w:u w:val="single"/>
          <w:lang w:eastAsia="en-US"/>
        </w:rPr>
        <w:t>es statistiques de l’Insee (unités urbaines, aires d’attractivité des villes, zones d’emploi, bassin de vie) :</w:t>
      </w:r>
      <w:r w:rsidR="001209ED">
        <w:rPr>
          <w:rFonts w:asciiTheme="minorHAnsi" w:eastAsiaTheme="minorHAnsi" w:hAnsiTheme="minorHAnsi" w:cstheme="minorBidi"/>
          <w:sz w:val="24"/>
          <w:szCs w:val="24"/>
          <w:lang w:eastAsia="en-US"/>
        </w:rPr>
        <w:t xml:space="preserve"> </w:t>
      </w:r>
      <w:hyperlink r:id="rId12" w:history="1">
        <w:r w:rsidR="001209ED" w:rsidRPr="00E67816">
          <w:rPr>
            <w:rStyle w:val="Lienhypertexte"/>
            <w:rFonts w:asciiTheme="minorHAnsi" w:eastAsiaTheme="minorHAnsi" w:hAnsiTheme="minorHAnsi" w:cstheme="minorBidi"/>
            <w:sz w:val="24"/>
            <w:szCs w:val="24"/>
            <w:lang w:eastAsia="en-US"/>
          </w:rPr>
          <w:t>https://www.insee.fr/fr/information/2114631</w:t>
        </w:r>
      </w:hyperlink>
      <w:r w:rsidR="001209ED">
        <w:rPr>
          <w:rFonts w:asciiTheme="minorHAnsi" w:eastAsiaTheme="minorHAnsi" w:hAnsiTheme="minorHAnsi" w:cstheme="minorBidi"/>
          <w:sz w:val="24"/>
          <w:szCs w:val="24"/>
          <w:lang w:eastAsia="en-US"/>
        </w:rPr>
        <w:t xml:space="preserve"> </w:t>
      </w:r>
    </w:p>
    <w:p w14:paraId="14CA36F1" w14:textId="4C6443C7" w:rsidR="001209ED" w:rsidRDefault="001209ED" w:rsidP="002A1AC1">
      <w:pPr>
        <w:pStyle w:val="PrformatHTML"/>
        <w:rPr>
          <w:rFonts w:asciiTheme="minorHAnsi" w:eastAsiaTheme="minorHAnsi" w:hAnsiTheme="minorHAnsi" w:cstheme="minorBidi"/>
          <w:sz w:val="24"/>
          <w:szCs w:val="24"/>
          <w:lang w:eastAsia="en-US"/>
        </w:rPr>
      </w:pPr>
      <w:r w:rsidRPr="001209ED">
        <w:rPr>
          <w:rFonts w:asciiTheme="minorHAnsi" w:eastAsiaTheme="minorHAnsi" w:hAnsiTheme="minorHAnsi" w:cstheme="minorBidi"/>
          <w:sz w:val="24"/>
          <w:szCs w:val="24"/>
          <w:lang w:eastAsia="en-US"/>
        </w:rPr>
        <w:t>https://www.insee.fr/fr/statistiques/5040030</w:t>
      </w:r>
    </w:p>
    <w:p w14:paraId="4B1B6309" w14:textId="4FB06FD3" w:rsidR="001209ED" w:rsidRDefault="001209ED" w:rsidP="002A1AC1">
      <w:pPr>
        <w:pStyle w:val="PrformatHTML"/>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La typologie rurale ou urbaine des communes a été définie à partir de la grille communale de densité :</w:t>
      </w:r>
      <w:r>
        <w:rPr>
          <w:rFonts w:asciiTheme="minorHAnsi" w:eastAsiaTheme="minorHAnsi" w:hAnsiTheme="minorHAnsi" w:cstheme="minorBidi"/>
          <w:sz w:val="24"/>
          <w:szCs w:val="24"/>
          <w:lang w:eastAsia="en-US"/>
        </w:rPr>
        <w:t xml:space="preserve"> </w:t>
      </w:r>
      <w:hyperlink r:id="rId13" w:history="1">
        <w:r w:rsidR="00F5079A" w:rsidRPr="001951ED">
          <w:rPr>
            <w:rStyle w:val="Lienhypertexte"/>
            <w:rFonts w:asciiTheme="minorHAnsi" w:eastAsiaTheme="minorHAnsi" w:hAnsiTheme="minorHAnsi" w:cstheme="minorBidi"/>
            <w:sz w:val="24"/>
            <w:szCs w:val="24"/>
            <w:lang w:eastAsia="en-US"/>
          </w:rPr>
          <w:t>https://www.insee.fr/fr/statistiques/5039991?sommaire=5040030</w:t>
        </w:r>
      </w:hyperlink>
    </w:p>
    <w:p w14:paraId="53B32833" w14:textId="77777777" w:rsidR="00F5079A" w:rsidRDefault="00F5079A" w:rsidP="002A1AC1">
      <w:pPr>
        <w:pStyle w:val="PrformatHTML"/>
        <w:rPr>
          <w:rFonts w:asciiTheme="minorHAnsi" w:eastAsiaTheme="minorHAnsi" w:hAnsiTheme="minorHAnsi" w:cstheme="minorBidi"/>
          <w:sz w:val="24"/>
          <w:szCs w:val="24"/>
          <w:lang w:eastAsia="en-US"/>
        </w:rPr>
      </w:pPr>
    </w:p>
    <w:p w14:paraId="5FAE32C0" w14:textId="2CE6B66D" w:rsidR="00F5079A" w:rsidRPr="00A32AB1" w:rsidRDefault="00F5079A" w:rsidP="002A1AC1">
      <w:pPr>
        <w:pStyle w:val="PrformatHTML"/>
        <w:rPr>
          <w:rFonts w:asciiTheme="minorHAnsi" w:eastAsiaTheme="minorHAnsi" w:hAnsiTheme="minorHAnsi" w:cstheme="minorBidi"/>
          <w:sz w:val="24"/>
          <w:szCs w:val="24"/>
          <w:lang w:eastAsia="en-US"/>
        </w:rPr>
      </w:pPr>
      <w:r w:rsidRPr="00CA391D">
        <w:rPr>
          <w:rFonts w:asciiTheme="minorHAnsi" w:eastAsiaTheme="minorHAnsi" w:hAnsiTheme="minorHAnsi" w:cstheme="minorBidi"/>
          <w:sz w:val="24"/>
          <w:szCs w:val="24"/>
          <w:u w:val="single"/>
          <w:lang w:eastAsia="en-US"/>
        </w:rPr>
        <w:t xml:space="preserve">Les variables complémentaires issues de la </w:t>
      </w:r>
      <w:r w:rsidRPr="00CA391D">
        <w:rPr>
          <w:rFonts w:asciiTheme="minorHAnsi" w:eastAsiaTheme="minorHAnsi" w:hAnsiTheme="minorHAnsi" w:cstheme="minorBidi"/>
          <w:i/>
          <w:sz w:val="24"/>
          <w:szCs w:val="24"/>
          <w:u w:val="single"/>
          <w:lang w:eastAsia="en-US"/>
        </w:rPr>
        <w:t xml:space="preserve">table d’appartenance géographique des communes </w:t>
      </w:r>
      <w:r w:rsidRPr="00CA391D">
        <w:rPr>
          <w:rFonts w:asciiTheme="minorHAnsi" w:eastAsiaTheme="minorHAnsi" w:hAnsiTheme="minorHAnsi" w:cstheme="minorBidi"/>
          <w:sz w:val="24"/>
          <w:szCs w:val="24"/>
          <w:u w:val="single"/>
          <w:lang w:eastAsia="en-US"/>
        </w:rPr>
        <w:t>reprennent les codes utilisés par l’Insee et sont documentés plus en détails dans le fichier associé :</w:t>
      </w:r>
      <w:r w:rsidRPr="00CA391D">
        <w:rPr>
          <w:rFonts w:asciiTheme="minorHAnsi" w:eastAsiaTheme="minorHAnsi" w:hAnsiTheme="minorHAnsi" w:cstheme="minorBidi"/>
          <w:sz w:val="24"/>
          <w:szCs w:val="24"/>
          <w:lang w:eastAsia="en-US"/>
        </w:rPr>
        <w:t xml:space="preserve"> https://www.insee.fr/fr/information/2028028</w:t>
      </w:r>
    </w:p>
    <w:p w14:paraId="5A6FE981" w14:textId="77777777" w:rsidR="002A1AC1" w:rsidRDefault="002A1AC1" w:rsidP="002A1AC1">
      <w:pPr>
        <w:pStyle w:val="PrformatHTML"/>
        <w:rPr>
          <w:rFonts w:asciiTheme="minorHAnsi" w:eastAsiaTheme="minorHAnsi" w:hAnsiTheme="minorHAnsi" w:cstheme="minorBidi"/>
          <w:sz w:val="24"/>
          <w:szCs w:val="24"/>
          <w:lang w:eastAsia="en-US"/>
        </w:rPr>
      </w:pPr>
    </w:p>
    <w:p w14:paraId="18AE17C2" w14:textId="3C63012C" w:rsidR="00AE6368" w:rsidRPr="00CA391D" w:rsidRDefault="00337FAB" w:rsidP="00A32AB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b/>
          <w:lang w:eastAsia="en-US"/>
        </w:rPr>
      </w:pPr>
      <w:r w:rsidRPr="00CA391D">
        <w:rPr>
          <w:rFonts w:asciiTheme="minorHAnsi" w:eastAsiaTheme="minorHAnsi" w:hAnsiTheme="minorHAnsi" w:cstheme="minorBidi"/>
          <w:b/>
          <w:u w:val="single"/>
          <w:lang w:eastAsia="en-US"/>
        </w:rPr>
        <w:t xml:space="preserve">Avertissement : </w:t>
      </w:r>
      <w:r w:rsidR="004B63C4" w:rsidRPr="00CA391D">
        <w:rPr>
          <w:rFonts w:asciiTheme="minorHAnsi" w:eastAsiaTheme="minorHAnsi" w:hAnsiTheme="minorHAnsi" w:cstheme="minorBidi"/>
          <w:b/>
          <w:lang w:eastAsia="en-US"/>
        </w:rPr>
        <w:t>méthodologies spécifiques associées aux indicateurs des crimes et délits à l’échelle des communes</w:t>
      </w:r>
    </w:p>
    <w:p w14:paraId="268F09CA" w14:textId="77777777" w:rsidR="004B63C4" w:rsidRPr="00CA391D" w:rsidRDefault="004B63C4" w:rsidP="00A32AB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Theme="minorHAnsi" w:eastAsiaTheme="minorHAnsi" w:hAnsiTheme="minorHAnsi" w:cstheme="minorBidi"/>
          <w:b/>
          <w:lang w:eastAsia="en-US"/>
        </w:rPr>
      </w:pPr>
    </w:p>
    <w:p w14:paraId="47991E70" w14:textId="6AB06819" w:rsidR="00CD1419" w:rsidRDefault="0037581C" w:rsidP="00CD1419">
      <w:pPr>
        <w:pStyle w:val="NormalWeb"/>
        <w:pBdr>
          <w:top w:val="single" w:sz="4" w:space="1" w:color="auto"/>
          <w:left w:val="single" w:sz="4" w:space="4" w:color="auto"/>
          <w:bottom w:val="single" w:sz="4" w:space="1" w:color="auto"/>
          <w:right w:val="single" w:sz="4" w:space="4" w:color="auto"/>
        </w:pBdr>
        <w:spacing w:after="0"/>
      </w:pPr>
      <w:r w:rsidRPr="00CA391D">
        <w:rPr>
          <w:rFonts w:asciiTheme="minorHAnsi" w:eastAsiaTheme="minorHAnsi" w:hAnsiTheme="minorHAnsi" w:cstheme="minorBidi"/>
          <w:lang w:eastAsia="en-US"/>
        </w:rPr>
        <w:t>Les traitements statistiques</w:t>
      </w:r>
      <w:r w:rsidR="004B63C4" w:rsidRPr="00CA391D">
        <w:rPr>
          <w:rFonts w:asciiTheme="minorHAnsi" w:eastAsiaTheme="minorHAnsi" w:hAnsiTheme="minorHAnsi" w:cstheme="minorBidi"/>
          <w:lang w:eastAsia="en-US"/>
        </w:rPr>
        <w:t xml:space="preserve"> des crimes et délits à l’échelle communale </w:t>
      </w:r>
      <w:r w:rsidRPr="00CA391D">
        <w:rPr>
          <w:rFonts w:asciiTheme="minorHAnsi" w:eastAsiaTheme="minorHAnsi" w:hAnsiTheme="minorHAnsi" w:cstheme="minorBidi"/>
          <w:lang w:eastAsia="en-US"/>
        </w:rPr>
        <w:t>comportent certaines limites liées à l’interprétation des niveaux</w:t>
      </w:r>
      <w:r w:rsidRPr="00CA391D">
        <w:rPr>
          <w:rFonts w:asciiTheme="minorHAnsi" w:eastAsiaTheme="minorHAnsi" w:hAnsiTheme="minorHAnsi" w:cstheme="minorBidi"/>
          <w:b/>
          <w:lang w:eastAsia="en-US"/>
        </w:rPr>
        <w:t xml:space="preserve"> </w:t>
      </w:r>
      <w:r w:rsidRPr="00CA391D">
        <w:rPr>
          <w:rFonts w:asciiTheme="minorHAnsi" w:eastAsiaTheme="minorHAnsi" w:hAnsiTheme="minorHAnsi" w:cstheme="minorBidi"/>
          <w:lang w:eastAsia="en-US"/>
        </w:rPr>
        <w:t>faibles d’infractions criminelles et délictuelles enregistrées et au respect du secret statistique dont l’utilisateur doit avoir connaissance préalablement à toute analyse.</w:t>
      </w:r>
      <w:r w:rsidR="00CD1419" w:rsidRPr="00CD1419">
        <w:t xml:space="preserve"> </w:t>
      </w:r>
    </w:p>
    <w:p w14:paraId="10729264" w14:textId="7BF56FFC" w:rsidR="003105CC" w:rsidRDefault="00F4513E" w:rsidP="00CD1419">
      <w:pPr>
        <w:pStyle w:val="NormalWeb"/>
        <w:pBdr>
          <w:top w:val="single" w:sz="4" w:space="1" w:color="auto"/>
          <w:left w:val="single" w:sz="4" w:space="4" w:color="auto"/>
          <w:bottom w:val="single" w:sz="4" w:space="1" w:color="auto"/>
          <w:right w:val="single" w:sz="4" w:space="4" w:color="auto"/>
        </w:pBdr>
        <w:spacing w:after="0"/>
        <w:rPr>
          <w:rFonts w:asciiTheme="minorHAnsi" w:eastAsiaTheme="minorHAnsi" w:hAnsiTheme="minorHAnsi" w:cstheme="minorBidi"/>
          <w:lang w:eastAsia="en-US"/>
        </w:rPr>
      </w:pPr>
      <w:r>
        <w:rPr>
          <w:rFonts w:asciiTheme="minorHAnsi" w:eastAsiaTheme="minorHAnsi" w:hAnsiTheme="minorHAnsi" w:cstheme="minorBidi"/>
          <w:lang w:eastAsia="en-US"/>
        </w:rPr>
        <w:t>En effet, p</w:t>
      </w:r>
      <w:r w:rsidR="003105CC">
        <w:rPr>
          <w:rFonts w:asciiTheme="minorHAnsi" w:eastAsiaTheme="minorHAnsi" w:hAnsiTheme="minorHAnsi" w:cstheme="minorBidi"/>
          <w:lang w:eastAsia="en-US"/>
        </w:rPr>
        <w:t xml:space="preserve">our certaines communes, les estimations peuvent s’avérer fragiles : </w:t>
      </w:r>
      <w:r w:rsidR="003105CC" w:rsidRPr="00CD1419">
        <w:rPr>
          <w:rFonts w:asciiTheme="minorHAnsi" w:eastAsiaTheme="minorHAnsi" w:hAnsiTheme="minorHAnsi" w:cstheme="minorBidi"/>
          <w:lang w:eastAsia="en-US"/>
        </w:rPr>
        <w:t>une variation de quelque</w:t>
      </w:r>
      <w:r w:rsidR="003105CC">
        <w:rPr>
          <w:rFonts w:asciiTheme="minorHAnsi" w:eastAsiaTheme="minorHAnsi" w:hAnsiTheme="minorHAnsi" w:cstheme="minorBidi"/>
          <w:lang w:eastAsia="en-US"/>
        </w:rPr>
        <w:t xml:space="preserve">s unités des faits enregistrés </w:t>
      </w:r>
      <w:r w:rsidR="003105CC" w:rsidRPr="00CD1419">
        <w:rPr>
          <w:rFonts w:asciiTheme="minorHAnsi" w:eastAsiaTheme="minorHAnsi" w:hAnsiTheme="minorHAnsi" w:cstheme="minorBidi"/>
          <w:lang w:eastAsia="en-US"/>
        </w:rPr>
        <w:t xml:space="preserve">peut être liée </w:t>
      </w:r>
      <w:r w:rsidR="003105CC">
        <w:rPr>
          <w:rFonts w:asciiTheme="minorHAnsi" w:eastAsiaTheme="minorHAnsi" w:hAnsiTheme="minorHAnsi" w:cstheme="minorBidi"/>
          <w:lang w:eastAsia="en-US"/>
        </w:rPr>
        <w:t>au</w:t>
      </w:r>
      <w:r w:rsidR="003105CC" w:rsidRPr="00CD1419">
        <w:rPr>
          <w:rFonts w:asciiTheme="minorHAnsi" w:eastAsiaTheme="minorHAnsi" w:hAnsiTheme="minorHAnsi" w:cstheme="minorBidi"/>
          <w:lang w:eastAsia="en-US"/>
        </w:rPr>
        <w:t xml:space="preserve"> comportement déclaratif, plu</w:t>
      </w:r>
      <w:r w:rsidR="003105CC">
        <w:rPr>
          <w:rFonts w:asciiTheme="minorHAnsi" w:eastAsiaTheme="minorHAnsi" w:hAnsiTheme="minorHAnsi" w:cstheme="minorBidi"/>
          <w:lang w:eastAsia="en-US"/>
        </w:rPr>
        <w:t>tôt</w:t>
      </w:r>
      <w:r w:rsidR="003105CC" w:rsidRPr="00CD1419">
        <w:rPr>
          <w:rFonts w:asciiTheme="minorHAnsi" w:eastAsiaTheme="minorHAnsi" w:hAnsiTheme="minorHAnsi" w:cstheme="minorBidi"/>
          <w:lang w:eastAsia="en-US"/>
        </w:rPr>
        <w:t xml:space="preserve"> qu’à l’évolu</w:t>
      </w:r>
      <w:r w:rsidR="003105CC">
        <w:rPr>
          <w:rFonts w:asciiTheme="minorHAnsi" w:eastAsiaTheme="minorHAnsi" w:hAnsiTheme="minorHAnsi" w:cstheme="minorBidi"/>
          <w:lang w:eastAsia="en-US"/>
        </w:rPr>
        <w:t>tion réelle de la délinquance. Plus précisément</w:t>
      </w:r>
      <w:r w:rsidR="00367E8A">
        <w:rPr>
          <w:rFonts w:asciiTheme="minorHAnsi" w:eastAsiaTheme="minorHAnsi" w:hAnsiTheme="minorHAnsi" w:cstheme="minorBidi"/>
          <w:lang w:eastAsia="en-US"/>
        </w:rPr>
        <w:t>, l</w:t>
      </w:r>
      <w:r w:rsidR="00367E8A" w:rsidRPr="00CD1419">
        <w:rPr>
          <w:rFonts w:asciiTheme="minorHAnsi" w:eastAsiaTheme="minorHAnsi" w:hAnsiTheme="minorHAnsi" w:cstheme="minorBidi"/>
          <w:lang w:eastAsia="en-US"/>
        </w:rPr>
        <w:t xml:space="preserve">a déclaration </w:t>
      </w:r>
      <w:r w:rsidR="00367E8A">
        <w:rPr>
          <w:rFonts w:asciiTheme="minorHAnsi" w:eastAsiaTheme="minorHAnsi" w:hAnsiTheme="minorHAnsi" w:cstheme="minorBidi"/>
          <w:lang w:eastAsia="en-US"/>
        </w:rPr>
        <w:t>d’un</w:t>
      </w:r>
      <w:r w:rsidR="00367E8A" w:rsidRPr="00CD1419">
        <w:rPr>
          <w:rFonts w:asciiTheme="minorHAnsi" w:eastAsiaTheme="minorHAnsi" w:hAnsiTheme="minorHAnsi" w:cstheme="minorBidi"/>
          <w:lang w:eastAsia="en-US"/>
        </w:rPr>
        <w:t xml:space="preserve"> crime o</w:t>
      </w:r>
      <w:r w:rsidR="00367E8A">
        <w:rPr>
          <w:rFonts w:asciiTheme="minorHAnsi" w:eastAsiaTheme="minorHAnsi" w:hAnsiTheme="minorHAnsi" w:cstheme="minorBidi"/>
          <w:lang w:eastAsia="en-US"/>
        </w:rPr>
        <w:t xml:space="preserve">u d’un délit auprès des services </w:t>
      </w:r>
      <w:r w:rsidR="00367E8A" w:rsidRPr="00CD1419">
        <w:rPr>
          <w:rFonts w:asciiTheme="minorHAnsi" w:eastAsiaTheme="minorHAnsi" w:hAnsiTheme="minorHAnsi" w:cstheme="minorBidi"/>
          <w:lang w:eastAsia="en-US"/>
        </w:rPr>
        <w:t>de police ou de gendarmerie n’est pas systématique</w:t>
      </w:r>
      <w:r w:rsidR="003105CC">
        <w:rPr>
          <w:rFonts w:asciiTheme="minorHAnsi" w:eastAsiaTheme="minorHAnsi" w:hAnsiTheme="minorHAnsi" w:cstheme="minorBidi"/>
          <w:lang w:eastAsia="en-US"/>
        </w:rPr>
        <w:t xml:space="preserve"> et </w:t>
      </w:r>
      <w:r w:rsidR="00367E8A" w:rsidRPr="00367E8A">
        <w:rPr>
          <w:rFonts w:asciiTheme="minorHAnsi" w:eastAsiaTheme="minorHAnsi" w:hAnsiTheme="minorHAnsi" w:cstheme="minorBidi"/>
          <w:lang w:eastAsia="en-US"/>
        </w:rPr>
        <w:t>il peut</w:t>
      </w:r>
      <w:r w:rsidR="008954DA">
        <w:rPr>
          <w:rFonts w:asciiTheme="minorHAnsi" w:eastAsiaTheme="minorHAnsi" w:hAnsiTheme="minorHAnsi" w:cstheme="minorBidi"/>
          <w:lang w:eastAsia="en-US"/>
        </w:rPr>
        <w:t xml:space="preserve"> également</w:t>
      </w:r>
      <w:r w:rsidR="00367E8A" w:rsidRPr="00367E8A">
        <w:rPr>
          <w:rFonts w:asciiTheme="minorHAnsi" w:eastAsiaTheme="minorHAnsi" w:hAnsiTheme="minorHAnsi" w:cstheme="minorBidi"/>
          <w:lang w:eastAsia="en-US"/>
        </w:rPr>
        <w:t xml:space="preserve"> exister une certaine imprécision sur le lieu de commission de l’atteinte</w:t>
      </w:r>
      <w:r w:rsidR="008954DA">
        <w:rPr>
          <w:rFonts w:asciiTheme="minorHAnsi" w:eastAsiaTheme="minorHAnsi" w:hAnsiTheme="minorHAnsi" w:cstheme="minorBidi"/>
          <w:lang w:eastAsia="en-US"/>
        </w:rPr>
        <w:t xml:space="preserve"> lorsque cette dernière est déclarée auprès des services de sécurité</w:t>
      </w:r>
      <w:r w:rsidR="003105CC">
        <w:rPr>
          <w:rFonts w:asciiTheme="minorHAnsi" w:eastAsiaTheme="minorHAnsi" w:hAnsiTheme="minorHAnsi" w:cstheme="minorBidi"/>
          <w:lang w:eastAsia="en-US"/>
        </w:rPr>
        <w:t>. P</w:t>
      </w:r>
      <w:r w:rsidR="008954DA">
        <w:rPr>
          <w:rFonts w:asciiTheme="minorHAnsi" w:eastAsiaTheme="minorHAnsi" w:hAnsiTheme="minorHAnsi" w:cstheme="minorBidi"/>
          <w:lang w:eastAsia="en-US"/>
        </w:rPr>
        <w:t xml:space="preserve">ar exemple, </w:t>
      </w:r>
      <w:r w:rsidR="00367E8A">
        <w:rPr>
          <w:rFonts w:asciiTheme="minorHAnsi" w:eastAsiaTheme="minorHAnsi" w:hAnsiTheme="minorHAnsi" w:cstheme="minorBidi"/>
          <w:lang w:eastAsia="en-US"/>
        </w:rPr>
        <w:t>un vol subi dans</w:t>
      </w:r>
      <w:r w:rsidR="00CD1419">
        <w:rPr>
          <w:rFonts w:asciiTheme="minorHAnsi" w:eastAsiaTheme="minorHAnsi" w:hAnsiTheme="minorHAnsi" w:cstheme="minorBidi"/>
          <w:lang w:eastAsia="en-US"/>
        </w:rPr>
        <w:t xml:space="preserve"> </w:t>
      </w:r>
      <w:r w:rsidR="00367E8A">
        <w:rPr>
          <w:rFonts w:asciiTheme="minorHAnsi" w:eastAsiaTheme="minorHAnsi" w:hAnsiTheme="minorHAnsi" w:cstheme="minorBidi"/>
          <w:lang w:eastAsia="en-US"/>
        </w:rPr>
        <w:t xml:space="preserve">une </w:t>
      </w:r>
      <w:r w:rsidR="00CD1419">
        <w:rPr>
          <w:rFonts w:asciiTheme="minorHAnsi" w:eastAsiaTheme="minorHAnsi" w:hAnsiTheme="minorHAnsi" w:cstheme="minorBidi"/>
          <w:lang w:eastAsia="en-US"/>
        </w:rPr>
        <w:t xml:space="preserve">zone d’activité </w:t>
      </w:r>
      <w:r w:rsidR="00CD1419" w:rsidRPr="00CD1419">
        <w:rPr>
          <w:rFonts w:asciiTheme="minorHAnsi" w:eastAsiaTheme="minorHAnsi" w:hAnsiTheme="minorHAnsi" w:cstheme="minorBidi"/>
          <w:lang w:eastAsia="en-US"/>
        </w:rPr>
        <w:t>commerciale à cheval sur plusieurs communes limitrophes</w:t>
      </w:r>
      <w:r w:rsidR="00367E8A">
        <w:rPr>
          <w:rFonts w:asciiTheme="minorHAnsi" w:eastAsiaTheme="minorHAnsi" w:hAnsiTheme="minorHAnsi" w:cstheme="minorBidi"/>
          <w:lang w:eastAsia="en-US"/>
        </w:rPr>
        <w:t xml:space="preserve"> </w:t>
      </w:r>
      <w:r w:rsidR="008954DA">
        <w:rPr>
          <w:rFonts w:asciiTheme="minorHAnsi" w:eastAsiaTheme="minorHAnsi" w:hAnsiTheme="minorHAnsi" w:cstheme="minorBidi"/>
          <w:lang w:eastAsia="en-US"/>
        </w:rPr>
        <w:t xml:space="preserve">sera probablement </w:t>
      </w:r>
      <w:r w:rsidR="00367E8A" w:rsidRPr="00367E8A">
        <w:rPr>
          <w:rFonts w:asciiTheme="minorHAnsi" w:eastAsiaTheme="minorHAnsi" w:hAnsiTheme="minorHAnsi" w:cstheme="minorBidi"/>
          <w:lang w:eastAsia="en-US"/>
        </w:rPr>
        <w:t>attribué avec imprécision à l’une des communes</w:t>
      </w:r>
      <w:r w:rsidR="00367E8A">
        <w:rPr>
          <w:rFonts w:asciiTheme="minorHAnsi" w:eastAsiaTheme="minorHAnsi" w:hAnsiTheme="minorHAnsi" w:cstheme="minorBidi"/>
          <w:lang w:eastAsia="en-US"/>
        </w:rPr>
        <w:t>.</w:t>
      </w:r>
      <w:r w:rsidR="003105CC">
        <w:rPr>
          <w:rFonts w:asciiTheme="minorHAnsi" w:eastAsiaTheme="minorHAnsi" w:hAnsiTheme="minorHAnsi" w:cstheme="minorBidi"/>
          <w:lang w:eastAsia="en-US"/>
        </w:rPr>
        <w:t xml:space="preserve"> A</w:t>
      </w:r>
      <w:r w:rsidR="00CD1419" w:rsidRPr="00CD1419">
        <w:rPr>
          <w:rFonts w:asciiTheme="minorHAnsi" w:eastAsiaTheme="minorHAnsi" w:hAnsiTheme="minorHAnsi" w:cstheme="minorBidi"/>
          <w:lang w:eastAsia="en-US"/>
        </w:rPr>
        <w:t>insi,</w:t>
      </w:r>
      <w:r w:rsidR="003105CC">
        <w:rPr>
          <w:rFonts w:asciiTheme="minorHAnsi" w:eastAsiaTheme="minorHAnsi" w:hAnsiTheme="minorHAnsi" w:cstheme="minorBidi"/>
          <w:lang w:eastAsia="en-US"/>
        </w:rPr>
        <w:t xml:space="preserve"> p</w:t>
      </w:r>
      <w:r w:rsidR="00CD1419" w:rsidRPr="00CD1419">
        <w:rPr>
          <w:rFonts w:asciiTheme="minorHAnsi" w:eastAsiaTheme="minorHAnsi" w:hAnsiTheme="minorHAnsi" w:cstheme="minorBidi"/>
          <w:lang w:eastAsia="en-US"/>
        </w:rPr>
        <w:t>ris isolément, les faibles niveaux et leurs variations doivent être analysés avec b</w:t>
      </w:r>
      <w:r w:rsidR="00CD1419">
        <w:rPr>
          <w:rFonts w:asciiTheme="minorHAnsi" w:eastAsiaTheme="minorHAnsi" w:hAnsiTheme="minorHAnsi" w:cstheme="minorBidi"/>
          <w:lang w:eastAsia="en-US"/>
        </w:rPr>
        <w:t xml:space="preserve">eaucoup de prudence. </w:t>
      </w:r>
    </w:p>
    <w:p w14:paraId="0EA817E0" w14:textId="6305990E" w:rsidR="0037581C" w:rsidRPr="00CA391D" w:rsidRDefault="00CD1419" w:rsidP="00CE3AB3">
      <w:pPr>
        <w:pStyle w:val="NormalWeb"/>
        <w:pBdr>
          <w:top w:val="single" w:sz="4" w:space="1" w:color="auto"/>
          <w:left w:val="single" w:sz="4" w:space="4" w:color="auto"/>
          <w:bottom w:val="single" w:sz="4" w:space="1" w:color="auto"/>
          <w:right w:val="single" w:sz="4" w:space="4" w:color="auto"/>
        </w:pBdr>
        <w:spacing w:after="0"/>
        <w:rPr>
          <w:rFonts w:asciiTheme="minorHAnsi" w:eastAsiaTheme="minorHAnsi" w:hAnsiTheme="minorHAnsi" w:cstheme="minorBidi"/>
          <w:b/>
          <w:lang w:eastAsia="en-US"/>
        </w:rPr>
      </w:pPr>
      <w:r>
        <w:rPr>
          <w:rFonts w:asciiTheme="minorHAnsi" w:eastAsiaTheme="minorHAnsi" w:hAnsiTheme="minorHAnsi" w:cstheme="minorBidi"/>
          <w:lang w:eastAsia="en-US"/>
        </w:rPr>
        <w:t xml:space="preserve">Enfin, la  </w:t>
      </w:r>
      <w:r w:rsidRPr="00CD1419">
        <w:rPr>
          <w:rFonts w:asciiTheme="minorHAnsi" w:eastAsiaTheme="minorHAnsi" w:hAnsiTheme="minorHAnsi" w:cstheme="minorBidi"/>
          <w:lang w:eastAsia="en-US"/>
        </w:rPr>
        <w:t>délinquance est souvent analysée à partir des taux pour 1 000 habitants</w:t>
      </w:r>
      <w:r w:rsidR="008954DA">
        <w:rPr>
          <w:rFonts w:asciiTheme="minorHAnsi" w:eastAsiaTheme="minorHAnsi" w:hAnsiTheme="minorHAnsi" w:cstheme="minorBidi"/>
          <w:lang w:eastAsia="en-US"/>
        </w:rPr>
        <w:t xml:space="preserve"> ou logements</w:t>
      </w:r>
      <w:r w:rsidRPr="00CD1419">
        <w:rPr>
          <w:rFonts w:asciiTheme="minorHAnsi" w:eastAsiaTheme="minorHAnsi" w:hAnsiTheme="minorHAnsi" w:cstheme="minorBidi"/>
          <w:lang w:eastAsia="en-US"/>
        </w:rPr>
        <w:t>. Or pour de</w:t>
      </w:r>
      <w:r>
        <w:rPr>
          <w:rFonts w:asciiTheme="minorHAnsi" w:eastAsiaTheme="minorHAnsi" w:hAnsiTheme="minorHAnsi" w:cstheme="minorBidi"/>
          <w:lang w:eastAsia="en-US"/>
        </w:rPr>
        <w:t xml:space="preserve">s petites communes, une faible </w:t>
      </w:r>
      <w:r w:rsidRPr="00CD1419">
        <w:rPr>
          <w:rFonts w:asciiTheme="minorHAnsi" w:eastAsiaTheme="minorHAnsi" w:hAnsiTheme="minorHAnsi" w:cstheme="minorBidi"/>
          <w:lang w:eastAsia="en-US"/>
        </w:rPr>
        <w:t>variation de la délinquance ou de la population induit un</w:t>
      </w:r>
      <w:r w:rsidR="003105CC">
        <w:rPr>
          <w:rFonts w:asciiTheme="minorHAnsi" w:eastAsiaTheme="minorHAnsi" w:hAnsiTheme="minorHAnsi" w:cstheme="minorBidi"/>
          <w:lang w:eastAsia="en-US"/>
        </w:rPr>
        <w:t xml:space="preserve">e grande volatilité de ce taux. </w:t>
      </w:r>
      <w:r w:rsidR="0037581C" w:rsidRPr="00CA391D">
        <w:rPr>
          <w:rFonts w:asciiTheme="minorHAnsi" w:eastAsiaTheme="minorHAnsi" w:hAnsiTheme="minorHAnsi" w:cstheme="minorBidi"/>
          <w:lang w:eastAsia="en-US"/>
        </w:rPr>
        <w:t xml:space="preserve">Pour plus de détails sur les méthodologies et les seuils d’interprétation des données communales, se référer aux encadrés </w:t>
      </w:r>
      <w:r w:rsidR="00F4513E">
        <w:rPr>
          <w:rFonts w:asciiTheme="minorHAnsi" w:eastAsiaTheme="minorHAnsi" w:hAnsiTheme="minorHAnsi" w:cstheme="minorBidi"/>
          <w:lang w:eastAsia="en-US"/>
        </w:rPr>
        <w:t>1 et 2</w:t>
      </w:r>
      <w:r w:rsidR="00F4513E" w:rsidRPr="00CA391D">
        <w:rPr>
          <w:rFonts w:asciiTheme="minorHAnsi" w:eastAsiaTheme="minorHAnsi" w:hAnsiTheme="minorHAnsi" w:cstheme="minorBidi"/>
          <w:lang w:eastAsia="en-US"/>
        </w:rPr>
        <w:t xml:space="preserve"> </w:t>
      </w:r>
      <w:r w:rsidR="0037581C" w:rsidRPr="00CA391D">
        <w:rPr>
          <w:rFonts w:asciiTheme="minorHAnsi" w:eastAsiaTheme="minorHAnsi" w:hAnsiTheme="minorHAnsi" w:cstheme="minorBidi"/>
          <w:lang w:eastAsia="en-US"/>
        </w:rPr>
        <w:t>de la publication Géographie de la délinquance à l’échelle communale (</w:t>
      </w:r>
      <w:hyperlink r:id="rId14" w:history="1">
        <w:r w:rsidR="006824F8" w:rsidRPr="00CE3AB3">
          <w:rPr>
            <w:rFonts w:asciiTheme="minorHAnsi" w:eastAsiaTheme="minorHAnsi" w:hAnsiTheme="minorHAnsi" w:cstheme="minorBidi"/>
            <w:lang w:eastAsia="en-US"/>
          </w:rPr>
          <w:t>https://www.interieur.gouv.fr/Interstats/Publications/Interstats-Analyse/Geographie-de-la-delinquance-a-l-echelle-communale-Interstats-Analyse-N-44</w:t>
        </w:r>
      </w:hyperlink>
      <w:r w:rsidR="0037581C" w:rsidRPr="00CA391D">
        <w:rPr>
          <w:rFonts w:asciiTheme="minorHAnsi" w:eastAsiaTheme="minorHAnsi" w:hAnsiTheme="minorHAnsi" w:cstheme="minorBidi"/>
          <w:lang w:eastAsia="en-US"/>
        </w:rPr>
        <w:t>)</w:t>
      </w:r>
    </w:p>
    <w:p w14:paraId="3EFBEEA8" w14:textId="77777777" w:rsidR="00AE6368" w:rsidRPr="001651EB" w:rsidRDefault="00AE6368" w:rsidP="003014B0">
      <w:pPr>
        <w:pStyle w:val="NormalWeb"/>
        <w:spacing w:before="0" w:beforeAutospacing="0" w:after="0" w:afterAutospacing="0"/>
        <w:rPr>
          <w:rFonts w:asciiTheme="minorHAnsi" w:eastAsiaTheme="minorHAnsi" w:hAnsiTheme="minorHAnsi" w:cstheme="minorBidi"/>
          <w:highlight w:val="yellow"/>
          <w:lang w:eastAsia="en-US"/>
        </w:rPr>
      </w:pPr>
    </w:p>
    <w:p w14:paraId="5B80E1AC" w14:textId="138D6DF3" w:rsidR="00BA1059" w:rsidRDefault="00BA1059" w:rsidP="003944EE">
      <w:pPr>
        <w:pStyle w:val="NormalWeb"/>
        <w:spacing w:before="0" w:beforeAutospacing="0" w:after="0" w:afterAutospacing="0"/>
        <w:rPr>
          <w:rFonts w:asciiTheme="minorHAnsi" w:eastAsiaTheme="minorHAnsi" w:hAnsiTheme="minorHAnsi" w:cstheme="minorBidi"/>
          <w:lang w:eastAsia="en-US"/>
        </w:rPr>
      </w:pPr>
    </w:p>
    <w:p w14:paraId="3B86B99D" w14:textId="77777777" w:rsidR="000A393B" w:rsidRDefault="000A393B" w:rsidP="00057435">
      <w:pPr>
        <w:pStyle w:val="NormalWeb"/>
        <w:spacing w:before="0" w:beforeAutospacing="0" w:after="0" w:afterAutospacing="0"/>
        <w:rPr>
          <w:rStyle w:val="fontstyle01"/>
        </w:rPr>
      </w:pPr>
    </w:p>
    <w:p w14:paraId="5A395199" w14:textId="77777777" w:rsidR="00475F09" w:rsidRDefault="00475F09" w:rsidP="00057435">
      <w:pPr>
        <w:pStyle w:val="NormalWeb"/>
        <w:spacing w:before="0" w:beforeAutospacing="0" w:after="0" w:afterAutospacing="0"/>
        <w:rPr>
          <w:rStyle w:val="fontstyle01"/>
        </w:rPr>
      </w:pPr>
    </w:p>
    <w:p w14:paraId="63FC42CE" w14:textId="77777777" w:rsidR="00475F09" w:rsidRDefault="00475F09" w:rsidP="00057435">
      <w:pPr>
        <w:pStyle w:val="NormalWeb"/>
        <w:spacing w:before="0" w:beforeAutospacing="0" w:after="0" w:afterAutospacing="0"/>
        <w:rPr>
          <w:rStyle w:val="fontstyle01"/>
        </w:rPr>
      </w:pPr>
    </w:p>
    <w:p w14:paraId="3A8B8923" w14:textId="0360B128" w:rsidR="000A393B" w:rsidRDefault="00A433C6" w:rsidP="00057435">
      <w:pPr>
        <w:pStyle w:val="NormalWeb"/>
        <w:spacing w:before="0" w:beforeAutospacing="0" w:after="0" w:afterAutospacing="0"/>
        <w:rPr>
          <w:rFonts w:asciiTheme="minorHAnsi" w:eastAsiaTheme="minorHAnsi" w:hAnsiTheme="minorHAnsi" w:cstheme="minorBidi"/>
          <w:b/>
          <w:u w:val="single"/>
          <w:lang w:eastAsia="en-US"/>
        </w:rPr>
      </w:pPr>
      <w:r w:rsidRPr="00A433C6">
        <w:rPr>
          <w:rFonts w:asciiTheme="minorHAnsi" w:eastAsiaTheme="minorHAnsi" w:hAnsiTheme="minorHAnsi" w:cstheme="minorBidi"/>
          <w:b/>
          <w:u w:val="single"/>
          <w:lang w:eastAsia="en-US"/>
        </w:rPr>
        <w:t>Glossaire</w:t>
      </w:r>
    </w:p>
    <w:p w14:paraId="1AB38896" w14:textId="77777777" w:rsidR="00932690" w:rsidRPr="00A433C6" w:rsidRDefault="00932690" w:rsidP="00057435">
      <w:pPr>
        <w:pStyle w:val="NormalWeb"/>
        <w:spacing w:before="0" w:beforeAutospacing="0" w:after="0" w:afterAutospacing="0"/>
        <w:rPr>
          <w:rFonts w:asciiTheme="minorHAnsi" w:eastAsiaTheme="minorHAnsi" w:hAnsiTheme="minorHAnsi" w:cstheme="minorBidi"/>
          <w:b/>
          <w:u w:val="single"/>
          <w:lang w:eastAsia="en-US"/>
        </w:rPr>
      </w:pPr>
    </w:p>
    <w:p w14:paraId="0778B74E" w14:textId="77777777" w:rsidR="00932690" w:rsidRPr="00932690" w:rsidRDefault="00932690" w:rsidP="00932690">
      <w:pPr>
        <w:pStyle w:val="NormalWeb"/>
        <w:spacing w:before="0" w:beforeAutospacing="0" w:after="0" w:afterAutospacing="0"/>
        <w:rPr>
          <w:rFonts w:asciiTheme="minorHAnsi" w:eastAsiaTheme="minorHAnsi" w:hAnsiTheme="minorHAnsi" w:cstheme="minorBidi"/>
          <w:lang w:eastAsia="en-US"/>
        </w:rPr>
      </w:pPr>
    </w:p>
    <w:p w14:paraId="49018E9B" w14:textId="77777777" w:rsidR="00A433C6" w:rsidRPr="00932690"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932690">
        <w:rPr>
          <w:rFonts w:asciiTheme="minorHAnsi" w:eastAsiaTheme="minorHAnsi" w:hAnsiTheme="minorHAnsi" w:cstheme="minorBidi"/>
          <w:u w:val="single"/>
          <w:lang w:eastAsia="en-US"/>
        </w:rPr>
        <w:t>Vols avec armes (armes à feu, armes blanches ou par destination) </w:t>
      </w:r>
    </w:p>
    <w:p w14:paraId="4D6DB62D" w14:textId="77777777" w:rsidR="00932690" w:rsidRPr="00932690" w:rsidRDefault="00932690" w:rsidP="00932690">
      <w:pPr>
        <w:pStyle w:val="NormalWeb"/>
        <w:spacing w:before="0" w:beforeAutospacing="0" w:after="0" w:afterAutospacing="0"/>
        <w:rPr>
          <w:rFonts w:asciiTheme="minorHAnsi" w:eastAsiaTheme="minorHAnsi" w:hAnsiTheme="minorHAnsi" w:cstheme="minorBidi"/>
          <w:lang w:eastAsia="en-US"/>
        </w:rPr>
      </w:pPr>
    </w:p>
    <w:p w14:paraId="1A21E4CA" w14:textId="6E470E76" w:rsidR="00A433C6" w:rsidRPr="00932690" w:rsidRDefault="00932690" w:rsidP="00932690">
      <w:pPr>
        <w:pStyle w:val="NormalWeb"/>
        <w:spacing w:before="0" w:beforeAutospacing="0" w:after="0" w:afterAutospacing="0"/>
        <w:rPr>
          <w:rFonts w:asciiTheme="minorHAnsi" w:eastAsiaTheme="minorHAnsi" w:hAnsiTheme="minorHAnsi" w:cstheme="minorBidi"/>
          <w:lang w:eastAsia="en-US"/>
        </w:rPr>
      </w:pPr>
      <w:r w:rsidRPr="00932690">
        <w:rPr>
          <w:rFonts w:asciiTheme="minorHAnsi" w:eastAsiaTheme="minorHAnsi" w:hAnsiTheme="minorHAnsi" w:cstheme="minorBidi"/>
          <w:lang w:eastAsia="en-US"/>
        </w:rPr>
        <w:lastRenderedPageBreak/>
        <w:t>Cet indicateur comprend les vols commis avec (ou sous la menace)</w:t>
      </w:r>
      <w:r w:rsidRPr="00932690">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d’</w:t>
      </w:r>
      <w:r w:rsidR="00A433C6" w:rsidRPr="00932690">
        <w:rPr>
          <w:rFonts w:asciiTheme="minorHAnsi" w:eastAsiaTheme="minorHAnsi" w:hAnsiTheme="minorHAnsi" w:cstheme="minorBidi"/>
          <w:lang w:eastAsia="en-US"/>
        </w:rPr>
        <w:t>une arme à feu et les autres vols violents faisant intervenir une arme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blanche ou par destination. Sont regroupés dans cet indicateur les index suivants</w:t>
      </w:r>
      <w:r>
        <w:rPr>
          <w:rFonts w:asciiTheme="minorHAnsi" w:eastAsiaTheme="minorHAnsi" w:hAnsiTheme="minorHAnsi" w:cstheme="minorBidi"/>
          <w:lang w:eastAsia="en-US"/>
        </w:rPr>
        <w:t xml:space="preserve"> de « l’état 4001 »</w:t>
      </w:r>
      <w:r w:rsidR="00A433C6" w:rsidRPr="00932690">
        <w:rPr>
          <w:rFonts w:asciiTheme="minorHAnsi" w:eastAsiaTheme="minorHAnsi" w:hAnsiTheme="minorHAnsi" w:cstheme="minorBidi"/>
          <w:lang w:eastAsia="en-US"/>
        </w:rPr>
        <w:t>:</w:t>
      </w:r>
      <w:r w:rsidR="00A433C6" w:rsidRPr="00932690">
        <w:rPr>
          <w:rFonts w:asciiTheme="minorHAnsi" w:eastAsiaTheme="minorHAnsi" w:hAnsiTheme="minorHAnsi" w:cstheme="minorBidi"/>
          <w:lang w:eastAsia="en-US"/>
        </w:rPr>
        <w:br/>
        <w:t>• 15 - Vols à main armée avec arme à feu contre des établissements financiers ;</w:t>
      </w:r>
      <w:r w:rsidR="00A433C6" w:rsidRPr="00932690">
        <w:rPr>
          <w:rFonts w:asciiTheme="minorHAnsi" w:eastAsiaTheme="minorHAnsi" w:hAnsiTheme="minorHAnsi" w:cstheme="minorBidi"/>
          <w:lang w:eastAsia="en-US"/>
        </w:rPr>
        <w:br/>
        <w:t>• 16 - Vols à main armée avec arme à feu contre des établissements industriels ou</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commerciaux ;</w:t>
      </w:r>
      <w:r w:rsidR="00A433C6" w:rsidRPr="00932690">
        <w:rPr>
          <w:rFonts w:asciiTheme="minorHAnsi" w:eastAsiaTheme="minorHAnsi" w:hAnsiTheme="minorHAnsi" w:cstheme="minorBidi"/>
          <w:lang w:eastAsia="en-US"/>
        </w:rPr>
        <w:br/>
        <w:t>• 17 - Vols à main armée avec arme à feu contre des entreprises de transports de fonds;</w:t>
      </w:r>
      <w:r w:rsidR="00A433C6" w:rsidRPr="00932690">
        <w:rPr>
          <w:rFonts w:asciiTheme="minorHAnsi" w:eastAsiaTheme="minorHAnsi" w:hAnsiTheme="minorHAnsi" w:cstheme="minorBidi"/>
          <w:lang w:eastAsia="en-US"/>
        </w:rPr>
        <w:br/>
        <w:t>• 18 - Vols à main armée avec arme à feu contre des particuliers à leur domicile ;</w:t>
      </w:r>
      <w:r w:rsidR="00A433C6" w:rsidRPr="00932690">
        <w:rPr>
          <w:rFonts w:asciiTheme="minorHAnsi" w:eastAsiaTheme="minorHAnsi" w:hAnsiTheme="minorHAnsi" w:cstheme="minorBidi"/>
          <w:lang w:eastAsia="en-US"/>
        </w:rPr>
        <w:br/>
        <w:t>• 19 - Autres vols à main armée avec arme à feu ;</w:t>
      </w:r>
      <w:r w:rsidR="00A433C6" w:rsidRPr="00932690">
        <w:rPr>
          <w:rFonts w:asciiTheme="minorHAnsi" w:eastAsiaTheme="minorHAnsi" w:hAnsiTheme="minorHAnsi" w:cstheme="minorBidi"/>
          <w:lang w:eastAsia="en-US"/>
        </w:rPr>
        <w:br/>
        <w:t>• 20 - Vols avec armes blanches contre des établissements financiers, commerciaux</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ou industriels ;</w:t>
      </w:r>
      <w:r w:rsidR="00A433C6" w:rsidRPr="00932690">
        <w:rPr>
          <w:rFonts w:asciiTheme="minorHAnsi" w:eastAsiaTheme="minorHAnsi" w:hAnsiTheme="minorHAnsi" w:cstheme="minorBidi"/>
          <w:lang w:eastAsia="en-US"/>
        </w:rPr>
        <w:br/>
        <w:t>• 21 - Vols avec armes blanches ou par destination contre des particuliers à leur</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domicile ;</w:t>
      </w:r>
      <w:r w:rsidR="00A433C6" w:rsidRPr="00932690">
        <w:rPr>
          <w:rFonts w:asciiTheme="minorHAnsi" w:eastAsiaTheme="minorHAnsi" w:hAnsiTheme="minorHAnsi" w:cstheme="minorBidi"/>
          <w:lang w:eastAsia="en-US"/>
        </w:rPr>
        <w:br/>
        <w:t>• 22 - Autres vols avec armes blanches ou par destination.</w:t>
      </w:r>
    </w:p>
    <w:p w14:paraId="3702B9E8" w14:textId="77777777" w:rsidR="00932690" w:rsidRDefault="00932690" w:rsidP="00932690">
      <w:pPr>
        <w:pStyle w:val="NormalWeb"/>
        <w:spacing w:before="0" w:beforeAutospacing="0" w:after="0" w:afterAutospacing="0"/>
        <w:rPr>
          <w:rFonts w:asciiTheme="minorHAnsi" w:eastAsiaTheme="minorHAnsi" w:hAnsiTheme="minorHAnsi" w:cstheme="minorBidi"/>
          <w:lang w:eastAsia="en-US"/>
        </w:rPr>
      </w:pPr>
    </w:p>
    <w:p w14:paraId="5BC8B563" w14:textId="77777777" w:rsidR="00A433C6" w:rsidRPr="00932690"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932690">
        <w:rPr>
          <w:rFonts w:asciiTheme="minorHAnsi" w:eastAsiaTheme="minorHAnsi" w:hAnsiTheme="minorHAnsi" w:cstheme="minorBidi"/>
          <w:u w:val="single"/>
          <w:lang w:eastAsia="en-US"/>
        </w:rPr>
        <w:t>Vols violents sans arme </w:t>
      </w:r>
    </w:p>
    <w:p w14:paraId="7EA2C8A0" w14:textId="77777777" w:rsidR="00932690" w:rsidRDefault="00932690" w:rsidP="00932690">
      <w:pPr>
        <w:pStyle w:val="NormalWeb"/>
        <w:spacing w:before="0" w:beforeAutospacing="0" w:after="0" w:afterAutospacing="0"/>
        <w:rPr>
          <w:rFonts w:asciiTheme="minorHAnsi" w:eastAsiaTheme="minorHAnsi" w:hAnsiTheme="minorHAnsi" w:cstheme="minorBidi"/>
          <w:lang w:eastAsia="en-US"/>
        </w:rPr>
      </w:pPr>
    </w:p>
    <w:p w14:paraId="1BAB32FA" w14:textId="2A0FA2ED" w:rsidR="002A79E1" w:rsidRDefault="002A79E1"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Cet indicateur regroupe les vols commis avec recours de l’au</w:t>
      </w:r>
      <w:r w:rsidR="00A433C6" w:rsidRPr="00932690">
        <w:rPr>
          <w:rFonts w:asciiTheme="minorHAnsi" w:eastAsiaTheme="minorHAnsi" w:hAnsiTheme="minorHAnsi" w:cstheme="minorBidi"/>
          <w:lang w:eastAsia="en-US"/>
        </w:rPr>
        <w:t xml:space="preserve">teur à des violences physiques, des menaces ou à la force. </w:t>
      </w:r>
    </w:p>
    <w:p w14:paraId="5BFB4119" w14:textId="77777777" w:rsidR="002A79E1" w:rsidRDefault="00A433C6" w:rsidP="00932690">
      <w:pPr>
        <w:pStyle w:val="NormalWeb"/>
        <w:spacing w:before="0" w:beforeAutospacing="0" w:after="0" w:afterAutospacing="0"/>
        <w:rPr>
          <w:rFonts w:asciiTheme="minorHAnsi" w:eastAsiaTheme="minorHAnsi" w:hAnsiTheme="minorHAnsi" w:cstheme="minorBidi"/>
          <w:lang w:eastAsia="en-US"/>
        </w:rPr>
      </w:pPr>
      <w:r w:rsidRPr="00932690">
        <w:rPr>
          <w:rFonts w:asciiTheme="minorHAnsi" w:eastAsiaTheme="minorHAnsi" w:hAnsiTheme="minorHAnsi" w:cstheme="minorBidi"/>
          <w:lang w:eastAsia="en-US"/>
        </w:rPr>
        <w:t>Sont regroupés dans cet indicateur les index de « l’état 4001 »</w:t>
      </w:r>
      <w:r w:rsidR="002A79E1">
        <w:rPr>
          <w:rFonts w:asciiTheme="minorHAnsi" w:eastAsiaTheme="minorHAnsi" w:hAnsiTheme="minorHAnsi" w:cstheme="minorBidi"/>
          <w:lang w:eastAsia="en-US"/>
        </w:rPr>
        <w:t xml:space="preserve"> suivant :</w:t>
      </w:r>
      <w:r w:rsidRPr="00932690">
        <w:rPr>
          <w:rFonts w:asciiTheme="minorHAnsi" w:eastAsiaTheme="minorHAnsi" w:hAnsiTheme="minorHAnsi" w:cstheme="minorBidi"/>
          <w:lang w:eastAsia="en-US"/>
        </w:rPr>
        <w:br/>
        <w:t>• 23 -Vols violents sans arme contre des établissements financiers, commerciaux</w:t>
      </w:r>
      <w:r w:rsidR="002A79E1">
        <w:rPr>
          <w:rFonts w:asciiTheme="minorHAnsi" w:eastAsiaTheme="minorHAnsi" w:hAnsiTheme="minorHAnsi" w:cstheme="minorBidi"/>
          <w:lang w:eastAsia="en-US"/>
        </w:rPr>
        <w:t xml:space="preserve"> </w:t>
      </w:r>
      <w:r w:rsidRPr="00932690">
        <w:rPr>
          <w:rFonts w:asciiTheme="minorHAnsi" w:eastAsiaTheme="minorHAnsi" w:hAnsiTheme="minorHAnsi" w:cstheme="minorBidi"/>
          <w:lang w:eastAsia="en-US"/>
        </w:rPr>
        <w:t>ou industriels ;</w:t>
      </w:r>
      <w:r w:rsidRPr="00932690">
        <w:rPr>
          <w:rFonts w:asciiTheme="minorHAnsi" w:eastAsiaTheme="minorHAnsi" w:hAnsiTheme="minorHAnsi" w:cstheme="minorBidi"/>
          <w:lang w:eastAsia="en-US"/>
        </w:rPr>
        <w:br/>
        <w:t>• 24 - Vols violents sans arme contre des particuliers à leur domicile ;</w:t>
      </w:r>
      <w:r w:rsidRPr="00932690">
        <w:rPr>
          <w:rFonts w:asciiTheme="minorHAnsi" w:eastAsiaTheme="minorHAnsi" w:hAnsiTheme="minorHAnsi" w:cstheme="minorBidi"/>
          <w:lang w:eastAsia="en-US"/>
        </w:rPr>
        <w:br/>
        <w:t>• 25 - Vols violents sans arme contre des femmes sur voie publique ou autre</w:t>
      </w:r>
      <w:r w:rsidR="002A79E1">
        <w:rPr>
          <w:rFonts w:asciiTheme="minorHAnsi" w:eastAsiaTheme="minorHAnsi" w:hAnsiTheme="minorHAnsi" w:cstheme="minorBidi"/>
          <w:lang w:eastAsia="en-US"/>
        </w:rPr>
        <w:t xml:space="preserve"> </w:t>
      </w:r>
      <w:r w:rsidRPr="00932690">
        <w:rPr>
          <w:rFonts w:asciiTheme="minorHAnsi" w:eastAsiaTheme="minorHAnsi" w:hAnsiTheme="minorHAnsi" w:cstheme="minorBidi"/>
          <w:lang w:eastAsia="en-US"/>
        </w:rPr>
        <w:t>lieu public ;</w:t>
      </w:r>
      <w:r w:rsidRPr="00932690">
        <w:rPr>
          <w:rFonts w:asciiTheme="minorHAnsi" w:eastAsiaTheme="minorHAnsi" w:hAnsiTheme="minorHAnsi" w:cstheme="minorBidi"/>
          <w:lang w:eastAsia="en-US"/>
        </w:rPr>
        <w:br/>
        <w:t>• 26 - Vols violents sans arme contre d’autres victimes.</w:t>
      </w:r>
      <w:r w:rsidRPr="00932690">
        <w:rPr>
          <w:rFonts w:asciiTheme="minorHAnsi" w:eastAsiaTheme="minorHAnsi" w:hAnsiTheme="minorHAnsi" w:cstheme="minorBidi"/>
          <w:lang w:eastAsia="en-US"/>
        </w:rPr>
        <w:br/>
      </w:r>
    </w:p>
    <w:p w14:paraId="0A2E6F38" w14:textId="50FD3219" w:rsidR="00A433C6" w:rsidRPr="00932690" w:rsidRDefault="00A433C6" w:rsidP="00932690">
      <w:pPr>
        <w:pStyle w:val="NormalWeb"/>
        <w:spacing w:before="0" w:beforeAutospacing="0" w:after="0" w:afterAutospacing="0"/>
        <w:rPr>
          <w:rFonts w:asciiTheme="minorHAnsi" w:eastAsiaTheme="minorHAnsi" w:hAnsiTheme="minorHAnsi" w:cstheme="minorBidi"/>
          <w:lang w:eastAsia="en-US"/>
        </w:rPr>
      </w:pPr>
      <w:r w:rsidRPr="00932690">
        <w:rPr>
          <w:rFonts w:asciiTheme="minorHAnsi" w:eastAsiaTheme="minorHAnsi" w:hAnsiTheme="minorHAnsi" w:cstheme="minorBidi"/>
          <w:lang w:eastAsia="en-US"/>
        </w:rPr>
        <w:t>Sont comptabilisés les actes commis ou tentés.</w:t>
      </w:r>
    </w:p>
    <w:p w14:paraId="1C77D701" w14:textId="77777777" w:rsidR="002A79E1" w:rsidRDefault="002A79E1" w:rsidP="00932690">
      <w:pPr>
        <w:pStyle w:val="NormalWeb"/>
        <w:spacing w:before="0" w:beforeAutospacing="0" w:after="0" w:afterAutospacing="0"/>
        <w:rPr>
          <w:rFonts w:asciiTheme="minorHAnsi" w:eastAsiaTheme="minorHAnsi" w:hAnsiTheme="minorHAnsi" w:cstheme="minorBidi"/>
          <w:lang w:eastAsia="en-US"/>
        </w:rPr>
      </w:pPr>
    </w:p>
    <w:p w14:paraId="3DE37214" w14:textId="77777777" w:rsidR="00A433C6" w:rsidRPr="002A79E1"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2A79E1">
        <w:rPr>
          <w:rFonts w:asciiTheme="minorHAnsi" w:eastAsiaTheme="minorHAnsi" w:hAnsiTheme="minorHAnsi" w:cstheme="minorBidi"/>
          <w:u w:val="single"/>
          <w:lang w:eastAsia="en-US"/>
        </w:rPr>
        <w:t>Vols sans violence contre des personnes</w:t>
      </w:r>
    </w:p>
    <w:p w14:paraId="3C8006BF" w14:textId="77777777" w:rsidR="002A79E1" w:rsidRPr="00932690" w:rsidRDefault="002A79E1" w:rsidP="00932690">
      <w:pPr>
        <w:pStyle w:val="NormalWeb"/>
        <w:spacing w:before="0" w:beforeAutospacing="0" w:after="0" w:afterAutospacing="0"/>
        <w:rPr>
          <w:rFonts w:asciiTheme="minorHAnsi" w:eastAsiaTheme="minorHAnsi" w:hAnsiTheme="minorHAnsi" w:cstheme="minorBidi"/>
          <w:lang w:eastAsia="en-US"/>
        </w:rPr>
      </w:pPr>
    </w:p>
    <w:p w14:paraId="1B7AD1AC" w14:textId="5EE7E580" w:rsidR="002A79E1" w:rsidRDefault="002A79E1"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w:t>
      </w:r>
      <w:r w:rsidR="00A433C6" w:rsidRPr="00932690">
        <w:rPr>
          <w:rFonts w:asciiTheme="minorHAnsi" w:eastAsiaTheme="minorHAnsi" w:hAnsiTheme="minorHAnsi" w:cstheme="minorBidi"/>
          <w:lang w:eastAsia="en-US"/>
        </w:rPr>
        <w:t xml:space="preserve">et indicateur regroupe les </w:t>
      </w:r>
      <w:r>
        <w:rPr>
          <w:rFonts w:asciiTheme="minorHAnsi" w:eastAsiaTheme="minorHAnsi" w:hAnsiTheme="minorHAnsi" w:cstheme="minorBidi"/>
          <w:lang w:eastAsia="en-US"/>
        </w:rPr>
        <w:t xml:space="preserve">vols (ou les tentatives de vols) dont les victimes </w:t>
      </w:r>
      <w:r w:rsidR="00A433C6" w:rsidRPr="00932690">
        <w:rPr>
          <w:rFonts w:asciiTheme="minorHAnsi" w:eastAsiaTheme="minorHAnsi" w:hAnsiTheme="minorHAnsi" w:cstheme="minorBidi"/>
          <w:lang w:eastAsia="en-US"/>
        </w:rPr>
        <w:t>sont des particuliers, qui n’ont été assortis d’aucune violence, et qui ne sont ni des cambriolages, ni des vols liés aux véhicules à moteur. Les infractions</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décrites sont relevées dans « l’état 4001» aux index :</w:t>
      </w:r>
      <w:r w:rsidR="00A433C6" w:rsidRPr="00932690">
        <w:rPr>
          <w:rFonts w:asciiTheme="minorHAnsi" w:eastAsiaTheme="minorHAnsi" w:hAnsiTheme="minorHAnsi" w:cstheme="minorBidi"/>
          <w:lang w:eastAsia="en-US"/>
        </w:rPr>
        <w:br/>
        <w:t>• 32 - vols à la tire ;</w:t>
      </w:r>
      <w:r w:rsidR="00A433C6" w:rsidRPr="00932690">
        <w:rPr>
          <w:rFonts w:asciiTheme="minorHAnsi" w:eastAsiaTheme="minorHAnsi" w:hAnsiTheme="minorHAnsi" w:cstheme="minorBidi"/>
          <w:lang w:eastAsia="en-US"/>
        </w:rPr>
        <w:br/>
        <w:t>• 42 - autres vols simples contre des particuliers dans des locaux privés ;</w:t>
      </w:r>
      <w:r w:rsidR="00A433C6" w:rsidRPr="00932690">
        <w:rPr>
          <w:rFonts w:asciiTheme="minorHAnsi" w:eastAsiaTheme="minorHAnsi" w:hAnsiTheme="minorHAnsi" w:cstheme="minorBidi"/>
          <w:lang w:eastAsia="en-US"/>
        </w:rPr>
        <w:br/>
        <w:t>• 43 - autres vols simples contre des particuliers dans des locaux ou lieux publics.</w:t>
      </w:r>
    </w:p>
    <w:p w14:paraId="277E40D7" w14:textId="73A8CD40" w:rsidR="00A433C6" w:rsidRPr="00932690" w:rsidRDefault="00A433C6" w:rsidP="00932690">
      <w:pPr>
        <w:pStyle w:val="NormalWeb"/>
        <w:spacing w:before="0" w:beforeAutospacing="0" w:after="0" w:afterAutospacing="0"/>
        <w:rPr>
          <w:rFonts w:asciiTheme="minorHAnsi" w:eastAsiaTheme="minorHAnsi" w:hAnsiTheme="minorHAnsi" w:cstheme="minorBidi"/>
          <w:lang w:eastAsia="en-US"/>
        </w:rPr>
      </w:pPr>
      <w:r w:rsidRPr="00932690">
        <w:rPr>
          <w:rFonts w:asciiTheme="minorHAnsi" w:eastAsiaTheme="minorHAnsi" w:hAnsiTheme="minorHAnsi" w:cstheme="minorBidi"/>
          <w:lang w:eastAsia="en-US"/>
        </w:rPr>
        <w:br/>
        <w:t>Ils ont été regroupés notamment parce que la répartition de certains types de faits</w:t>
      </w:r>
      <w:r w:rsidR="002A79E1">
        <w:rPr>
          <w:rFonts w:asciiTheme="minorHAnsi" w:eastAsiaTheme="minorHAnsi" w:hAnsiTheme="minorHAnsi" w:cstheme="minorBidi"/>
          <w:lang w:eastAsia="en-US"/>
        </w:rPr>
        <w:t xml:space="preserve"> </w:t>
      </w:r>
      <w:r w:rsidRPr="00932690">
        <w:rPr>
          <w:rFonts w:asciiTheme="minorHAnsi" w:eastAsiaTheme="minorHAnsi" w:hAnsiTheme="minorHAnsi" w:cstheme="minorBidi"/>
          <w:lang w:eastAsia="en-US"/>
        </w:rPr>
        <w:t>entre ces index a manifestement évolué dans le temps (cf. Interstats Méthode n°4</w:t>
      </w:r>
      <w:r w:rsidR="002A79E1">
        <w:rPr>
          <w:rFonts w:asciiTheme="minorHAnsi" w:eastAsiaTheme="minorHAnsi" w:hAnsiTheme="minorHAnsi" w:cstheme="minorBidi"/>
          <w:lang w:eastAsia="en-US"/>
        </w:rPr>
        <w:t xml:space="preserve"> </w:t>
      </w:r>
      <w:hyperlink r:id="rId15" w:history="1">
        <w:r w:rsidR="002A79E1" w:rsidRPr="00CD5243">
          <w:rPr>
            <w:rStyle w:val="Lienhypertexte"/>
            <w:rFonts w:asciiTheme="minorHAnsi" w:eastAsiaTheme="minorHAnsi" w:hAnsiTheme="minorHAnsi" w:cstheme="minorBidi"/>
            <w:lang w:eastAsia="en-US"/>
          </w:rPr>
          <w:t>https://www.interieur.gouv.fr/Interstats/Methode</w:t>
        </w:r>
      </w:hyperlink>
      <w:r w:rsidRPr="00932690">
        <w:rPr>
          <w:rFonts w:asciiTheme="minorHAnsi" w:eastAsiaTheme="minorHAnsi" w:hAnsiTheme="minorHAnsi" w:cstheme="minorBidi"/>
          <w:lang w:eastAsia="en-US"/>
        </w:rPr>
        <w:t>)</w:t>
      </w:r>
    </w:p>
    <w:p w14:paraId="24855EAC" w14:textId="77777777" w:rsidR="002A79E1" w:rsidRDefault="002A79E1" w:rsidP="00932690">
      <w:pPr>
        <w:pStyle w:val="NormalWeb"/>
        <w:spacing w:before="0" w:beforeAutospacing="0" w:after="0" w:afterAutospacing="0"/>
        <w:rPr>
          <w:rFonts w:asciiTheme="minorHAnsi" w:eastAsiaTheme="minorHAnsi" w:hAnsiTheme="minorHAnsi" w:cstheme="minorBidi"/>
          <w:lang w:eastAsia="en-US"/>
        </w:rPr>
      </w:pPr>
    </w:p>
    <w:p w14:paraId="599C3E4F" w14:textId="4C426D90" w:rsidR="00A433C6" w:rsidRPr="002A79E1"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2A79E1">
        <w:rPr>
          <w:rFonts w:asciiTheme="minorHAnsi" w:eastAsiaTheme="minorHAnsi" w:hAnsiTheme="minorHAnsi" w:cstheme="minorBidi"/>
          <w:u w:val="single"/>
          <w:lang w:eastAsia="en-US"/>
        </w:rPr>
        <w:t>Coups et blessures volontaires (sur personnes de 15 ans ou plus)</w:t>
      </w:r>
    </w:p>
    <w:p w14:paraId="2DD710FA" w14:textId="77777777" w:rsidR="002A79E1" w:rsidRPr="00932690" w:rsidRDefault="002A79E1" w:rsidP="00932690">
      <w:pPr>
        <w:pStyle w:val="NormalWeb"/>
        <w:spacing w:before="0" w:beforeAutospacing="0" w:after="0" w:afterAutospacing="0"/>
        <w:rPr>
          <w:rFonts w:asciiTheme="minorHAnsi" w:eastAsiaTheme="minorHAnsi" w:hAnsiTheme="minorHAnsi" w:cstheme="minorBidi"/>
          <w:lang w:eastAsia="en-US"/>
        </w:rPr>
      </w:pPr>
    </w:p>
    <w:p w14:paraId="2AF969D9" w14:textId="77777777" w:rsidR="00F4513E" w:rsidRDefault="002A79E1"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w:t>
      </w:r>
      <w:r w:rsidR="00A433C6" w:rsidRPr="00932690">
        <w:rPr>
          <w:rFonts w:asciiTheme="minorHAnsi" w:eastAsiaTheme="minorHAnsi" w:hAnsiTheme="minorHAnsi" w:cstheme="minorBidi"/>
          <w:lang w:eastAsia="en-US"/>
        </w:rPr>
        <w:t>et indicateur reprend les faits enregist</w:t>
      </w:r>
      <w:r w:rsidR="00704DD3">
        <w:rPr>
          <w:rFonts w:asciiTheme="minorHAnsi" w:eastAsiaTheme="minorHAnsi" w:hAnsiTheme="minorHAnsi" w:cstheme="minorBidi"/>
          <w:lang w:eastAsia="en-US"/>
        </w:rPr>
        <w:t xml:space="preserve">rés à l’index 7 de l’état 4001 </w:t>
      </w:r>
      <w:r w:rsidR="00A433C6" w:rsidRPr="00932690">
        <w:rPr>
          <w:rFonts w:asciiTheme="minorHAnsi" w:eastAsiaTheme="minorHAnsi" w:hAnsiTheme="minorHAnsi" w:cstheme="minorBidi"/>
          <w:lang w:eastAsia="en-US"/>
        </w:rPr>
        <w:t xml:space="preserve">qui recense les « coups et blessures volontaires criminels ou correctionnels </w:t>
      </w:r>
      <w:r w:rsidR="00704DD3">
        <w:rPr>
          <w:rFonts w:asciiTheme="minorHAnsi" w:eastAsiaTheme="minorHAnsi" w:hAnsiTheme="minorHAnsi" w:cstheme="minorBidi"/>
          <w:lang w:eastAsia="en-US"/>
        </w:rPr>
        <w:t>»</w:t>
      </w:r>
      <w:r w:rsidR="00A433C6" w:rsidRPr="00932690">
        <w:rPr>
          <w:rFonts w:asciiTheme="minorHAnsi" w:eastAsiaTheme="minorHAnsi" w:hAnsiTheme="minorHAnsi" w:cstheme="minorBidi"/>
          <w:lang w:eastAsia="en-US"/>
        </w:rPr>
        <w:t>, à l’exception des coups et blessures ayant entraîné la mort, des coups</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et blessures contre mineurs de moins de 15 ans et des violences à dépositaires de</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 xml:space="preserve">l’autorité. À noter que cet indicateur retient uniquement les faits </w:t>
      </w:r>
      <w:r w:rsidR="00A433C6" w:rsidRPr="00932690">
        <w:rPr>
          <w:rFonts w:asciiTheme="minorHAnsi" w:eastAsiaTheme="minorHAnsi" w:hAnsiTheme="minorHAnsi" w:cstheme="minorBidi"/>
          <w:lang w:eastAsia="en-US"/>
        </w:rPr>
        <w:lastRenderedPageBreak/>
        <w:t>à caractère criminel</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ou correctionnel, ce qui exclut des faits considérés juridiquement comme relevant</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simples contraventions : pour être prise en compte, l’atteinte devra ainsi soit</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entraîner une incapacité temporaire d’au moins 8 jours pour la victime, soit comporter une circonstance aggravante (auteur ascendant, conjoint ou ancien conjoint</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la victime, victime vulnérable, notamment). La pratique des services de police et</w:t>
      </w:r>
      <w:r w:rsidR="00704DD3">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gendarmerie a ainsi pu évoluer au cours du temps dans le recueil des plaintes.</w:t>
      </w:r>
      <w:r w:rsidR="00F4513E">
        <w:rPr>
          <w:rFonts w:asciiTheme="minorHAnsi" w:eastAsiaTheme="minorHAnsi" w:hAnsiTheme="minorHAnsi" w:cstheme="minorBidi"/>
          <w:lang w:eastAsia="en-US"/>
        </w:rPr>
        <w:t xml:space="preserve"> </w:t>
      </w:r>
    </w:p>
    <w:p w14:paraId="12491941" w14:textId="0596A656" w:rsidR="00A433C6" w:rsidRDefault="00F4513E" w:rsidP="00932690">
      <w:pPr>
        <w:pStyle w:val="NormalWeb"/>
        <w:spacing w:before="0" w:beforeAutospacing="0" w:after="0" w:afterAutospacing="0"/>
        <w:rPr>
          <w:rFonts w:asciiTheme="minorHAnsi" w:eastAsiaTheme="minorHAnsi" w:hAnsiTheme="minorHAnsi" w:cstheme="minorBidi"/>
          <w:lang w:eastAsia="en-US"/>
        </w:rPr>
      </w:pPr>
      <w:r w:rsidRPr="00F4513E">
        <w:rPr>
          <w:rFonts w:asciiTheme="minorHAnsi" w:eastAsiaTheme="minorHAnsi" w:hAnsiTheme="minorHAnsi" w:cstheme="minorBidi"/>
          <w:lang w:eastAsia="en-US"/>
        </w:rPr>
        <w:t>Les coups et blessures volontaires sur personnes de 15 ans ou plus sont décomposés entre violences intrafamiliales et autres coups et blessures volontaires sur personnes de 15 ans ou plus  (hors cadre  intrafamilial)</w:t>
      </w:r>
      <w:r>
        <w:rPr>
          <w:rFonts w:asciiTheme="minorHAnsi" w:eastAsiaTheme="minorHAnsi" w:hAnsiTheme="minorHAnsi" w:cstheme="minorBidi"/>
          <w:lang w:eastAsia="en-US"/>
        </w:rPr>
        <w:t>.</w:t>
      </w:r>
    </w:p>
    <w:p w14:paraId="7F77E769" w14:textId="77777777" w:rsidR="00F4513E" w:rsidRDefault="00F4513E" w:rsidP="00932690">
      <w:pPr>
        <w:pStyle w:val="NormalWeb"/>
        <w:spacing w:before="0" w:beforeAutospacing="0" w:after="0" w:afterAutospacing="0"/>
        <w:rPr>
          <w:rFonts w:asciiTheme="minorHAnsi" w:eastAsiaTheme="minorHAnsi" w:hAnsiTheme="minorHAnsi" w:cstheme="minorBidi"/>
          <w:lang w:eastAsia="en-US"/>
        </w:rPr>
      </w:pPr>
    </w:p>
    <w:p w14:paraId="46A817F5" w14:textId="77777777" w:rsidR="00F4513E" w:rsidRDefault="00F4513E" w:rsidP="00932690">
      <w:pPr>
        <w:pStyle w:val="NormalWeb"/>
        <w:spacing w:before="0" w:beforeAutospacing="0" w:after="0" w:afterAutospacing="0"/>
        <w:rPr>
          <w:rFonts w:asciiTheme="minorHAnsi" w:eastAsiaTheme="minorHAnsi" w:hAnsiTheme="minorHAnsi" w:cstheme="minorBidi"/>
          <w:u w:val="single"/>
          <w:lang w:eastAsia="en-US"/>
        </w:rPr>
      </w:pPr>
      <w:r w:rsidRPr="00CE3AB3">
        <w:rPr>
          <w:rFonts w:asciiTheme="minorHAnsi" w:eastAsiaTheme="minorHAnsi" w:hAnsiTheme="minorHAnsi" w:cstheme="minorBidi"/>
          <w:u w:val="single"/>
          <w:lang w:eastAsia="en-US"/>
        </w:rPr>
        <w:t>Violences intrafamiliales</w:t>
      </w:r>
      <w:r>
        <w:rPr>
          <w:rFonts w:asciiTheme="minorHAnsi" w:eastAsiaTheme="minorHAnsi" w:hAnsiTheme="minorHAnsi" w:cstheme="minorBidi"/>
          <w:u w:val="single"/>
          <w:lang w:eastAsia="en-US"/>
        </w:rPr>
        <w:t> </w:t>
      </w:r>
      <w:r w:rsidRPr="00F4513E">
        <w:rPr>
          <w:rFonts w:asciiTheme="minorHAnsi" w:eastAsiaTheme="minorHAnsi" w:hAnsiTheme="minorHAnsi" w:cstheme="minorBidi"/>
          <w:u w:val="single"/>
          <w:lang w:eastAsia="en-US"/>
        </w:rPr>
        <w:t>:</w:t>
      </w:r>
      <w:r>
        <w:rPr>
          <w:rFonts w:asciiTheme="minorHAnsi" w:eastAsiaTheme="minorHAnsi" w:hAnsiTheme="minorHAnsi" w:cstheme="minorBidi"/>
          <w:u w:val="single"/>
          <w:lang w:eastAsia="en-US"/>
        </w:rPr>
        <w:t xml:space="preserve"> </w:t>
      </w:r>
    </w:p>
    <w:p w14:paraId="35F5B3DC" w14:textId="39ABF6C8" w:rsidR="00F4513E" w:rsidRDefault="00F4513E" w:rsidP="00932690">
      <w:pPr>
        <w:pStyle w:val="NormalWeb"/>
        <w:spacing w:before="0" w:beforeAutospacing="0" w:after="0" w:afterAutospacing="0"/>
        <w:rPr>
          <w:rFonts w:asciiTheme="minorHAnsi" w:eastAsiaTheme="minorHAnsi" w:hAnsiTheme="minorHAnsi" w:cstheme="minorBidi"/>
          <w:lang w:eastAsia="en-US"/>
        </w:rPr>
      </w:pPr>
      <w:r w:rsidRPr="00F4513E">
        <w:rPr>
          <w:rFonts w:ascii="OpenSans-Bold" w:eastAsiaTheme="minorHAnsi" w:hAnsi="OpenSans-Bold" w:cstheme="minorBidi"/>
          <w:b/>
          <w:bCs/>
          <w:color w:val="5966A8"/>
          <w:sz w:val="10"/>
          <w:szCs w:val="10"/>
          <w:lang w:eastAsia="en-US"/>
        </w:rPr>
        <w:br/>
      </w:r>
      <w:r w:rsidRPr="00CE3AB3">
        <w:rPr>
          <w:rFonts w:asciiTheme="minorHAnsi" w:eastAsiaTheme="minorHAnsi" w:hAnsiTheme="minorHAnsi" w:cstheme="minorBidi"/>
          <w:lang w:eastAsia="en-US"/>
        </w:rPr>
        <w:t>Les violences dans le cadre familial (ou</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intrafamiliales) d</w:t>
      </w:r>
      <w:r w:rsidRPr="00CE3AB3">
        <w:rPr>
          <w:rFonts w:asciiTheme="minorHAnsi" w:eastAsiaTheme="minorHAnsi" w:hAnsiTheme="minorHAnsi" w:cstheme="minorBidi" w:hint="eastAsia"/>
          <w:lang w:eastAsia="en-US"/>
        </w:rPr>
        <w:t>é</w:t>
      </w:r>
      <w:r w:rsidRPr="00CE3AB3">
        <w:rPr>
          <w:rFonts w:asciiTheme="minorHAnsi" w:eastAsiaTheme="minorHAnsi" w:hAnsiTheme="minorHAnsi" w:cstheme="minorBidi"/>
          <w:lang w:eastAsia="en-US"/>
        </w:rPr>
        <w:t>signent toute forme de</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violences</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commises par une personne ayant</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un lien de famille au sens large avec la victime</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(conjoint, ex</w:t>
      </w:r>
      <w:r w:rsidRPr="00CE3AB3">
        <w:rPr>
          <w:rFonts w:asciiTheme="minorHAnsi" w:eastAsiaTheme="minorHAnsi" w:hAnsiTheme="minorHAnsi" w:cstheme="minorBidi"/>
          <w:lang w:eastAsia="en-US"/>
        </w:rPr>
        <w:noBreakHyphen/>
        <w:t>conjoint, p</w:t>
      </w:r>
      <w:r w:rsidRPr="00CE3AB3">
        <w:rPr>
          <w:rFonts w:asciiTheme="minorHAnsi" w:eastAsiaTheme="minorHAnsi" w:hAnsiTheme="minorHAnsi" w:cstheme="minorBidi" w:hint="eastAsia"/>
          <w:lang w:eastAsia="en-US"/>
        </w:rPr>
        <w:t>è</w:t>
      </w:r>
      <w:r w:rsidRPr="00CE3AB3">
        <w:rPr>
          <w:rFonts w:asciiTheme="minorHAnsi" w:eastAsiaTheme="minorHAnsi" w:hAnsiTheme="minorHAnsi" w:cstheme="minorBidi"/>
          <w:lang w:eastAsia="en-US"/>
        </w:rPr>
        <w:t>re, m</w:t>
      </w:r>
      <w:r w:rsidRPr="00CE3AB3">
        <w:rPr>
          <w:rFonts w:asciiTheme="minorHAnsi" w:eastAsiaTheme="minorHAnsi" w:hAnsiTheme="minorHAnsi" w:cstheme="minorBidi" w:hint="eastAsia"/>
          <w:lang w:eastAsia="en-US"/>
        </w:rPr>
        <w:t>è</w:t>
      </w:r>
      <w:r w:rsidRPr="00CE3AB3">
        <w:rPr>
          <w:rFonts w:asciiTheme="minorHAnsi" w:eastAsiaTheme="minorHAnsi" w:hAnsiTheme="minorHAnsi" w:cstheme="minorBidi"/>
          <w:lang w:eastAsia="en-US"/>
        </w:rPr>
        <w:t>re, fille, fils,</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oncle, tante, etc.) que cette personne r</w:t>
      </w:r>
      <w:r w:rsidRPr="00CE3AB3">
        <w:rPr>
          <w:rFonts w:asciiTheme="minorHAnsi" w:eastAsiaTheme="minorHAnsi" w:hAnsiTheme="minorHAnsi" w:cstheme="minorBidi" w:hint="eastAsia"/>
          <w:lang w:eastAsia="en-US"/>
        </w:rPr>
        <w:t>é</w:t>
      </w:r>
      <w:r w:rsidRPr="00CE3AB3">
        <w:rPr>
          <w:rFonts w:asciiTheme="minorHAnsi" w:eastAsiaTheme="minorHAnsi" w:hAnsiTheme="minorHAnsi" w:cstheme="minorBidi"/>
          <w:lang w:eastAsia="en-US"/>
        </w:rPr>
        <w:t>side</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ou non avec la victime. Elles incluent les</w:t>
      </w:r>
      <w:r>
        <w:rPr>
          <w:rFonts w:asciiTheme="minorHAnsi" w:eastAsiaTheme="minorHAnsi" w:hAnsiTheme="minorHAnsi" w:cstheme="minorBidi"/>
          <w:lang w:eastAsia="en-US"/>
        </w:rPr>
        <w:t xml:space="preserve"> </w:t>
      </w:r>
      <w:r w:rsidRPr="00CE3AB3">
        <w:rPr>
          <w:rFonts w:asciiTheme="minorHAnsi" w:eastAsiaTheme="minorHAnsi" w:hAnsiTheme="minorHAnsi" w:cstheme="minorBidi"/>
          <w:lang w:eastAsia="en-US"/>
        </w:rPr>
        <w:t>violences conjugales</w:t>
      </w:r>
      <w:r>
        <w:rPr>
          <w:rFonts w:asciiTheme="minorHAnsi" w:eastAsiaTheme="minorHAnsi" w:hAnsiTheme="minorHAnsi" w:cstheme="minorBidi"/>
          <w:lang w:eastAsia="en-US"/>
        </w:rPr>
        <w:t>.</w:t>
      </w:r>
    </w:p>
    <w:p w14:paraId="01E752AC" w14:textId="77777777" w:rsidR="00F4513E" w:rsidRPr="00932690" w:rsidRDefault="00F4513E" w:rsidP="00932690">
      <w:pPr>
        <w:pStyle w:val="NormalWeb"/>
        <w:spacing w:before="0" w:beforeAutospacing="0" w:after="0" w:afterAutospacing="0"/>
        <w:rPr>
          <w:rFonts w:asciiTheme="minorHAnsi" w:eastAsiaTheme="minorHAnsi" w:hAnsiTheme="minorHAnsi" w:cstheme="minorBidi"/>
          <w:lang w:eastAsia="en-US"/>
        </w:rPr>
      </w:pPr>
    </w:p>
    <w:p w14:paraId="553CE971" w14:textId="77777777" w:rsidR="00704DD3" w:rsidRDefault="00704DD3" w:rsidP="00932690">
      <w:pPr>
        <w:pStyle w:val="NormalWeb"/>
        <w:spacing w:before="0" w:beforeAutospacing="0" w:after="0" w:afterAutospacing="0"/>
        <w:rPr>
          <w:rFonts w:asciiTheme="minorHAnsi" w:eastAsiaTheme="minorHAnsi" w:hAnsiTheme="minorHAnsi" w:cstheme="minorBidi"/>
          <w:lang w:eastAsia="en-US"/>
        </w:rPr>
      </w:pPr>
    </w:p>
    <w:p w14:paraId="5A0F3CC2" w14:textId="77777777" w:rsidR="00A433C6" w:rsidRPr="00704DD3"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704DD3">
        <w:rPr>
          <w:rFonts w:asciiTheme="minorHAnsi" w:eastAsiaTheme="minorHAnsi" w:hAnsiTheme="minorHAnsi" w:cstheme="minorBidi"/>
          <w:u w:val="single"/>
          <w:lang w:eastAsia="en-US"/>
        </w:rPr>
        <w:t>Cambriolages de logement</w:t>
      </w:r>
    </w:p>
    <w:p w14:paraId="358F7A91" w14:textId="77777777" w:rsidR="00704DD3" w:rsidRDefault="00704DD3" w:rsidP="00932690">
      <w:pPr>
        <w:pStyle w:val="NormalWeb"/>
        <w:spacing w:before="0" w:beforeAutospacing="0" w:after="0" w:afterAutospacing="0"/>
        <w:rPr>
          <w:rFonts w:asciiTheme="minorHAnsi" w:eastAsiaTheme="minorHAnsi" w:hAnsiTheme="minorHAnsi" w:cstheme="minorBidi"/>
          <w:lang w:eastAsia="en-US"/>
        </w:rPr>
      </w:pPr>
    </w:p>
    <w:p w14:paraId="3EE8958D" w14:textId="43A7CC38" w:rsidR="00A433C6" w:rsidRPr="00932690" w:rsidRDefault="00704DD3"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w:t>
      </w:r>
      <w:r w:rsidR="00A433C6" w:rsidRPr="00932690">
        <w:rPr>
          <w:rFonts w:asciiTheme="minorHAnsi" w:eastAsiaTheme="minorHAnsi" w:hAnsiTheme="minorHAnsi" w:cstheme="minorBidi"/>
          <w:lang w:eastAsia="en-US"/>
        </w:rPr>
        <w:t>et indicateur additionne les faits enregistrés aux index 27 (</w:t>
      </w:r>
      <w:r w:rsidR="00034F69">
        <w:rPr>
          <w:rFonts w:asciiTheme="minorHAnsi" w:eastAsiaTheme="minorHAnsi" w:hAnsiTheme="minorHAnsi" w:cstheme="minorBidi"/>
          <w:lang w:eastAsia="en-US"/>
        </w:rPr>
        <w:t xml:space="preserve">cambriolages </w:t>
      </w:r>
      <w:r w:rsidR="00A433C6" w:rsidRPr="00932690">
        <w:rPr>
          <w:rFonts w:asciiTheme="minorHAnsi" w:eastAsiaTheme="minorHAnsi" w:hAnsiTheme="minorHAnsi" w:cstheme="minorBidi"/>
          <w:lang w:eastAsia="en-US"/>
        </w:rPr>
        <w:t>de résidences principales) et 28 (cambriolages de résidences secondaires cambriolages)</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 l’état 4001 »</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car ces deux types d’infractions relèvent des mêmes</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modes opératoires. Les infractions de tentatives de cambriolages sont également</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enregistrées dans cet indicateur.</w:t>
      </w:r>
    </w:p>
    <w:p w14:paraId="17525265" w14:textId="77777777" w:rsidR="00034F69" w:rsidRDefault="00034F69" w:rsidP="00932690">
      <w:pPr>
        <w:pStyle w:val="NormalWeb"/>
        <w:spacing w:before="0" w:beforeAutospacing="0" w:after="0" w:afterAutospacing="0"/>
        <w:rPr>
          <w:rFonts w:asciiTheme="minorHAnsi" w:eastAsiaTheme="minorHAnsi" w:hAnsiTheme="minorHAnsi" w:cstheme="minorBidi"/>
          <w:lang w:eastAsia="en-US"/>
        </w:rPr>
      </w:pPr>
    </w:p>
    <w:p w14:paraId="2F154BFE" w14:textId="77777777" w:rsidR="001D26DD" w:rsidRDefault="001D26DD" w:rsidP="00932690">
      <w:pPr>
        <w:pStyle w:val="NormalWeb"/>
        <w:spacing w:before="0" w:beforeAutospacing="0" w:after="0" w:afterAutospacing="0"/>
        <w:rPr>
          <w:rFonts w:asciiTheme="minorHAnsi" w:eastAsiaTheme="minorHAnsi" w:hAnsiTheme="minorHAnsi" w:cstheme="minorBidi"/>
          <w:u w:val="single"/>
          <w:lang w:eastAsia="en-US"/>
        </w:rPr>
      </w:pPr>
    </w:p>
    <w:p w14:paraId="159AB313" w14:textId="77777777" w:rsidR="00A433C6"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034F69">
        <w:rPr>
          <w:rFonts w:asciiTheme="minorHAnsi" w:eastAsiaTheme="minorHAnsi" w:hAnsiTheme="minorHAnsi" w:cstheme="minorBidi"/>
          <w:u w:val="single"/>
          <w:lang w:eastAsia="en-US"/>
        </w:rPr>
        <w:t>Vols de véhicules (automobiles ou deux roues motorisées)</w:t>
      </w:r>
    </w:p>
    <w:p w14:paraId="4C2F9C32" w14:textId="77777777" w:rsidR="00034F69" w:rsidRPr="00034F69" w:rsidRDefault="00034F69" w:rsidP="00932690">
      <w:pPr>
        <w:pStyle w:val="NormalWeb"/>
        <w:spacing w:before="0" w:beforeAutospacing="0" w:after="0" w:afterAutospacing="0"/>
        <w:rPr>
          <w:rFonts w:asciiTheme="minorHAnsi" w:eastAsiaTheme="minorHAnsi" w:hAnsiTheme="minorHAnsi" w:cstheme="minorBidi"/>
          <w:u w:val="single"/>
          <w:lang w:eastAsia="en-US"/>
        </w:rPr>
      </w:pPr>
    </w:p>
    <w:p w14:paraId="40027D2E" w14:textId="5F6D2741" w:rsidR="00A433C6" w:rsidRPr="00932690" w:rsidRDefault="00034F69"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C</w:t>
      </w:r>
      <w:r w:rsidR="00A433C6" w:rsidRPr="00932690">
        <w:rPr>
          <w:rFonts w:asciiTheme="minorHAnsi" w:eastAsiaTheme="minorHAnsi" w:hAnsiTheme="minorHAnsi" w:cstheme="minorBidi"/>
          <w:lang w:eastAsia="en-US"/>
        </w:rPr>
        <w:t>et indicateur additionne les</w:t>
      </w:r>
      <w:r>
        <w:rPr>
          <w:rFonts w:asciiTheme="minorHAnsi" w:eastAsiaTheme="minorHAnsi" w:hAnsiTheme="minorHAnsi" w:cstheme="minorBidi"/>
          <w:lang w:eastAsia="en-US"/>
        </w:rPr>
        <w:t xml:space="preserve"> </w:t>
      </w:r>
      <w:r w:rsidRPr="00932690">
        <w:rPr>
          <w:rFonts w:asciiTheme="minorHAnsi" w:eastAsiaTheme="minorHAnsi" w:hAnsiTheme="minorHAnsi" w:cstheme="minorBidi"/>
          <w:lang w:eastAsia="en-US"/>
        </w:rPr>
        <w:t>vols (ou les tentatives de vols) de voitures, de</w:t>
      </w:r>
      <w:r w:rsidR="00A433C6" w:rsidRPr="00932690">
        <w:rPr>
          <w:rFonts w:asciiTheme="minorHAnsi" w:eastAsiaTheme="minorHAnsi" w:hAnsiTheme="minorHAnsi" w:cstheme="minorBidi"/>
          <w:lang w:eastAsia="en-US"/>
        </w:rPr>
        <w:t xml:space="preserve"> deux-roues motorisées, de poids lourds, et de remorques, infractions qui</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relèvent globalement des mêmes modes opératoires. Il s’agit des index 34 (« Vols</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véhicules de transport avec fret »), 35 (« Vols d’automobiles ») et 36 (« Vols de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 xml:space="preserve">véhicules motorisés à 2 roues ») de « l’état </w:t>
      </w:r>
      <w:r>
        <w:rPr>
          <w:rFonts w:asciiTheme="minorHAnsi" w:eastAsiaTheme="minorHAnsi" w:hAnsiTheme="minorHAnsi" w:cstheme="minorBidi"/>
          <w:lang w:eastAsia="en-US"/>
        </w:rPr>
        <w:t>4001 ».</w:t>
      </w:r>
    </w:p>
    <w:p w14:paraId="2908A928" w14:textId="77777777" w:rsidR="00034F69" w:rsidRDefault="00034F69" w:rsidP="00932690">
      <w:pPr>
        <w:pStyle w:val="NormalWeb"/>
        <w:spacing w:before="0" w:beforeAutospacing="0" w:after="0" w:afterAutospacing="0"/>
        <w:rPr>
          <w:rFonts w:asciiTheme="minorHAnsi" w:eastAsiaTheme="minorHAnsi" w:hAnsiTheme="minorHAnsi" w:cstheme="minorBidi"/>
          <w:lang w:eastAsia="en-US"/>
        </w:rPr>
      </w:pPr>
    </w:p>
    <w:p w14:paraId="7987DD59" w14:textId="2DFECAC1" w:rsidR="00034F69" w:rsidRPr="001D26DD" w:rsidRDefault="001D26DD" w:rsidP="00932690">
      <w:pPr>
        <w:pStyle w:val="NormalWeb"/>
        <w:spacing w:before="0" w:beforeAutospacing="0" w:after="0" w:afterAutospacing="0"/>
        <w:rPr>
          <w:rFonts w:asciiTheme="minorHAnsi" w:eastAsiaTheme="minorHAnsi" w:hAnsiTheme="minorHAnsi" w:cstheme="minorBidi"/>
          <w:u w:val="single"/>
          <w:lang w:eastAsia="en-US"/>
        </w:rPr>
      </w:pPr>
      <w:r w:rsidRPr="001D26DD">
        <w:rPr>
          <w:rFonts w:asciiTheme="minorHAnsi" w:eastAsiaTheme="minorHAnsi" w:hAnsiTheme="minorHAnsi" w:cstheme="minorBidi"/>
          <w:u w:val="single"/>
          <w:lang w:eastAsia="en-US"/>
        </w:rPr>
        <w:t>Vols d’accessoires et dans les véhicules</w:t>
      </w:r>
    </w:p>
    <w:p w14:paraId="22B522EF" w14:textId="77777777" w:rsidR="001D26DD" w:rsidRPr="00932690" w:rsidRDefault="001D26DD" w:rsidP="00932690">
      <w:pPr>
        <w:pStyle w:val="NormalWeb"/>
        <w:spacing w:before="0" w:beforeAutospacing="0" w:after="0" w:afterAutospacing="0"/>
        <w:rPr>
          <w:rFonts w:asciiTheme="minorHAnsi" w:eastAsiaTheme="minorHAnsi" w:hAnsiTheme="minorHAnsi" w:cstheme="minorBidi"/>
          <w:lang w:eastAsia="en-US"/>
        </w:rPr>
      </w:pPr>
    </w:p>
    <w:p w14:paraId="3309DF0E" w14:textId="7E9F95F8" w:rsidR="00A433C6" w:rsidRDefault="00034F69"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Cet </w:t>
      </w:r>
      <w:r w:rsidR="00A433C6" w:rsidRPr="00932690">
        <w:rPr>
          <w:rFonts w:asciiTheme="minorHAnsi" w:eastAsiaTheme="minorHAnsi" w:hAnsiTheme="minorHAnsi" w:cstheme="minorBidi"/>
          <w:lang w:eastAsia="en-US"/>
        </w:rPr>
        <w:t>indicateur reprend l’index 37 de « l’état 4001 » dont la dénomination policière est « vol à la roulotte », ce qui caractérise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le vol d’objets par effraction dans un véhicule automobile.</w:t>
      </w:r>
    </w:p>
    <w:p w14:paraId="6222574C" w14:textId="7B7343F5" w:rsidR="00A433C6" w:rsidRDefault="001D26DD"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 xml:space="preserve">Ainsi que </w:t>
      </w:r>
      <w:r w:rsidR="00A433C6" w:rsidRPr="00932690">
        <w:rPr>
          <w:rFonts w:asciiTheme="minorHAnsi" w:eastAsiaTheme="minorHAnsi" w:hAnsiTheme="minorHAnsi" w:cstheme="minorBidi"/>
          <w:lang w:eastAsia="en-US"/>
        </w:rPr>
        <w:t>l’index 38</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 « l’état 4001 » : « Vols d’accessoires sur véhicules à moteur immatriculés ». Alors</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que l’in</w:t>
      </w:r>
      <w:r>
        <w:rPr>
          <w:rFonts w:asciiTheme="minorHAnsi" w:eastAsiaTheme="minorHAnsi" w:hAnsiTheme="minorHAnsi" w:cstheme="minorBidi"/>
          <w:lang w:eastAsia="en-US"/>
        </w:rPr>
        <w:t>dex</w:t>
      </w:r>
      <w:r w:rsidR="00A433C6" w:rsidRPr="00932690">
        <w:rPr>
          <w:rFonts w:asciiTheme="minorHAnsi" w:eastAsiaTheme="minorHAnsi" w:hAnsiTheme="minorHAnsi" w:cstheme="minorBidi"/>
          <w:lang w:eastAsia="en-US"/>
        </w:rPr>
        <w:t xml:space="preserve"> précédent porte sur les objets présents dans le véhicule, on comptabilise ici les vols d’accessoires ou de pièces liées au fonctionnement du véhicule</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qu’ils soient posés d’origine ou montés ensuite (autoradios par exemple) et qu’ils</w:t>
      </w:r>
      <w:r w:rsidR="00034F69">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soient situés dans ou à l’extérieur du véhicule (par exemple les vols de carburant).</w:t>
      </w:r>
    </w:p>
    <w:p w14:paraId="4D18170F" w14:textId="77777777" w:rsidR="00034F69" w:rsidRPr="00932690" w:rsidRDefault="00034F69" w:rsidP="00932690">
      <w:pPr>
        <w:pStyle w:val="NormalWeb"/>
        <w:spacing w:before="0" w:beforeAutospacing="0" w:after="0" w:afterAutospacing="0"/>
        <w:rPr>
          <w:rFonts w:asciiTheme="minorHAnsi" w:eastAsiaTheme="minorHAnsi" w:hAnsiTheme="minorHAnsi" w:cstheme="minorBidi"/>
          <w:lang w:eastAsia="en-US"/>
        </w:rPr>
      </w:pPr>
    </w:p>
    <w:p w14:paraId="72172F10" w14:textId="77777777" w:rsidR="00A433C6" w:rsidRPr="00034F69" w:rsidRDefault="00A433C6" w:rsidP="00932690">
      <w:pPr>
        <w:pStyle w:val="NormalWeb"/>
        <w:spacing w:before="0" w:beforeAutospacing="0" w:after="0" w:afterAutospacing="0"/>
        <w:rPr>
          <w:rFonts w:asciiTheme="minorHAnsi" w:eastAsiaTheme="minorHAnsi" w:hAnsiTheme="minorHAnsi" w:cstheme="minorBidi"/>
          <w:u w:val="single"/>
          <w:lang w:eastAsia="en-US"/>
        </w:rPr>
      </w:pPr>
      <w:r w:rsidRPr="00034F69">
        <w:rPr>
          <w:rFonts w:asciiTheme="minorHAnsi" w:eastAsiaTheme="minorHAnsi" w:hAnsiTheme="minorHAnsi" w:cstheme="minorBidi"/>
          <w:u w:val="single"/>
          <w:lang w:eastAsia="en-US"/>
        </w:rPr>
        <w:t>Violences sexuelles</w:t>
      </w:r>
    </w:p>
    <w:p w14:paraId="30396B4C" w14:textId="77777777" w:rsidR="00034F69" w:rsidRPr="00932690" w:rsidRDefault="00034F69" w:rsidP="00932690">
      <w:pPr>
        <w:pStyle w:val="NormalWeb"/>
        <w:spacing w:before="0" w:beforeAutospacing="0" w:after="0" w:afterAutospacing="0"/>
        <w:rPr>
          <w:rFonts w:asciiTheme="minorHAnsi" w:eastAsiaTheme="minorHAnsi" w:hAnsiTheme="minorHAnsi" w:cstheme="minorBidi"/>
          <w:lang w:eastAsia="en-US"/>
        </w:rPr>
      </w:pPr>
    </w:p>
    <w:p w14:paraId="304990A4" w14:textId="77777777" w:rsidR="00E0184F" w:rsidRDefault="00E0184F" w:rsidP="00932690">
      <w:pPr>
        <w:pStyle w:val="NormalWeb"/>
        <w:spacing w:before="0" w:beforeAutospacing="0" w:after="0" w:afterAutospacing="0"/>
        <w:rPr>
          <w:rFonts w:asciiTheme="minorHAnsi" w:eastAsiaTheme="minorHAnsi" w:hAnsiTheme="minorHAnsi" w:cstheme="minorBidi"/>
          <w:lang w:eastAsia="en-US"/>
        </w:rPr>
      </w:pPr>
      <w:r>
        <w:rPr>
          <w:rFonts w:asciiTheme="minorHAnsi" w:eastAsiaTheme="minorHAnsi" w:hAnsiTheme="minorHAnsi" w:cstheme="minorBidi"/>
          <w:lang w:eastAsia="en-US"/>
        </w:rPr>
        <w:t>L</w:t>
      </w:r>
      <w:r w:rsidR="00A433C6" w:rsidRPr="00932690">
        <w:rPr>
          <w:rFonts w:asciiTheme="minorHAnsi" w:eastAsiaTheme="minorHAnsi" w:hAnsiTheme="minorHAnsi" w:cstheme="minorBidi"/>
          <w:lang w:eastAsia="en-US"/>
        </w:rPr>
        <w:t>es données relatives aux violences sexuelles issues des procédures enregistrées par les forces de sécurité comprennent les viols et tentatives de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 xml:space="preserve">viols, et les agressions sexuelles y </w:t>
      </w:r>
      <w:r w:rsidR="00A433C6" w:rsidRPr="00932690">
        <w:rPr>
          <w:rFonts w:asciiTheme="minorHAnsi" w:eastAsiaTheme="minorHAnsi" w:hAnsiTheme="minorHAnsi" w:cstheme="minorBidi"/>
          <w:lang w:eastAsia="en-US"/>
        </w:rPr>
        <w:lastRenderedPageBreak/>
        <w:t>compris le harcèlement sexuel (index 46 à 49 de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 l’état 4001 »). Elles comptabilisent les victimes majeures comme les victimes</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mineures. Elles n’incluent pas les « atteintes sexuelles » : l’atteinte se distingue de</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l’agression en ce qu’elle est exercée sans violence, contrainte, ni surprise. Ainsi l’exhibitionnisme figure parmi les atteintes sexuelles (index 50), et non dans le champ</w:t>
      </w:r>
      <w:r>
        <w:rPr>
          <w:rFonts w:asciiTheme="minorHAnsi" w:eastAsiaTheme="minorHAnsi" w:hAnsiTheme="minorHAnsi" w:cstheme="minorBidi"/>
          <w:lang w:eastAsia="en-US"/>
        </w:rPr>
        <w:t xml:space="preserve"> </w:t>
      </w:r>
      <w:r w:rsidR="00A433C6" w:rsidRPr="00932690">
        <w:rPr>
          <w:rFonts w:asciiTheme="minorHAnsi" w:eastAsiaTheme="minorHAnsi" w:hAnsiTheme="minorHAnsi" w:cstheme="minorBidi"/>
          <w:lang w:eastAsia="en-US"/>
        </w:rPr>
        <w:t>des violences sexuelles.</w:t>
      </w:r>
      <w:r w:rsidR="00A433C6" w:rsidRPr="00932690">
        <w:rPr>
          <w:rFonts w:asciiTheme="minorHAnsi" w:eastAsiaTheme="minorHAnsi" w:hAnsiTheme="minorHAnsi" w:cstheme="minorBidi"/>
          <w:lang w:eastAsia="en-US"/>
        </w:rPr>
        <w:br/>
      </w:r>
    </w:p>
    <w:p w14:paraId="165E6B61" w14:textId="08ED36AE" w:rsidR="005B711A" w:rsidRDefault="00A433C6" w:rsidP="00852E91">
      <w:pPr>
        <w:pStyle w:val="NormalWeb"/>
        <w:spacing w:before="0" w:beforeAutospacing="0" w:after="0" w:afterAutospacing="0"/>
        <w:rPr>
          <w:rFonts w:asciiTheme="minorHAnsi" w:eastAsiaTheme="minorHAnsi" w:hAnsiTheme="minorHAnsi" w:cstheme="minorBidi"/>
          <w:u w:val="single"/>
          <w:lang w:eastAsia="en-US"/>
        </w:rPr>
      </w:pPr>
      <w:r w:rsidRPr="00932690">
        <w:rPr>
          <w:rFonts w:asciiTheme="minorHAnsi" w:eastAsiaTheme="minorHAnsi" w:hAnsiTheme="minorHAnsi" w:cstheme="minorBidi"/>
          <w:lang w:eastAsia="en-US"/>
        </w:rPr>
        <w:br/>
      </w:r>
    </w:p>
    <w:p w14:paraId="3F4A356A"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p>
    <w:p w14:paraId="1CF000CC"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p>
    <w:p w14:paraId="3E5B4B0E"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p>
    <w:p w14:paraId="0106C11E"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r w:rsidRPr="005B711A">
        <w:rPr>
          <w:rFonts w:asciiTheme="minorHAnsi" w:eastAsiaTheme="minorHAnsi" w:hAnsiTheme="minorHAnsi" w:cstheme="minorBidi"/>
          <w:u w:val="single"/>
          <w:lang w:eastAsia="en-US"/>
        </w:rPr>
        <w:t>Etablissement public de coopération intercommunale :</w:t>
      </w:r>
      <w:r>
        <w:rPr>
          <w:rFonts w:asciiTheme="minorHAnsi" w:eastAsiaTheme="minorHAnsi" w:hAnsiTheme="minorHAnsi" w:cstheme="minorBidi"/>
          <w:u w:val="single"/>
          <w:lang w:eastAsia="en-US"/>
        </w:rPr>
        <w:t xml:space="preserve"> </w:t>
      </w:r>
    </w:p>
    <w:p w14:paraId="48B61A5B"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p>
    <w:p w14:paraId="5A29F30F" w14:textId="7B2B5703" w:rsidR="005B711A" w:rsidRPr="005B711A" w:rsidRDefault="005B711A" w:rsidP="00852E91">
      <w:pPr>
        <w:pStyle w:val="NormalWeb"/>
        <w:spacing w:before="0" w:beforeAutospacing="0" w:after="0" w:afterAutospacing="0"/>
        <w:rPr>
          <w:rFonts w:asciiTheme="minorHAnsi" w:eastAsiaTheme="minorHAnsi" w:hAnsiTheme="minorHAnsi" w:cstheme="minorBidi"/>
          <w:lang w:eastAsia="en-US"/>
        </w:rPr>
      </w:pPr>
      <w:r w:rsidRPr="005B711A">
        <w:rPr>
          <w:rFonts w:asciiTheme="minorHAnsi" w:eastAsiaTheme="minorHAnsi" w:hAnsiTheme="minorHAnsi" w:cstheme="minorBidi"/>
          <w:lang w:eastAsia="en-US"/>
        </w:rPr>
        <w:t>https://www.insee.fr/fr/metadonnees/definition/c1160</w:t>
      </w:r>
    </w:p>
    <w:p w14:paraId="050A232E" w14:textId="77777777" w:rsidR="005B711A" w:rsidRDefault="005B711A" w:rsidP="00852E91">
      <w:pPr>
        <w:pStyle w:val="NormalWeb"/>
        <w:spacing w:before="0" w:beforeAutospacing="0" w:after="0" w:afterAutospacing="0"/>
        <w:rPr>
          <w:rFonts w:asciiTheme="minorHAnsi" w:eastAsiaTheme="minorHAnsi" w:hAnsiTheme="minorHAnsi" w:cstheme="minorBidi"/>
          <w:lang w:eastAsia="en-US"/>
        </w:rPr>
      </w:pPr>
    </w:p>
    <w:p w14:paraId="6EA7B20D" w14:textId="5C48D3B3"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r w:rsidRPr="005B711A">
        <w:rPr>
          <w:rFonts w:asciiTheme="minorHAnsi" w:eastAsiaTheme="minorHAnsi" w:hAnsiTheme="minorHAnsi" w:cstheme="minorBidi"/>
          <w:u w:val="single"/>
          <w:lang w:eastAsia="en-US"/>
        </w:rPr>
        <w:t>Unité urbaine :</w:t>
      </w:r>
    </w:p>
    <w:p w14:paraId="0D1DFBA4" w14:textId="77777777" w:rsidR="005B711A" w:rsidRDefault="005B711A" w:rsidP="00852E91">
      <w:pPr>
        <w:pStyle w:val="NormalWeb"/>
        <w:spacing w:before="0" w:beforeAutospacing="0" w:after="0" w:afterAutospacing="0"/>
        <w:rPr>
          <w:rFonts w:asciiTheme="minorHAnsi" w:eastAsiaTheme="minorHAnsi" w:hAnsiTheme="minorHAnsi" w:cstheme="minorBidi"/>
          <w:lang w:eastAsia="en-US"/>
        </w:rPr>
      </w:pPr>
    </w:p>
    <w:p w14:paraId="5DAACC4C" w14:textId="46E958F6" w:rsidR="005B711A" w:rsidRPr="005B711A" w:rsidRDefault="005B711A" w:rsidP="00852E91">
      <w:pPr>
        <w:pStyle w:val="NormalWeb"/>
        <w:spacing w:before="0" w:beforeAutospacing="0" w:after="0" w:afterAutospacing="0"/>
        <w:rPr>
          <w:rFonts w:asciiTheme="minorHAnsi" w:eastAsiaTheme="minorHAnsi" w:hAnsiTheme="minorHAnsi" w:cstheme="minorBidi"/>
          <w:lang w:eastAsia="en-US"/>
        </w:rPr>
      </w:pPr>
      <w:r w:rsidRPr="005B711A">
        <w:rPr>
          <w:rFonts w:asciiTheme="minorHAnsi" w:eastAsiaTheme="minorHAnsi" w:hAnsiTheme="minorHAnsi" w:cstheme="minorBidi"/>
          <w:lang w:eastAsia="en-US"/>
        </w:rPr>
        <w:t>https://www.insee.fr/fr/metadonnees/definition/c1501</w:t>
      </w:r>
    </w:p>
    <w:p w14:paraId="7439E41D" w14:textId="77777777" w:rsidR="005B711A" w:rsidRDefault="005B711A" w:rsidP="00852E91">
      <w:pPr>
        <w:pStyle w:val="NormalWeb"/>
        <w:spacing w:before="0" w:beforeAutospacing="0" w:after="0" w:afterAutospacing="0"/>
        <w:rPr>
          <w:rFonts w:asciiTheme="minorHAnsi" w:eastAsiaTheme="minorHAnsi" w:hAnsiTheme="minorHAnsi" w:cstheme="minorBidi"/>
          <w:lang w:eastAsia="en-US"/>
        </w:rPr>
      </w:pPr>
    </w:p>
    <w:p w14:paraId="6BF11163" w14:textId="7C4F2F6F"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r w:rsidRPr="005B711A">
        <w:rPr>
          <w:rFonts w:asciiTheme="minorHAnsi" w:eastAsiaTheme="minorHAnsi" w:hAnsiTheme="minorHAnsi" w:cstheme="minorBidi"/>
          <w:u w:val="single"/>
          <w:lang w:eastAsia="en-US"/>
        </w:rPr>
        <w:t>Aire d’attractivité des villes :</w:t>
      </w:r>
    </w:p>
    <w:p w14:paraId="524B693E" w14:textId="77777777" w:rsidR="005B711A" w:rsidRDefault="005B711A" w:rsidP="00852E91">
      <w:pPr>
        <w:pStyle w:val="NormalWeb"/>
        <w:spacing w:before="0" w:beforeAutospacing="0" w:after="0" w:afterAutospacing="0"/>
        <w:rPr>
          <w:rFonts w:asciiTheme="minorHAnsi" w:eastAsiaTheme="minorHAnsi" w:hAnsiTheme="minorHAnsi" w:cstheme="minorBidi"/>
          <w:u w:val="single"/>
          <w:lang w:eastAsia="en-US"/>
        </w:rPr>
      </w:pPr>
    </w:p>
    <w:p w14:paraId="32113EE0" w14:textId="57BF7607" w:rsidR="005B711A" w:rsidRPr="005B711A" w:rsidRDefault="005B711A" w:rsidP="00852E91">
      <w:pPr>
        <w:pStyle w:val="NormalWeb"/>
        <w:spacing w:before="0" w:beforeAutospacing="0" w:after="0" w:afterAutospacing="0"/>
        <w:rPr>
          <w:rFonts w:asciiTheme="minorHAnsi" w:eastAsiaTheme="minorHAnsi" w:hAnsiTheme="minorHAnsi" w:cstheme="minorBidi"/>
          <w:lang w:eastAsia="en-US"/>
        </w:rPr>
      </w:pPr>
      <w:r w:rsidRPr="005B711A">
        <w:rPr>
          <w:rFonts w:asciiTheme="minorHAnsi" w:eastAsiaTheme="minorHAnsi" w:hAnsiTheme="minorHAnsi" w:cstheme="minorBidi"/>
          <w:lang w:eastAsia="en-US"/>
        </w:rPr>
        <w:t>https://www.insee.fr/fr/metadonnees/definition/c2173</w:t>
      </w:r>
    </w:p>
    <w:p w14:paraId="04DBC258" w14:textId="77777777" w:rsidR="005B711A" w:rsidRDefault="005B711A" w:rsidP="00852E91">
      <w:pPr>
        <w:pStyle w:val="NormalWeb"/>
        <w:spacing w:before="0" w:beforeAutospacing="0" w:after="0" w:afterAutospacing="0"/>
        <w:rPr>
          <w:rFonts w:asciiTheme="minorHAnsi" w:eastAsiaTheme="minorHAnsi" w:hAnsiTheme="minorHAnsi" w:cstheme="minorBidi"/>
          <w:lang w:eastAsia="en-US"/>
        </w:rPr>
      </w:pPr>
    </w:p>
    <w:p w14:paraId="70EE4F85" w14:textId="77777777" w:rsidR="005B711A" w:rsidRDefault="005B711A" w:rsidP="00852E91">
      <w:pPr>
        <w:pStyle w:val="NormalWeb"/>
        <w:spacing w:before="0" w:beforeAutospacing="0" w:after="0" w:afterAutospacing="0"/>
        <w:rPr>
          <w:rFonts w:asciiTheme="minorHAnsi" w:hAnsiTheme="minorHAnsi" w:cstheme="minorHAnsi"/>
          <w:sz w:val="20"/>
          <w:szCs w:val="20"/>
        </w:rPr>
      </w:pPr>
    </w:p>
    <w:sectPr w:rsidR="005B71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B115E" w14:textId="77777777" w:rsidR="00DE2CE2" w:rsidRDefault="00DE2CE2" w:rsidP="00DE2CE2">
      <w:pPr>
        <w:spacing w:after="0" w:line="240" w:lineRule="auto"/>
      </w:pPr>
      <w:r>
        <w:separator/>
      </w:r>
    </w:p>
  </w:endnote>
  <w:endnote w:type="continuationSeparator" w:id="0">
    <w:p w14:paraId="2315CDB9" w14:textId="77777777" w:rsidR="00DE2CE2" w:rsidRDefault="00DE2CE2" w:rsidP="00D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Linotype-Roman">
    <w:altName w:val="Times New Roman"/>
    <w:panose1 w:val="00000000000000000000"/>
    <w:charset w:val="00"/>
    <w:family w:val="roman"/>
    <w:notTrueType/>
    <w:pitch w:val="default"/>
  </w:font>
  <w:font w:name="PalatinoLinotype-Italic">
    <w:altName w:val="Times New Roman"/>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Open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2DED8" w14:textId="77777777" w:rsidR="00DE2CE2" w:rsidRDefault="00DE2CE2" w:rsidP="00DE2CE2">
      <w:pPr>
        <w:spacing w:after="0" w:line="240" w:lineRule="auto"/>
      </w:pPr>
      <w:r>
        <w:separator/>
      </w:r>
    </w:p>
  </w:footnote>
  <w:footnote w:type="continuationSeparator" w:id="0">
    <w:p w14:paraId="7C7359C7" w14:textId="77777777" w:rsidR="00DE2CE2" w:rsidRDefault="00DE2CE2" w:rsidP="00DE2CE2">
      <w:pPr>
        <w:spacing w:after="0" w:line="240" w:lineRule="auto"/>
      </w:pPr>
      <w:r>
        <w:continuationSeparator/>
      </w:r>
    </w:p>
  </w:footnote>
  <w:footnote w:id="1">
    <w:p w14:paraId="74FBA1CB" w14:textId="77F6D058" w:rsidR="00DE2CE2" w:rsidRDefault="00DE2CE2">
      <w:pPr>
        <w:pStyle w:val="Notedebasdepage"/>
      </w:pPr>
      <w:r>
        <w:rPr>
          <w:rStyle w:val="Appelnotedebasdep"/>
        </w:rPr>
        <w:footnoteRef/>
      </w:r>
      <w:r>
        <w:t xml:space="preserve"> </w:t>
      </w:r>
      <w:r w:rsidRPr="00DE2CE2">
        <w:t>https://www.insee.fr/fr/information/2028028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C02F5"/>
    <w:multiLevelType w:val="hybridMultilevel"/>
    <w:tmpl w:val="0B08A17A"/>
    <w:lvl w:ilvl="0" w:tplc="E064F546">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B4052"/>
    <w:multiLevelType w:val="hybridMultilevel"/>
    <w:tmpl w:val="8F3A18C4"/>
    <w:lvl w:ilvl="0" w:tplc="C868CD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B0E41"/>
    <w:multiLevelType w:val="hybridMultilevel"/>
    <w:tmpl w:val="6D4C5866"/>
    <w:lvl w:ilvl="0" w:tplc="AD76FB9E">
      <w:start w:val="1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B253D"/>
    <w:multiLevelType w:val="hybridMultilevel"/>
    <w:tmpl w:val="FFF0264A"/>
    <w:lvl w:ilvl="0" w:tplc="4796B4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B01FD9"/>
    <w:multiLevelType w:val="hybridMultilevel"/>
    <w:tmpl w:val="A8925602"/>
    <w:lvl w:ilvl="0" w:tplc="592C52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102"/>
    <w:rsid w:val="00000972"/>
    <w:rsid w:val="00034F69"/>
    <w:rsid w:val="000354C3"/>
    <w:rsid w:val="00042B30"/>
    <w:rsid w:val="00043AD6"/>
    <w:rsid w:val="00054001"/>
    <w:rsid w:val="00057435"/>
    <w:rsid w:val="00057440"/>
    <w:rsid w:val="00063AD5"/>
    <w:rsid w:val="00077A95"/>
    <w:rsid w:val="000A393B"/>
    <w:rsid w:val="000D0CA5"/>
    <w:rsid w:val="001209ED"/>
    <w:rsid w:val="00136276"/>
    <w:rsid w:val="0015097C"/>
    <w:rsid w:val="001539C5"/>
    <w:rsid w:val="001651EB"/>
    <w:rsid w:val="001720C3"/>
    <w:rsid w:val="00177440"/>
    <w:rsid w:val="00196B2E"/>
    <w:rsid w:val="001D1B7D"/>
    <w:rsid w:val="001D26DD"/>
    <w:rsid w:val="001E5FDA"/>
    <w:rsid w:val="002069B6"/>
    <w:rsid w:val="0021659F"/>
    <w:rsid w:val="00222983"/>
    <w:rsid w:val="00224B4F"/>
    <w:rsid w:val="00237E30"/>
    <w:rsid w:val="00253C42"/>
    <w:rsid w:val="00273743"/>
    <w:rsid w:val="002A1AC1"/>
    <w:rsid w:val="002A79E1"/>
    <w:rsid w:val="002B7C16"/>
    <w:rsid w:val="002C2102"/>
    <w:rsid w:val="002D7310"/>
    <w:rsid w:val="002E5850"/>
    <w:rsid w:val="003014B0"/>
    <w:rsid w:val="00303B05"/>
    <w:rsid w:val="003105CC"/>
    <w:rsid w:val="00337FAB"/>
    <w:rsid w:val="00345ABA"/>
    <w:rsid w:val="00367E8A"/>
    <w:rsid w:val="0037581C"/>
    <w:rsid w:val="00376A82"/>
    <w:rsid w:val="003944EE"/>
    <w:rsid w:val="003A5DCE"/>
    <w:rsid w:val="003D26D4"/>
    <w:rsid w:val="003D2CD7"/>
    <w:rsid w:val="003E10DE"/>
    <w:rsid w:val="003E5BC5"/>
    <w:rsid w:val="00400364"/>
    <w:rsid w:val="004209F6"/>
    <w:rsid w:val="00426F47"/>
    <w:rsid w:val="00443ADD"/>
    <w:rsid w:val="00475F09"/>
    <w:rsid w:val="004B63C4"/>
    <w:rsid w:val="00513DEE"/>
    <w:rsid w:val="00554DF9"/>
    <w:rsid w:val="00560A7B"/>
    <w:rsid w:val="00570C3F"/>
    <w:rsid w:val="0059136F"/>
    <w:rsid w:val="005A390C"/>
    <w:rsid w:val="005B711A"/>
    <w:rsid w:val="005C17BB"/>
    <w:rsid w:val="005E317D"/>
    <w:rsid w:val="005F1569"/>
    <w:rsid w:val="005F6967"/>
    <w:rsid w:val="006035E3"/>
    <w:rsid w:val="00605A42"/>
    <w:rsid w:val="00624857"/>
    <w:rsid w:val="00632BE8"/>
    <w:rsid w:val="00673F91"/>
    <w:rsid w:val="006824F8"/>
    <w:rsid w:val="00686967"/>
    <w:rsid w:val="00696FB1"/>
    <w:rsid w:val="006E3ACE"/>
    <w:rsid w:val="006E4B75"/>
    <w:rsid w:val="006F441A"/>
    <w:rsid w:val="007041FE"/>
    <w:rsid w:val="00704DD3"/>
    <w:rsid w:val="00722FFE"/>
    <w:rsid w:val="0073157D"/>
    <w:rsid w:val="007A1804"/>
    <w:rsid w:val="007B09DF"/>
    <w:rsid w:val="007B6F38"/>
    <w:rsid w:val="0080375A"/>
    <w:rsid w:val="00812A03"/>
    <w:rsid w:val="0082745C"/>
    <w:rsid w:val="0083401B"/>
    <w:rsid w:val="00846003"/>
    <w:rsid w:val="00852E91"/>
    <w:rsid w:val="00857DA2"/>
    <w:rsid w:val="00864890"/>
    <w:rsid w:val="00880790"/>
    <w:rsid w:val="008954DA"/>
    <w:rsid w:val="008A6372"/>
    <w:rsid w:val="008B0695"/>
    <w:rsid w:val="008B40BD"/>
    <w:rsid w:val="008D3BAC"/>
    <w:rsid w:val="009205A7"/>
    <w:rsid w:val="00931140"/>
    <w:rsid w:val="00932690"/>
    <w:rsid w:val="00944D6B"/>
    <w:rsid w:val="00946BFC"/>
    <w:rsid w:val="00947E5F"/>
    <w:rsid w:val="00953C7F"/>
    <w:rsid w:val="00953FD6"/>
    <w:rsid w:val="009650B2"/>
    <w:rsid w:val="009874CF"/>
    <w:rsid w:val="00990BAD"/>
    <w:rsid w:val="00991E1C"/>
    <w:rsid w:val="009D0D03"/>
    <w:rsid w:val="009D2AE8"/>
    <w:rsid w:val="009E2A29"/>
    <w:rsid w:val="00A07E32"/>
    <w:rsid w:val="00A22A03"/>
    <w:rsid w:val="00A32AB1"/>
    <w:rsid w:val="00A3791B"/>
    <w:rsid w:val="00A433C6"/>
    <w:rsid w:val="00A7153D"/>
    <w:rsid w:val="00A80484"/>
    <w:rsid w:val="00A86F94"/>
    <w:rsid w:val="00AD7E87"/>
    <w:rsid w:val="00AE6368"/>
    <w:rsid w:val="00B62043"/>
    <w:rsid w:val="00BA1059"/>
    <w:rsid w:val="00BD4BE5"/>
    <w:rsid w:val="00BE3FB1"/>
    <w:rsid w:val="00BF119A"/>
    <w:rsid w:val="00BF6E9C"/>
    <w:rsid w:val="00C10F32"/>
    <w:rsid w:val="00C60C25"/>
    <w:rsid w:val="00CA391D"/>
    <w:rsid w:val="00CD1419"/>
    <w:rsid w:val="00CD7AEE"/>
    <w:rsid w:val="00CE3AB3"/>
    <w:rsid w:val="00CE6C34"/>
    <w:rsid w:val="00D325C6"/>
    <w:rsid w:val="00D350ED"/>
    <w:rsid w:val="00D449F1"/>
    <w:rsid w:val="00D7322E"/>
    <w:rsid w:val="00D8161F"/>
    <w:rsid w:val="00DA48DA"/>
    <w:rsid w:val="00DC7D45"/>
    <w:rsid w:val="00DD1C8E"/>
    <w:rsid w:val="00DE2CE2"/>
    <w:rsid w:val="00DF4909"/>
    <w:rsid w:val="00DF5FC8"/>
    <w:rsid w:val="00E0184F"/>
    <w:rsid w:val="00E0536C"/>
    <w:rsid w:val="00E07CF1"/>
    <w:rsid w:val="00E339A2"/>
    <w:rsid w:val="00E3561A"/>
    <w:rsid w:val="00E7514D"/>
    <w:rsid w:val="00E76CA1"/>
    <w:rsid w:val="00E92BD7"/>
    <w:rsid w:val="00EA5DF9"/>
    <w:rsid w:val="00EC63F3"/>
    <w:rsid w:val="00EE2200"/>
    <w:rsid w:val="00F063BB"/>
    <w:rsid w:val="00F2325A"/>
    <w:rsid w:val="00F24F20"/>
    <w:rsid w:val="00F26220"/>
    <w:rsid w:val="00F26FC9"/>
    <w:rsid w:val="00F43916"/>
    <w:rsid w:val="00F4513E"/>
    <w:rsid w:val="00F5079A"/>
    <w:rsid w:val="00F76765"/>
    <w:rsid w:val="00F771D1"/>
    <w:rsid w:val="00F8292E"/>
    <w:rsid w:val="00FB3881"/>
    <w:rsid w:val="00FC0697"/>
    <w:rsid w:val="00FC2812"/>
    <w:rsid w:val="00FE26D6"/>
    <w:rsid w:val="00FF4A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47F"/>
  <w15:chartTrackingRefBased/>
  <w15:docId w15:val="{897E198C-9224-4D40-893E-316DF93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05A42"/>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A0">
    <w:name w:val="A0"/>
    <w:uiPriority w:val="99"/>
    <w:rsid w:val="00605A42"/>
    <w:rPr>
      <w:rFonts w:cs="Palatino Linotype"/>
      <w:b/>
      <w:bCs/>
      <w:color w:val="000000"/>
      <w:sz w:val="20"/>
      <w:szCs w:val="20"/>
    </w:rPr>
  </w:style>
  <w:style w:type="paragraph" w:customStyle="1" w:styleId="Pa1">
    <w:name w:val="Pa1"/>
    <w:basedOn w:val="Default"/>
    <w:next w:val="Default"/>
    <w:uiPriority w:val="99"/>
    <w:rsid w:val="00605A42"/>
    <w:pPr>
      <w:spacing w:line="191" w:lineRule="atLeast"/>
    </w:pPr>
    <w:rPr>
      <w:rFonts w:cstheme="minorBidi"/>
      <w:color w:val="auto"/>
    </w:rPr>
  </w:style>
  <w:style w:type="character" w:customStyle="1" w:styleId="A1">
    <w:name w:val="A1"/>
    <w:uiPriority w:val="99"/>
    <w:rsid w:val="00605A42"/>
    <w:rPr>
      <w:rFonts w:cs="Palatino Linotype"/>
      <w:i/>
      <w:iCs/>
      <w:color w:val="000000"/>
      <w:sz w:val="19"/>
      <w:szCs w:val="19"/>
      <w:u w:val="single"/>
    </w:rPr>
  </w:style>
  <w:style w:type="character" w:customStyle="1" w:styleId="A2">
    <w:name w:val="A2"/>
    <w:uiPriority w:val="99"/>
    <w:rsid w:val="00605A42"/>
    <w:rPr>
      <w:rFonts w:cs="Palatino Linotype"/>
      <w:color w:val="000000"/>
      <w:sz w:val="19"/>
      <w:szCs w:val="19"/>
    </w:rPr>
  </w:style>
  <w:style w:type="paragraph" w:customStyle="1" w:styleId="Pa7">
    <w:name w:val="Pa7"/>
    <w:basedOn w:val="Default"/>
    <w:next w:val="Default"/>
    <w:uiPriority w:val="99"/>
    <w:rsid w:val="00605A42"/>
    <w:pPr>
      <w:spacing w:line="191" w:lineRule="atLeast"/>
    </w:pPr>
    <w:rPr>
      <w:rFonts w:cstheme="minorBidi"/>
      <w:color w:val="auto"/>
    </w:rPr>
  </w:style>
  <w:style w:type="paragraph" w:customStyle="1" w:styleId="Pa10">
    <w:name w:val="Pa10"/>
    <w:basedOn w:val="Default"/>
    <w:next w:val="Default"/>
    <w:uiPriority w:val="99"/>
    <w:rsid w:val="00605A42"/>
    <w:pPr>
      <w:spacing w:line="191" w:lineRule="atLeast"/>
    </w:pPr>
    <w:rPr>
      <w:rFonts w:cstheme="minorBidi"/>
      <w:color w:val="auto"/>
    </w:rPr>
  </w:style>
  <w:style w:type="character" w:customStyle="1" w:styleId="A4">
    <w:name w:val="A4"/>
    <w:uiPriority w:val="99"/>
    <w:rsid w:val="00605A42"/>
    <w:rPr>
      <w:rFonts w:cs="Palatino Linotype"/>
      <w:color w:val="000000"/>
      <w:sz w:val="11"/>
      <w:szCs w:val="11"/>
    </w:rPr>
  </w:style>
  <w:style w:type="character" w:customStyle="1" w:styleId="A5">
    <w:name w:val="A5"/>
    <w:uiPriority w:val="99"/>
    <w:rsid w:val="00605A42"/>
    <w:rPr>
      <w:rFonts w:cs="Palatino Linotype"/>
      <w:color w:val="000000"/>
      <w:sz w:val="11"/>
      <w:szCs w:val="11"/>
    </w:rPr>
  </w:style>
  <w:style w:type="character" w:styleId="Lienhypertexte">
    <w:name w:val="Hyperlink"/>
    <w:basedOn w:val="Policepardfaut"/>
    <w:uiPriority w:val="99"/>
    <w:unhideWhenUsed/>
    <w:rsid w:val="00000972"/>
    <w:rPr>
      <w:color w:val="0000FF"/>
      <w:u w:val="single"/>
    </w:rPr>
  </w:style>
  <w:style w:type="character" w:styleId="Marquedecommentaire">
    <w:name w:val="annotation reference"/>
    <w:basedOn w:val="Policepardfaut"/>
    <w:uiPriority w:val="99"/>
    <w:semiHidden/>
    <w:unhideWhenUsed/>
    <w:rsid w:val="00BF119A"/>
    <w:rPr>
      <w:sz w:val="16"/>
      <w:szCs w:val="16"/>
    </w:rPr>
  </w:style>
  <w:style w:type="paragraph" w:styleId="Commentaire">
    <w:name w:val="annotation text"/>
    <w:basedOn w:val="Normal"/>
    <w:link w:val="CommentaireCar"/>
    <w:uiPriority w:val="99"/>
    <w:semiHidden/>
    <w:unhideWhenUsed/>
    <w:rsid w:val="00BF119A"/>
    <w:pPr>
      <w:spacing w:line="240" w:lineRule="auto"/>
    </w:pPr>
    <w:rPr>
      <w:sz w:val="20"/>
      <w:szCs w:val="20"/>
    </w:rPr>
  </w:style>
  <w:style w:type="character" w:customStyle="1" w:styleId="CommentaireCar">
    <w:name w:val="Commentaire Car"/>
    <w:basedOn w:val="Policepardfaut"/>
    <w:link w:val="Commentaire"/>
    <w:uiPriority w:val="99"/>
    <w:semiHidden/>
    <w:rsid w:val="00BF119A"/>
    <w:rPr>
      <w:sz w:val="20"/>
      <w:szCs w:val="20"/>
    </w:rPr>
  </w:style>
  <w:style w:type="paragraph" w:styleId="Objetducommentaire">
    <w:name w:val="annotation subject"/>
    <w:basedOn w:val="Commentaire"/>
    <w:next w:val="Commentaire"/>
    <w:link w:val="ObjetducommentaireCar"/>
    <w:uiPriority w:val="99"/>
    <w:semiHidden/>
    <w:unhideWhenUsed/>
    <w:rsid w:val="00BF119A"/>
    <w:rPr>
      <w:b/>
      <w:bCs/>
    </w:rPr>
  </w:style>
  <w:style w:type="character" w:customStyle="1" w:styleId="ObjetducommentaireCar">
    <w:name w:val="Objet du commentaire Car"/>
    <w:basedOn w:val="CommentaireCar"/>
    <w:link w:val="Objetducommentaire"/>
    <w:uiPriority w:val="99"/>
    <w:semiHidden/>
    <w:rsid w:val="00BF119A"/>
    <w:rPr>
      <w:b/>
      <w:bCs/>
      <w:sz w:val="20"/>
      <w:szCs w:val="20"/>
    </w:rPr>
  </w:style>
  <w:style w:type="paragraph" w:styleId="Textedebulles">
    <w:name w:val="Balloon Text"/>
    <w:basedOn w:val="Normal"/>
    <w:link w:val="TextedebullesCar"/>
    <w:uiPriority w:val="99"/>
    <w:semiHidden/>
    <w:unhideWhenUsed/>
    <w:rsid w:val="00BF11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119A"/>
    <w:rPr>
      <w:rFonts w:ascii="Segoe UI" w:hAnsi="Segoe UI" w:cs="Segoe UI"/>
      <w:sz w:val="18"/>
      <w:szCs w:val="18"/>
    </w:rPr>
  </w:style>
  <w:style w:type="paragraph" w:customStyle="1" w:styleId="Pa6">
    <w:name w:val="Pa6"/>
    <w:basedOn w:val="Default"/>
    <w:next w:val="Default"/>
    <w:uiPriority w:val="99"/>
    <w:rsid w:val="00953C7F"/>
    <w:pPr>
      <w:spacing w:line="191" w:lineRule="atLeast"/>
    </w:pPr>
    <w:rPr>
      <w:rFonts w:cstheme="minorBidi"/>
      <w:color w:val="auto"/>
    </w:rPr>
  </w:style>
  <w:style w:type="paragraph" w:styleId="NormalWeb">
    <w:name w:val="Normal (Web)"/>
    <w:basedOn w:val="Normal"/>
    <w:uiPriority w:val="99"/>
    <w:unhideWhenUsed/>
    <w:rsid w:val="009311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style01">
    <w:name w:val="fontstyle01"/>
    <w:basedOn w:val="Policepardfaut"/>
    <w:rsid w:val="00057435"/>
    <w:rPr>
      <w:rFonts w:ascii="PalatinoLinotype-Roman" w:hAnsi="PalatinoLinotype-Roman" w:hint="default"/>
      <w:b w:val="0"/>
      <w:bCs w:val="0"/>
      <w:i w:val="0"/>
      <w:iCs w:val="0"/>
      <w:color w:val="242021"/>
      <w:sz w:val="20"/>
      <w:szCs w:val="20"/>
    </w:rPr>
  </w:style>
  <w:style w:type="character" w:customStyle="1" w:styleId="fontstyle21">
    <w:name w:val="fontstyle21"/>
    <w:basedOn w:val="Policepardfaut"/>
    <w:rsid w:val="00057435"/>
    <w:rPr>
      <w:rFonts w:ascii="PalatinoLinotype-Italic" w:hAnsi="PalatinoLinotype-Italic" w:hint="default"/>
      <w:b w:val="0"/>
      <w:bCs w:val="0"/>
      <w:i/>
      <w:iCs/>
      <w:color w:val="2B59A8"/>
      <w:sz w:val="20"/>
      <w:szCs w:val="20"/>
    </w:rPr>
  </w:style>
  <w:style w:type="character" w:customStyle="1" w:styleId="fontstyle31">
    <w:name w:val="fontstyle31"/>
    <w:basedOn w:val="Policepardfaut"/>
    <w:rsid w:val="00057435"/>
    <w:rPr>
      <w:rFonts w:ascii="PalatinoLinotype-Bold" w:hAnsi="PalatinoLinotype-Bold" w:hint="default"/>
      <w:b/>
      <w:bCs/>
      <w:i w:val="0"/>
      <w:iCs w:val="0"/>
      <w:color w:val="242021"/>
      <w:sz w:val="20"/>
      <w:szCs w:val="20"/>
    </w:rPr>
  </w:style>
  <w:style w:type="paragraph" w:styleId="Corpsdetexte">
    <w:name w:val="Body Text"/>
    <w:basedOn w:val="Normal"/>
    <w:link w:val="CorpsdetexteCar"/>
    <w:qFormat/>
    <w:rsid w:val="003014B0"/>
    <w:pPr>
      <w:spacing w:before="180" w:after="180" w:line="240" w:lineRule="auto"/>
    </w:pPr>
    <w:rPr>
      <w:sz w:val="24"/>
      <w:szCs w:val="24"/>
      <w:lang w:val="en-US"/>
    </w:rPr>
  </w:style>
  <w:style w:type="character" w:customStyle="1" w:styleId="CorpsdetexteCar">
    <w:name w:val="Corps de texte Car"/>
    <w:basedOn w:val="Policepardfaut"/>
    <w:link w:val="Corpsdetexte"/>
    <w:rsid w:val="003014B0"/>
    <w:rPr>
      <w:sz w:val="24"/>
      <w:szCs w:val="24"/>
      <w:lang w:val="en-US"/>
    </w:rPr>
  </w:style>
  <w:style w:type="paragraph" w:customStyle="1" w:styleId="FirstParagraph">
    <w:name w:val="First Paragraph"/>
    <w:basedOn w:val="Corpsdetexte"/>
    <w:next w:val="Corpsdetexte"/>
    <w:qFormat/>
    <w:rsid w:val="003014B0"/>
  </w:style>
  <w:style w:type="paragraph" w:styleId="PrformatHTML">
    <w:name w:val="HTML Preformatted"/>
    <w:basedOn w:val="Normal"/>
    <w:link w:val="PrformatHTMLCar"/>
    <w:uiPriority w:val="99"/>
    <w:unhideWhenUsed/>
    <w:rsid w:val="0059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9136F"/>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1209ED"/>
    <w:rPr>
      <w:color w:val="954F72" w:themeColor="followedHyperlink"/>
      <w:u w:val="single"/>
    </w:rPr>
  </w:style>
  <w:style w:type="paragraph" w:styleId="Notedebasdepage">
    <w:name w:val="footnote text"/>
    <w:basedOn w:val="Normal"/>
    <w:link w:val="NotedebasdepageCar"/>
    <w:uiPriority w:val="99"/>
    <w:semiHidden/>
    <w:unhideWhenUsed/>
    <w:rsid w:val="00DE2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E2CE2"/>
    <w:rPr>
      <w:sz w:val="20"/>
      <w:szCs w:val="20"/>
    </w:rPr>
  </w:style>
  <w:style w:type="character" w:styleId="Appelnotedebasdep">
    <w:name w:val="footnote reference"/>
    <w:basedOn w:val="Policepardfaut"/>
    <w:uiPriority w:val="99"/>
    <w:semiHidden/>
    <w:unhideWhenUsed/>
    <w:rsid w:val="00DE2C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30139">
      <w:bodyDiv w:val="1"/>
      <w:marLeft w:val="0"/>
      <w:marRight w:val="0"/>
      <w:marTop w:val="0"/>
      <w:marBottom w:val="0"/>
      <w:divBdr>
        <w:top w:val="none" w:sz="0" w:space="0" w:color="auto"/>
        <w:left w:val="none" w:sz="0" w:space="0" w:color="auto"/>
        <w:bottom w:val="none" w:sz="0" w:space="0" w:color="auto"/>
        <w:right w:val="none" w:sz="0" w:space="0" w:color="auto"/>
      </w:divBdr>
    </w:div>
    <w:div w:id="1195583454">
      <w:bodyDiv w:val="1"/>
      <w:marLeft w:val="0"/>
      <w:marRight w:val="0"/>
      <w:marTop w:val="0"/>
      <w:marBottom w:val="0"/>
      <w:divBdr>
        <w:top w:val="none" w:sz="0" w:space="0" w:color="auto"/>
        <w:left w:val="none" w:sz="0" w:space="0" w:color="auto"/>
        <w:bottom w:val="none" w:sz="0" w:space="0" w:color="auto"/>
        <w:right w:val="none" w:sz="0" w:space="0" w:color="auto"/>
      </w:divBdr>
    </w:div>
    <w:div w:id="1467818467">
      <w:bodyDiv w:val="1"/>
      <w:marLeft w:val="0"/>
      <w:marRight w:val="0"/>
      <w:marTop w:val="0"/>
      <w:marBottom w:val="0"/>
      <w:divBdr>
        <w:top w:val="none" w:sz="0" w:space="0" w:color="auto"/>
        <w:left w:val="none" w:sz="0" w:space="0" w:color="auto"/>
        <w:bottom w:val="none" w:sz="0" w:space="0" w:color="auto"/>
        <w:right w:val="none" w:sz="0" w:space="0" w:color="auto"/>
      </w:divBdr>
    </w:div>
    <w:div w:id="1804272415">
      <w:bodyDiv w:val="1"/>
      <w:marLeft w:val="0"/>
      <w:marRight w:val="0"/>
      <w:marTop w:val="0"/>
      <w:marBottom w:val="0"/>
      <w:divBdr>
        <w:top w:val="none" w:sz="0" w:space="0" w:color="auto"/>
        <w:left w:val="none" w:sz="0" w:space="0" w:color="auto"/>
        <w:bottom w:val="none" w:sz="0" w:space="0" w:color="auto"/>
        <w:right w:val="none" w:sz="0" w:space="0" w:color="auto"/>
      </w:divBdr>
    </w:div>
    <w:div w:id="190043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ieur.gouv.fr/Interstats/Methode" TargetMode="External"/><Relationship Id="rId13" Type="http://schemas.openxmlformats.org/officeDocument/2006/relationships/hyperlink" Target="https://www.insee.fr/fr/statistiques/5039991?sommaire=5040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ee.fr/fr/information/211463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ieur.gouv.fr/Interstats/L-enquete-Cadre-de-vie-et-securite-CVS" TargetMode="External"/><Relationship Id="rId5" Type="http://schemas.openxmlformats.org/officeDocument/2006/relationships/webSettings" Target="webSettings.xml"/><Relationship Id="rId15" Type="http://schemas.openxmlformats.org/officeDocument/2006/relationships/hyperlink" Target="https://www.interieur.gouv.fr/Interstats/Methode" TargetMode="External"/><Relationship Id="rId10" Type="http://schemas.openxmlformats.org/officeDocument/2006/relationships/hyperlink" Target="https://www.data.gouv.fr/fr/datasets/indicateurs-annuels-de-la-victimation-et-du-sentiment-dinsecurite-issus-des-enquetes-cadre-de-vie-et-securite/" TargetMode="External"/><Relationship Id="rId4" Type="http://schemas.openxmlformats.org/officeDocument/2006/relationships/settings" Target="settings.xml"/><Relationship Id="rId9" Type="http://schemas.openxmlformats.org/officeDocument/2006/relationships/hyperlink" Target="https://www.interieur.gouv.fr/Interstats/Methode" TargetMode="External"/><Relationship Id="rId14" Type="http://schemas.openxmlformats.org/officeDocument/2006/relationships/hyperlink" Target="https://www.interieur.gouv.fr/Interstats/Publications/Interstats-Analyse/Geographie-de-la-delinquance-a-l-echelle-communale-Interstats-Analyse-N-4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C411-CC2A-4892-A14D-76095885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8</Pages>
  <Words>3262</Words>
  <Characters>17947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21167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LOQUET Julien</dc:creator>
  <cp:keywords/>
  <dc:description/>
  <cp:lastModifiedBy>LOQUET Julien</cp:lastModifiedBy>
  <cp:revision>49</cp:revision>
  <cp:lastPrinted>2021-12-02T09:55:00Z</cp:lastPrinted>
  <dcterms:created xsi:type="dcterms:W3CDTF">2021-12-17T14:51:00Z</dcterms:created>
  <dcterms:modified xsi:type="dcterms:W3CDTF">2022-03-01T10:02:00Z</dcterms:modified>
</cp:coreProperties>
</file>