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before="0"/>
        <w:jc w:val="center"/>
      </w:pPr>
      <w:r>
        <w:rPr>
          <w:rFonts w:ascii="Arial" w:cs="Arial" w:eastAsia="Arial" w:hAnsi="Arial"/>
          <w:b/>
          <w:bCs/>
          <w:color w:val="1A3A5C"/>
          <w:sz w:val="52"/>
          <w:szCs w:val="52"/>
        </w:rPr>
        <w:t xml:space="preserve">KOLYB</w:t>
      </w:r>
    </w:p>
    <w:p>
      <w:pPr>
        <w:spacing w:after="80" w:before="0"/>
        <w:jc w:val="center"/>
      </w:pPr>
      <w:r>
        <w:rPr>
          <w:rFonts w:ascii="Arial" w:cs="Arial" w:eastAsia="Arial" w:hAnsi="Arial"/>
          <w:b/>
          <w:bCs/>
          <w:color w:val="2E75B6"/>
          <w:sz w:val="36"/>
          <w:szCs w:val="36"/>
        </w:rPr>
        <w:t xml:space="preserve">Politique de Confidentialité</w:t>
      </w:r>
    </w:p>
    <w:p>
      <w:pPr>
        <w:spacing w:after="40" w:before="0"/>
        <w:jc w:val="center"/>
      </w:pPr>
      <w:r>
        <w:rPr>
          <w:rFonts w:ascii="Arial" w:cs="Arial" w:eastAsia="Arial" w:hAnsi="Arial"/>
          <w:i/>
          <w:iCs/>
          <w:color w:val="5A6A7A"/>
          <w:sz w:val="22"/>
          <w:szCs w:val="22"/>
        </w:rPr>
        <w:t xml:space="preserve">Application bien-être &amp; productivité pour entrepreneurs</w:t>
      </w:r>
    </w:p>
    <w:p>
      <w:pPr>
        <w:spacing w:after="400" w:before="0"/>
        <w:jc w:val="center"/>
      </w:pPr>
      <w:r>
        <w:rPr>
          <w:rFonts w:ascii="Arial" w:cs="Arial" w:eastAsia="Arial" w:hAnsi="Arial"/>
          <w:color w:val="5A6A7A"/>
          <w:sz w:val="20"/>
          <w:szCs w:val="20"/>
        </w:rPr>
        <w:t xml:space="preserve">Version 1.0  –  Date d'entrée en vigueur : </w:t>
      </w:r>
      <w:r>
        <w:rPr>
          <w:rFonts w:ascii="Arial" w:cs="Arial" w:eastAsia="Arial" w:hAnsi="Arial"/>
          <w:b/>
          <w:bCs/>
          <w:color w:val="C0392B"/>
          <w:sz w:val="20"/>
          <w:szCs w:val="20"/>
        </w:rPr>
        <w:t xml:space="preserve">°°°°° DATE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14"/>
              <w:bottom w:val="single" w:color="2E75B6" w:sz="6"/>
              <w:right w:val="single" w:color="2E75B6" w:sz="6"/>
            </w:tcBorders>
            <w:shd w:fill="EEF4FB" w:val="clear"/>
            <w:tcMar>
              <w:top w:type="dxa" w:w="120"/>
              <w:left w:type="dxa" w:w="200"/>
              <w:bottom w:type="dxa" w:w="120"/>
              <w:right w:type="dxa" w:w="120"/>
            </w:tcMar>
          </w:tcPr>
          <w:p>
            <w:pPr>
              <w:spacing w:after="60" w:before="0"/>
            </w:pPr>
            <w:r>
              <w:rPr>
                <w:rFonts w:ascii="Arial" w:cs="Arial" w:eastAsia="Arial" w:hAnsi="Arial"/>
                <w:b/>
                <w:bCs/>
                <w:color w:val="1A3A5C"/>
                <w:sz w:val="22"/>
                <w:szCs w:val="22"/>
              </w:rPr>
              <w:t xml:space="preserve">Résumé essentiel</w:t>
            </w:r>
          </w:p>
          <w:p>
            <w:pPr>
              <w:spacing w:after="0" w:before="0"/>
            </w:pPr>
            <w:r>
              <w:rPr>
                <w:rFonts w:ascii="Arial" w:cs="Arial" w:eastAsia="Arial" w:hAnsi="Arial"/>
                <w:color w:val="2C2C2C"/>
                <w:sz w:val="20"/>
                <w:szCs w:val="20"/>
              </w:rPr>
              <w:t xml:space="preserve">Kolyb collecte des données personnelles, dont certaines relatives à votre bien-être et à votre santé, afin de vous offrir un accompagnement personnalisé. Ces données ne sont jamais vendues à des tiers. Vous disposez à tout moment d'un droit d'accès, de rectification, d'effacement et de portabilité. Pour toute question : °°°°° EMAIL CONTACT °°°°°</w:t>
            </w:r>
          </w:p>
        </w:tc>
      </w:tr>
    </w:tbl>
    <w:p>
      <w:pPr>
        <w:spacing w:after="20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1 – Identité du responsable de traitement</w:t>
      </w:r>
    </w:p>
    <w:p>
      <w:pPr>
        <w:spacing w:after="80" w:before="80"/>
      </w:pPr>
      <w:r>
        <w:rPr>
          <w:rFonts w:ascii="Arial" w:cs="Arial" w:eastAsia="Arial" w:hAnsi="Arial"/>
          <w:color w:val="2C2C2C"/>
          <w:sz w:val="22"/>
          <w:szCs w:val="22"/>
        </w:rPr>
        <w:t xml:space="preserve">La présente Politique de confidentialité est établie par :</w:t>
      </w:r>
    </w:p>
    <w:p>
      <w:pPr>
        <w:spacing w:after="60" w:before="0"/>
      </w:pPr>
      <w:r>
        <w:t xml:space="preserve"/>
      </w:r>
    </w:p>
    <w:p>
      <w:pPr>
        <w:spacing w:after="80" w:before="80"/>
      </w:pPr>
      <w:r>
        <w:rPr>
          <w:rFonts w:ascii="Arial" w:cs="Arial" w:eastAsia="Arial" w:hAnsi="Arial"/>
          <w:b/>
          <w:bCs/>
          <w:color w:val="2C2C2C"/>
          <w:sz w:val="22"/>
          <w:szCs w:val="22"/>
        </w:rPr>
        <w:t xml:space="preserve">Nom / Raison sociale : </w:t>
      </w:r>
      <w:r>
        <w:rPr>
          <w:rFonts w:ascii="Arial" w:cs="Arial" w:eastAsia="Arial" w:hAnsi="Arial"/>
          <w:b/>
          <w:bCs/>
          <w:color w:val="C0392B"/>
          <w:sz w:val="22"/>
          <w:szCs w:val="22"/>
        </w:rPr>
        <w:t xml:space="preserve">°°°°° NOM COMPLET OU RAISON SOCIALE °°°°°</w:t>
      </w:r>
    </w:p>
    <w:p>
      <w:pPr>
        <w:spacing w:after="80" w:before="80"/>
      </w:pPr>
      <w:r>
        <w:rPr>
          <w:rFonts w:ascii="Arial" w:cs="Arial" w:eastAsia="Arial" w:hAnsi="Arial"/>
          <w:b/>
          <w:bCs/>
          <w:color w:val="2C2C2C"/>
          <w:sz w:val="22"/>
          <w:szCs w:val="22"/>
        </w:rPr>
        <w:t xml:space="preserve">Statut juridique : </w:t>
      </w:r>
      <w:r>
        <w:rPr>
          <w:rFonts w:ascii="Arial" w:cs="Arial" w:eastAsia="Arial" w:hAnsi="Arial"/>
          <w:b/>
          <w:bCs/>
          <w:color w:val="C0392B"/>
          <w:sz w:val="22"/>
          <w:szCs w:val="22"/>
        </w:rPr>
        <w:t xml:space="preserve">°°°°° ex : Auto-entrepreneur / SASU / EURL °°°°°</w:t>
      </w:r>
    </w:p>
    <w:p>
      <w:pPr>
        <w:spacing w:after="80" w:before="80"/>
      </w:pPr>
      <w:r>
        <w:rPr>
          <w:rFonts w:ascii="Arial" w:cs="Arial" w:eastAsia="Arial" w:hAnsi="Arial"/>
          <w:b/>
          <w:bCs/>
          <w:color w:val="2C2C2C"/>
          <w:sz w:val="22"/>
          <w:szCs w:val="22"/>
        </w:rPr>
        <w:t xml:space="preserve">Numéro SIRET : </w:t>
      </w:r>
      <w:r>
        <w:rPr>
          <w:rFonts w:ascii="Arial" w:cs="Arial" w:eastAsia="Arial" w:hAnsi="Arial"/>
          <w:b/>
          <w:bCs/>
          <w:color w:val="C0392B"/>
          <w:sz w:val="22"/>
          <w:szCs w:val="22"/>
        </w:rPr>
        <w:t xml:space="preserve">°°°°° SIRET °°°°°</w:t>
      </w:r>
    </w:p>
    <w:p>
      <w:pPr>
        <w:spacing w:after="80" w:before="80"/>
      </w:pPr>
      <w:r>
        <w:rPr>
          <w:rFonts w:ascii="Arial" w:cs="Arial" w:eastAsia="Arial" w:hAnsi="Arial"/>
          <w:b/>
          <w:bCs/>
          <w:color w:val="2C2C2C"/>
          <w:sz w:val="22"/>
          <w:szCs w:val="22"/>
        </w:rPr>
        <w:t xml:space="preserve">Adresse du siège : </w:t>
      </w:r>
      <w:r>
        <w:rPr>
          <w:rFonts w:ascii="Arial" w:cs="Arial" w:eastAsia="Arial" w:hAnsi="Arial"/>
          <w:b/>
          <w:bCs/>
          <w:color w:val="C0392B"/>
          <w:sz w:val="22"/>
          <w:szCs w:val="22"/>
        </w:rPr>
        <w:t xml:space="preserve">°°°°° ADRESSE COMPLÈTE °°°°°</w:t>
      </w:r>
    </w:p>
    <w:p>
      <w:pPr>
        <w:spacing w:after="80" w:before="80"/>
      </w:pPr>
      <w:r>
        <w:rPr>
          <w:rFonts w:ascii="Arial" w:cs="Arial" w:eastAsia="Arial" w:hAnsi="Arial"/>
          <w:b/>
          <w:bCs/>
          <w:color w:val="2C2C2C"/>
          <w:sz w:val="22"/>
          <w:szCs w:val="22"/>
        </w:rPr>
        <w:t xml:space="preserve">Adresse e-mail de contact : </w:t>
      </w:r>
      <w:r>
        <w:rPr>
          <w:rFonts w:ascii="Arial" w:cs="Arial" w:eastAsia="Arial" w:hAnsi="Arial"/>
          <w:b/>
          <w:bCs/>
          <w:color w:val="C0392B"/>
          <w:sz w:val="22"/>
          <w:szCs w:val="22"/>
        </w:rPr>
        <w:t xml:space="preserve">°°°°° EMAIL °°°°°</w:t>
      </w:r>
    </w:p>
    <w:p>
      <w:pPr>
        <w:spacing w:after="80" w:before="80"/>
      </w:pPr>
      <w:r>
        <w:rPr>
          <w:rFonts w:ascii="Arial" w:cs="Arial" w:eastAsia="Arial" w:hAnsi="Arial"/>
          <w:b/>
          <w:bCs/>
          <w:color w:val="2C2C2C"/>
          <w:sz w:val="22"/>
          <w:szCs w:val="22"/>
        </w:rPr>
        <w:t xml:space="preserve">Hébergeur de l'application : </w:t>
      </w:r>
      <w:r>
        <w:rPr>
          <w:rFonts w:ascii="Arial" w:cs="Arial" w:eastAsia="Arial" w:hAnsi="Arial"/>
          <w:b/>
          <w:bCs/>
          <w:color w:val="C0392B"/>
          <w:sz w:val="22"/>
          <w:szCs w:val="22"/>
        </w:rPr>
        <w:t xml:space="preserve">°°°°° ex : AWS / Firebase / OVH – préciser pays d'hébergement °°°°°</w:t>
      </w:r>
    </w:p>
    <w:p>
      <w:pPr>
        <w:spacing w:after="60" w:before="0"/>
      </w:pPr>
      <w:r>
        <w:t xml:space="preserve"/>
      </w:r>
    </w:p>
    <w:p>
      <w:pPr>
        <w:spacing w:after="80" w:before="80"/>
      </w:pPr>
      <w:r>
        <w:rPr>
          <w:rFonts w:ascii="Arial" w:cs="Arial" w:eastAsia="Arial" w:hAnsi="Arial"/>
          <w:color w:val="2C2C2C"/>
          <w:sz w:val="22"/>
          <w:szCs w:val="22"/>
        </w:rPr>
        <w:t xml:space="preserve">Le responsable de traitement est la personne physique ou morale qui détermine les finalités et les moyens du traitement des données à caractère personnel au sens de l'article 4 du Règlement (UE) 2016/679 (RGPD).</w:t>
      </w:r>
    </w:p>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2 – Données collectées</w:t>
      </w:r>
    </w:p>
    <w:p>
      <w:pPr>
        <w:spacing w:after="80" w:before="80"/>
      </w:pPr>
      <w:r>
        <w:rPr>
          <w:rFonts w:ascii="Arial" w:cs="Arial" w:eastAsia="Arial" w:hAnsi="Arial"/>
          <w:color w:val="2C2C2C"/>
          <w:sz w:val="22"/>
          <w:szCs w:val="22"/>
        </w:rPr>
        <w:t xml:space="preserve">Dans le cadre de l'utilisation de l'application Kolyb, les catégories de données suivantes peuvent être collectées :</w:t>
      </w:r>
    </w:p>
    <w:p>
      <w:pPr>
        <w:spacing w:after="60" w:before="0"/>
      </w:pPr>
      <w:r>
        <w:t xml:space="preserve"/>
      </w:r>
    </w:p>
    <w:p>
      <w:pPr>
        <w:pStyle w:val="Heading2"/>
        <w:spacing w:after="100" w:before="240"/>
      </w:pPr>
      <w:r>
        <w:rPr>
          <w:rFonts w:ascii="Arial" w:cs="Arial" w:eastAsia="Arial" w:hAnsi="Arial"/>
          <w:b/>
          <w:bCs/>
          <w:color w:val="2E75B6"/>
          <w:sz w:val="22"/>
          <w:szCs w:val="22"/>
        </w:rPr>
        <w:t xml:space="preserve">2.1 Données d'identité et de contact</w:t>
      </w:r>
    </w:p>
    <w:p>
      <w:pPr>
        <w:pStyle w:val="ListParagraph"/>
        <w:numPr>
          <w:ilvl w:val="0"/>
          <w:numId w:val="2"/>
        </w:numPr>
        <w:spacing w:after="60" w:before="60"/>
      </w:pPr>
      <w:r>
        <w:rPr>
          <w:rFonts w:ascii="Arial" w:cs="Arial" w:eastAsia="Arial" w:hAnsi="Arial"/>
          <w:b w:val="false"/>
          <w:bCs w:val="false"/>
          <w:color w:val="2C2C2C"/>
          <w:sz w:val="22"/>
          <w:szCs w:val="22"/>
        </w:rPr>
        <w:t xml:space="preserve">Nom, prénom</w:t>
      </w:r>
    </w:p>
    <w:p>
      <w:pPr>
        <w:pStyle w:val="ListParagraph"/>
        <w:numPr>
          <w:ilvl w:val="0"/>
          <w:numId w:val="2"/>
        </w:numPr>
        <w:spacing w:after="60" w:before="60"/>
      </w:pPr>
      <w:r>
        <w:rPr>
          <w:rFonts w:ascii="Arial" w:cs="Arial" w:eastAsia="Arial" w:hAnsi="Arial"/>
          <w:b w:val="false"/>
          <w:bCs w:val="false"/>
          <w:color w:val="2C2C2C"/>
          <w:sz w:val="22"/>
          <w:szCs w:val="22"/>
        </w:rPr>
        <w:t xml:space="preserve">Adresse e-mail</w:t>
      </w:r>
    </w:p>
    <w:p>
      <w:pPr>
        <w:pStyle w:val="ListParagraph"/>
        <w:numPr>
          <w:ilvl w:val="0"/>
          <w:numId w:val="2"/>
        </w:numPr>
        <w:spacing w:after="60" w:before="60"/>
      </w:pPr>
      <w:r>
        <w:rPr>
          <w:rFonts w:ascii="Arial" w:cs="Arial" w:eastAsia="Arial" w:hAnsi="Arial"/>
          <w:b w:val="false"/>
          <w:bCs w:val="false"/>
          <w:color w:val="2C2C2C"/>
          <w:sz w:val="22"/>
          <w:szCs w:val="22"/>
        </w:rPr>
        <w:t xml:space="preserve">Mot de passe (stocké sous forme chiffrée, jamais lisible)</w:t>
      </w:r>
    </w:p>
    <w:p>
      <w:pPr>
        <w:pStyle w:val="ListParagraph"/>
        <w:numPr>
          <w:ilvl w:val="0"/>
          <w:numId w:val="2"/>
        </w:numPr>
        <w:spacing w:after="60" w:before="60"/>
      </w:pPr>
      <w:r>
        <w:rPr>
          <w:rFonts w:ascii="Arial" w:cs="Arial" w:eastAsia="Arial" w:hAnsi="Arial"/>
          <w:b w:val="false"/>
          <w:bCs w:val="false"/>
          <w:color w:val="2C2C2C"/>
          <w:sz w:val="22"/>
          <w:szCs w:val="22"/>
        </w:rPr>
        <w:t xml:space="preserve">Âge ou date de naissance</w:t>
      </w:r>
    </w:p>
    <w:p>
      <w:pPr>
        <w:pStyle w:val="ListParagraph"/>
        <w:numPr>
          <w:ilvl w:val="0"/>
          <w:numId w:val="2"/>
        </w:numPr>
        <w:spacing w:after="60" w:before="60"/>
      </w:pPr>
      <w:r>
        <w:rPr>
          <w:rFonts w:ascii="Arial" w:cs="Arial" w:eastAsia="Arial" w:hAnsi="Arial"/>
          <w:b w:val="false"/>
          <w:bCs w:val="false"/>
          <w:color w:val="2C2C2C"/>
          <w:sz w:val="22"/>
          <w:szCs w:val="22"/>
        </w:rPr>
        <w:t xml:space="preserve">Genre (optionnel)</w:t>
      </w:r>
    </w:p>
    <w:p>
      <w:pPr>
        <w:pStyle w:val="ListParagraph"/>
        <w:numPr>
          <w:ilvl w:val="0"/>
          <w:numId w:val="2"/>
        </w:numPr>
        <w:spacing w:after="60" w:before="60"/>
      </w:pPr>
      <w:r>
        <w:rPr>
          <w:rFonts w:ascii="Arial" w:cs="Arial" w:eastAsia="Arial" w:hAnsi="Arial"/>
          <w:b w:val="false"/>
          <w:bCs w:val="false"/>
          <w:color w:val="2C2C2C"/>
          <w:sz w:val="22"/>
          <w:szCs w:val="22"/>
        </w:rPr>
        <w:t xml:space="preserve">Photo de profil (optionnelle)</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2.2 Données de bien-être et de santé (données sensibles)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14"/>
              <w:bottom w:val="single" w:color="2E75B6" w:sz="6"/>
              <w:right w:val="single" w:color="2E75B6" w:sz="6"/>
            </w:tcBorders>
            <w:shd w:fill="EEF4FB" w:val="clear"/>
            <w:tcMar>
              <w:top w:type="dxa" w:w="120"/>
              <w:left w:type="dxa" w:w="200"/>
              <w:bottom w:type="dxa" w:w="120"/>
              <w:right w:type="dxa" w:w="120"/>
            </w:tcMar>
          </w:tcPr>
          <w:p>
            <w:pPr>
              <w:spacing w:after="60" w:before="0"/>
            </w:pPr>
            <w:r>
              <w:rPr>
                <w:rFonts w:ascii="Arial" w:cs="Arial" w:eastAsia="Arial" w:hAnsi="Arial"/>
                <w:b/>
                <w:bCs/>
                <w:color w:val="1A3A5C"/>
                <w:sz w:val="22"/>
                <w:szCs w:val="22"/>
              </w:rPr>
              <w:t xml:space="preserve">Attention – Données sensibles (Article 9 RGPD)</w:t>
            </w:r>
          </w:p>
          <w:p>
            <w:pPr>
              <w:spacing w:after="0" w:before="0"/>
            </w:pPr>
            <w:r>
              <w:rPr>
                <w:rFonts w:ascii="Arial" w:cs="Arial" w:eastAsia="Arial" w:hAnsi="Arial"/>
                <w:color w:val="2C2C2C"/>
                <w:sz w:val="20"/>
                <w:szCs w:val="20"/>
              </w:rPr>
              <w:t xml:space="preserve">Les données relatives à votre bien-être (sommeil, humeur, niveau d'énergie, état émotionnel) sont susceptibles d'être qualifiées de données de santé au sens de l'article 9 du RGPD. Leur traitement repose exclusivement sur votre consentement explicite, librement donné, spécifique et révocable à tout moment.</w:t>
            </w:r>
          </w:p>
        </w:tc>
      </w:tr>
    </w:tbl>
    <w:p>
      <w:pPr>
        <w:spacing w:after="80" w:before="0"/>
      </w:pPr>
      <w:r>
        <w:t xml:space="preserve"/>
      </w:r>
    </w:p>
    <w:p>
      <w:pPr>
        <w:pStyle w:val="ListParagraph"/>
        <w:numPr>
          <w:ilvl w:val="0"/>
          <w:numId w:val="2"/>
        </w:numPr>
        <w:spacing w:after="60" w:before="60"/>
      </w:pPr>
      <w:r>
        <w:rPr>
          <w:rFonts w:ascii="Arial" w:cs="Arial" w:eastAsia="Arial" w:hAnsi="Arial"/>
          <w:b w:val="false"/>
          <w:bCs w:val="false"/>
          <w:color w:val="2C2C2C"/>
          <w:sz w:val="22"/>
          <w:szCs w:val="22"/>
        </w:rPr>
        <w:t xml:space="preserve">Qualité et durée du sommeil (renseignées lors des check-in)</w:t>
      </w:r>
    </w:p>
    <w:p>
      <w:pPr>
        <w:pStyle w:val="ListParagraph"/>
        <w:numPr>
          <w:ilvl w:val="0"/>
          <w:numId w:val="2"/>
        </w:numPr>
        <w:spacing w:after="60" w:before="60"/>
      </w:pPr>
      <w:r>
        <w:rPr>
          <w:rFonts w:ascii="Arial" w:cs="Arial" w:eastAsia="Arial" w:hAnsi="Arial"/>
          <w:b w:val="false"/>
          <w:bCs w:val="false"/>
          <w:color w:val="2C2C2C"/>
          <w:sz w:val="22"/>
          <w:szCs w:val="22"/>
        </w:rPr>
        <w:t xml:space="preserve">Niveau d'énergie et d'humeur (check-in matin et soir)</w:t>
      </w:r>
    </w:p>
    <w:p>
      <w:pPr>
        <w:pStyle w:val="ListParagraph"/>
        <w:numPr>
          <w:ilvl w:val="0"/>
          <w:numId w:val="2"/>
        </w:numPr>
        <w:spacing w:after="60" w:before="60"/>
      </w:pPr>
      <w:r>
        <w:rPr>
          <w:rFonts w:ascii="Arial" w:cs="Arial" w:eastAsia="Arial" w:hAnsi="Arial"/>
          <w:b w:val="false"/>
          <w:bCs w:val="false"/>
          <w:color w:val="2C2C2C"/>
          <w:sz w:val="22"/>
          <w:szCs w:val="22"/>
        </w:rPr>
        <w:t xml:space="preserve">Indicateurs de stress, de bien-être subjectif ou d'état émotionnel</w:t>
      </w:r>
    </w:p>
    <w:p>
      <w:pPr>
        <w:pStyle w:val="ListParagraph"/>
        <w:numPr>
          <w:ilvl w:val="0"/>
          <w:numId w:val="2"/>
        </w:numPr>
        <w:spacing w:after="60" w:before="60"/>
      </w:pPr>
      <w:r>
        <w:rPr>
          <w:rFonts w:ascii="Arial" w:cs="Arial" w:eastAsia="Arial" w:hAnsi="Arial"/>
          <w:b w:val="false"/>
          <w:bCs w:val="false"/>
          <w:color w:val="2C2C2C"/>
          <w:sz w:val="22"/>
          <w:szCs w:val="22"/>
        </w:rPr>
        <w:t xml:space="preserve">Objectifs personnels de bien-être renseignés dans les planners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2.3 Données de profil entrepreneurial</w:t>
      </w:r>
    </w:p>
    <w:p>
      <w:pPr>
        <w:pStyle w:val="ListParagraph"/>
        <w:numPr>
          <w:ilvl w:val="0"/>
          <w:numId w:val="2"/>
        </w:numPr>
        <w:spacing w:after="60" w:before="60"/>
      </w:pPr>
      <w:r>
        <w:rPr>
          <w:rFonts w:ascii="Arial" w:cs="Arial" w:eastAsia="Arial" w:hAnsi="Arial"/>
          <w:b w:val="false"/>
          <w:bCs w:val="false"/>
          <w:color w:val="2C2C2C"/>
          <w:sz w:val="22"/>
          <w:szCs w:val="22"/>
        </w:rPr>
        <w:t xml:space="preserve">Secteur d'activité, type de projet</w:t>
      </w:r>
    </w:p>
    <w:p>
      <w:pPr>
        <w:pStyle w:val="ListParagraph"/>
        <w:numPr>
          <w:ilvl w:val="0"/>
          <w:numId w:val="2"/>
        </w:numPr>
        <w:spacing w:after="60" w:before="60"/>
      </w:pPr>
      <w:r>
        <w:rPr>
          <w:rFonts w:ascii="Arial" w:cs="Arial" w:eastAsia="Arial" w:hAnsi="Arial"/>
          <w:b w:val="false"/>
          <w:bCs w:val="false"/>
          <w:color w:val="2C2C2C"/>
          <w:sz w:val="22"/>
          <w:szCs w:val="22"/>
        </w:rPr>
        <w:t xml:space="preserve">Stade de développement de l'entreprise</w:t>
      </w:r>
    </w:p>
    <w:p>
      <w:pPr>
        <w:pStyle w:val="ListParagraph"/>
        <w:numPr>
          <w:ilvl w:val="0"/>
          <w:numId w:val="2"/>
        </w:numPr>
        <w:spacing w:after="60" w:before="60"/>
      </w:pPr>
      <w:r>
        <w:rPr>
          <w:rFonts w:ascii="Arial" w:cs="Arial" w:eastAsia="Arial" w:hAnsi="Arial"/>
          <w:b w:val="false"/>
          <w:bCs w:val="false"/>
          <w:color w:val="2C2C2C"/>
          <w:sz w:val="22"/>
          <w:szCs w:val="22"/>
        </w:rPr>
        <w:t xml:space="preserve">Compétences, besoins et centres d'intérêt professionnels déclarés</w:t>
      </w:r>
    </w:p>
    <w:p>
      <w:pPr>
        <w:pStyle w:val="ListParagraph"/>
        <w:numPr>
          <w:ilvl w:val="0"/>
          <w:numId w:val="2"/>
        </w:numPr>
        <w:spacing w:after="60" w:before="60"/>
      </w:pPr>
      <w:r>
        <w:rPr>
          <w:rFonts w:ascii="Arial" w:cs="Arial" w:eastAsia="Arial" w:hAnsi="Arial"/>
          <w:b w:val="false"/>
          <w:bCs w:val="false"/>
          <w:color w:val="2C2C2C"/>
          <w:sz w:val="22"/>
          <w:szCs w:val="22"/>
        </w:rPr>
        <w:t xml:space="preserve">Objectifs de productivité et d'activité renseignés dans les planners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2.4 Données de contenu généré</w:t>
      </w:r>
    </w:p>
    <w:p>
      <w:pPr>
        <w:pStyle w:val="ListParagraph"/>
        <w:numPr>
          <w:ilvl w:val="0"/>
          <w:numId w:val="2"/>
        </w:numPr>
        <w:spacing w:after="60" w:before="60"/>
      </w:pPr>
      <w:r>
        <w:rPr>
          <w:rFonts w:ascii="Arial" w:cs="Arial" w:eastAsia="Arial" w:hAnsi="Arial"/>
          <w:b w:val="false"/>
          <w:bCs w:val="false"/>
          <w:color w:val="2C2C2C"/>
          <w:sz w:val="22"/>
          <w:szCs w:val="22"/>
        </w:rPr>
        <w:t xml:space="preserve">Messages publiés dans les groupes communautaires</w:t>
      </w:r>
    </w:p>
    <w:p>
      <w:pPr>
        <w:pStyle w:val="ListParagraph"/>
        <w:numPr>
          <w:ilvl w:val="0"/>
          <w:numId w:val="2"/>
        </w:numPr>
        <w:spacing w:after="60" w:before="60"/>
      </w:pPr>
      <w:r>
        <w:rPr>
          <w:rFonts w:ascii="Arial" w:cs="Arial" w:eastAsia="Arial" w:hAnsi="Arial"/>
          <w:b w:val="false"/>
          <w:bCs w:val="false"/>
          <w:color w:val="2C2C2C"/>
          <w:sz w:val="22"/>
          <w:szCs w:val="22"/>
        </w:rPr>
        <w:t xml:space="preserve">Commentaires, réponses, réactions</w:t>
      </w:r>
    </w:p>
    <w:p>
      <w:pPr>
        <w:pStyle w:val="ListParagraph"/>
        <w:numPr>
          <w:ilvl w:val="0"/>
          <w:numId w:val="2"/>
        </w:numPr>
        <w:spacing w:after="60" w:before="60"/>
      </w:pPr>
      <w:r>
        <w:rPr>
          <w:rFonts w:ascii="Arial" w:cs="Arial" w:eastAsia="Arial" w:hAnsi="Arial"/>
          <w:b w:val="false"/>
          <w:bCs w:val="false"/>
          <w:color w:val="2C2C2C"/>
          <w:sz w:val="22"/>
          <w:szCs w:val="22"/>
        </w:rPr>
        <w:t xml:space="preserve">Contenus partagés lors des webinaires et lives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2.5 Données techniques et de navigation</w:t>
      </w:r>
    </w:p>
    <w:p>
      <w:pPr>
        <w:pStyle w:val="ListParagraph"/>
        <w:numPr>
          <w:ilvl w:val="0"/>
          <w:numId w:val="2"/>
        </w:numPr>
        <w:spacing w:after="60" w:before="60"/>
      </w:pPr>
      <w:r>
        <w:rPr>
          <w:rFonts w:ascii="Arial" w:cs="Arial" w:eastAsia="Arial" w:hAnsi="Arial"/>
          <w:b w:val="false"/>
          <w:bCs w:val="false"/>
          <w:color w:val="2C2C2C"/>
          <w:sz w:val="22"/>
          <w:szCs w:val="22"/>
        </w:rPr>
        <w:t xml:space="preserve">Adresse IP</w:t>
      </w:r>
    </w:p>
    <w:p>
      <w:pPr>
        <w:pStyle w:val="ListParagraph"/>
        <w:numPr>
          <w:ilvl w:val="0"/>
          <w:numId w:val="2"/>
        </w:numPr>
        <w:spacing w:after="60" w:before="60"/>
      </w:pPr>
      <w:r>
        <w:rPr>
          <w:rFonts w:ascii="Arial" w:cs="Arial" w:eastAsia="Arial" w:hAnsi="Arial"/>
          <w:b w:val="false"/>
          <w:bCs w:val="false"/>
          <w:color w:val="2C2C2C"/>
          <w:sz w:val="22"/>
          <w:szCs w:val="22"/>
        </w:rPr>
        <w:t xml:space="preserve">Type d'appareil, système d'exploitation, version de l'application</w:t>
      </w:r>
    </w:p>
    <w:p>
      <w:pPr>
        <w:pStyle w:val="ListParagraph"/>
        <w:numPr>
          <w:ilvl w:val="0"/>
          <w:numId w:val="2"/>
        </w:numPr>
        <w:spacing w:after="60" w:before="60"/>
      </w:pPr>
      <w:r>
        <w:rPr>
          <w:rFonts w:ascii="Arial" w:cs="Arial" w:eastAsia="Arial" w:hAnsi="Arial"/>
          <w:b w:val="false"/>
          <w:bCs w:val="false"/>
          <w:color w:val="2C2C2C"/>
          <w:sz w:val="22"/>
          <w:szCs w:val="22"/>
        </w:rPr>
        <w:t xml:space="preserve">Pages et fonctionnalités consultées, fréquence d'utilisation</w:t>
      </w:r>
    </w:p>
    <w:p>
      <w:pPr>
        <w:pStyle w:val="ListParagraph"/>
        <w:numPr>
          <w:ilvl w:val="0"/>
          <w:numId w:val="2"/>
        </w:numPr>
        <w:spacing w:after="60" w:before="60"/>
      </w:pPr>
      <w:r>
        <w:rPr>
          <w:rFonts w:ascii="Arial" w:cs="Arial" w:eastAsia="Arial" w:hAnsi="Arial"/>
          <w:b w:val="false"/>
          <w:bCs w:val="false"/>
          <w:color w:val="2C2C2C"/>
          <w:sz w:val="22"/>
          <w:szCs w:val="22"/>
        </w:rPr>
        <w:t xml:space="preserve">Cookies et identifiants de session (voir Article 10)</w:t>
      </w:r>
    </w:p>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3 – Finalités et bases légales des traitements</w:t>
      </w:r>
    </w:p>
    <w:p>
      <w:pPr>
        <w:spacing w:after="80" w:before="80"/>
      </w:pPr>
      <w:r>
        <w:rPr>
          <w:rFonts w:ascii="Arial" w:cs="Arial" w:eastAsia="Arial" w:hAnsi="Arial"/>
          <w:color w:val="2C2C2C"/>
          <w:sz w:val="22"/>
          <w:szCs w:val="22"/>
        </w:rPr>
        <w:t xml:space="preserve">Conformément à l'article 13 du RGPD, chaque traitement repose sur une base légale identifiée. Le tableau ci-dessous récapitule les finalités poursuivies et leur fondement juridique :</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rPr>
          <w:tblHeader/>
        </w:trPr>
        <w:tc>
          <w:tcPr>
            <w:tcBorders>
              <w:top w:val="single" w:color="FFFFFF" w:sz="4"/>
              <w:left w:val="single" w:color="FFFFFF" w:sz="4"/>
              <w:bottom w:val="single" w:color="FFFFFF" w:sz="4"/>
              <w:right w:val="single" w:color="FFFFFF" w:sz="4"/>
            </w:tcBorders>
            <w:shd w:fill="1A3A5C" w:val="clear"/>
            <w:tcMar>
              <w:top w:type="dxa" w:w="100"/>
              <w:left w:type="dxa" w:w="120"/>
              <w:bottom w:type="dxa" w:w="100"/>
              <w:right w:type="dxa" w:w="80"/>
            </w:tcMar>
          </w:tcPr>
          <w:p>
            <w:r>
              <w:rPr>
                <w:rFonts w:ascii="Arial" w:cs="Arial" w:eastAsia="Arial" w:hAnsi="Arial"/>
                <w:b/>
                <w:bCs/>
                <w:color w:val="FFFFFF"/>
                <w:sz w:val="20"/>
                <w:szCs w:val="20"/>
              </w:rPr>
              <w:t xml:space="preserve">Finalité</w:t>
            </w:r>
          </w:p>
        </w:tc>
        <w:tc>
          <w:tcPr>
            <w:tcBorders>
              <w:top w:val="single" w:color="FFFFFF" w:sz="4"/>
              <w:left w:val="single" w:color="FFFFFF" w:sz="4"/>
              <w:bottom w:val="single" w:color="FFFFFF" w:sz="4"/>
              <w:right w:val="single" w:color="FFFFFF" w:sz="4"/>
            </w:tcBorders>
            <w:shd w:fill="1A3A5C" w:val="clear"/>
            <w:tcMar>
              <w:top w:type="dxa" w:w="100"/>
              <w:left w:type="dxa" w:w="120"/>
              <w:bottom w:type="dxa" w:w="100"/>
              <w:right w:type="dxa" w:w="80"/>
            </w:tcMar>
          </w:tcPr>
          <w:p>
            <w:r>
              <w:rPr>
                <w:rFonts w:ascii="Arial" w:cs="Arial" w:eastAsia="Arial" w:hAnsi="Arial"/>
                <w:b/>
                <w:bCs/>
                <w:color w:val="FFFFFF"/>
                <w:sz w:val="20"/>
                <w:szCs w:val="20"/>
              </w:rPr>
              <w:t xml:space="preserve">Données concernées</w:t>
            </w:r>
          </w:p>
        </w:tc>
        <w:tc>
          <w:tcPr>
            <w:tcBorders>
              <w:top w:val="single" w:color="FFFFFF" w:sz="4"/>
              <w:left w:val="single" w:color="FFFFFF" w:sz="4"/>
              <w:bottom w:val="single" w:color="FFFFFF" w:sz="4"/>
              <w:right w:val="single" w:color="FFFFFF" w:sz="4"/>
            </w:tcBorders>
            <w:shd w:fill="1A3A5C" w:val="clear"/>
            <w:tcMar>
              <w:top w:type="dxa" w:w="100"/>
              <w:left w:type="dxa" w:w="120"/>
              <w:bottom w:type="dxa" w:w="100"/>
              <w:right w:type="dxa" w:w="80"/>
            </w:tcMar>
          </w:tcPr>
          <w:p>
            <w:r>
              <w:rPr>
                <w:rFonts w:ascii="Arial" w:cs="Arial" w:eastAsia="Arial" w:hAnsi="Arial"/>
                <w:b/>
                <w:bCs/>
                <w:color w:val="FFFFFF"/>
                <w:sz w:val="20"/>
                <w:szCs w:val="20"/>
              </w:rPr>
              <w:t xml:space="preserve">Base légale</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Fourniture du service Kolyb (compte, planners, check-in)</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Identité, bien-être, profil entrepreneur</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Exécution du contrat (art. 6.1.b RGPD)</w:t>
            </w:r>
          </w:p>
        </w:tc>
      </w:tr>
      <w:t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Personnalisation de l'expérience et recommandations</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Bien-être, profil, comportement</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Consentement explicite (art. 6.1.a RGPD)</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Algorithme de mise en relation ciblée entre membres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Profil entrepreneur, centres d'intérêt</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Consentement explicite (art. 6.1.a RGPD)</w:t>
            </w:r>
          </w:p>
        </w:tc>
      </w:tr>
      <w:t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Accès aux webinaires, lives et événements</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Identité, données de connexion</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Exécution du contrat (art. 6.1.b RGPD)</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Amélioration du produit et analytics internes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Données techniques et de navigation</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Intérêt légitime (art. 6.1.f RGPD)</w:t>
            </w:r>
          </w:p>
        </w:tc>
      </w:tr>
      <w:t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Communications marketing et newsletters</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E-mail, préférences</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Consentement (art. 6.1.a RGPD)</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Modération des contenus communautaires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Contenus générés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Intérêt légitime (art. 6.1.f RGPD)</w:t>
            </w:r>
          </w:p>
        </w:tc>
      </w:tr>
      <w:t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Gestion de la facturation et obligations comptables</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Identité, données de paiement</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Obligation légale (art. 6.1.c RGPD)</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Traitement données bien-être / santé (art. 9 RGPD)</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Données bien-être sensibles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Consentement explicite distinct (art. 9.2.a RGPD)</w:t>
            </w:r>
          </w:p>
        </w:tc>
      </w:tr>
    </w:tbl>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4 – Données de bien-être et de santé – Régime spécial</w:t>
      </w:r>
    </w:p>
    <w:p>
      <w:pPr>
        <w:spacing w:after="80" w:before="80"/>
      </w:pPr>
      <w:r>
        <w:rPr>
          <w:rFonts w:ascii="Arial" w:cs="Arial" w:eastAsia="Arial" w:hAnsi="Arial"/>
          <w:color w:val="2C2C2C"/>
          <w:sz w:val="22"/>
          <w:szCs w:val="22"/>
        </w:rPr>
        <w:t xml:space="preserve">Certaines données collectées dans le cadre des check-in matin/soir, des indicateurs de sommeil et des planners personnels sont susceptibles d'être qualifiées de données relatives à la santé au sens de l'article 9 du RGPD. Ces données font l'objet d'un régime de protection renforcé.</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4.1 Consentement explicite</w:t>
      </w:r>
    </w:p>
    <w:p>
      <w:pPr>
        <w:spacing w:after="80" w:before="80"/>
      </w:pPr>
      <w:r>
        <w:rPr>
          <w:rFonts w:ascii="Arial" w:cs="Arial" w:eastAsia="Arial" w:hAnsi="Arial"/>
          <w:color w:val="2C2C2C"/>
          <w:sz w:val="22"/>
          <w:szCs w:val="22"/>
        </w:rPr>
        <w:t xml:space="preserve">Le traitement de ces données est subordonné à l'obtention d'un consentement libre, spécifique, éclairé et univoque, recueilli séparément des conditions générales d'utilisation, lors de l'onboarding ou de l'activation de la fonctionnalité concernée. L'utilisateur peut retirer ce consentement à tout moment, sans que cela n'affecte la licéité des traitements effectués avant le retrait.</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4.2 Finalité strictement délimitée</w:t>
      </w:r>
    </w:p>
    <w:p>
      <w:pPr>
        <w:spacing w:after="80" w:before="80"/>
      </w:pPr>
      <w:r>
        <w:rPr>
          <w:rFonts w:ascii="Arial" w:cs="Arial" w:eastAsia="Arial" w:hAnsi="Arial"/>
          <w:color w:val="2C2C2C"/>
          <w:sz w:val="22"/>
          <w:szCs w:val="22"/>
        </w:rPr>
        <w:t xml:space="preserve">Ces données ne sont utilisées qu'aux fins suivantes :</w:t>
      </w:r>
    </w:p>
    <w:p>
      <w:pPr>
        <w:pStyle w:val="ListParagraph"/>
        <w:numPr>
          <w:ilvl w:val="0"/>
          <w:numId w:val="2"/>
        </w:numPr>
        <w:spacing w:after="60" w:before="60"/>
      </w:pPr>
      <w:r>
        <w:rPr>
          <w:rFonts w:ascii="Arial" w:cs="Arial" w:eastAsia="Arial" w:hAnsi="Arial"/>
          <w:b w:val="false"/>
          <w:bCs w:val="false"/>
          <w:color w:val="2C2C2C"/>
          <w:sz w:val="22"/>
          <w:szCs w:val="22"/>
        </w:rPr>
        <w:t xml:space="preserve">Affichage personnalisé dans l'application (historique, graphiques, suivi personnel)</w:t>
      </w:r>
    </w:p>
    <w:p>
      <w:pPr>
        <w:pStyle w:val="ListParagraph"/>
        <w:numPr>
          <w:ilvl w:val="0"/>
          <w:numId w:val="2"/>
        </w:numPr>
        <w:spacing w:after="60" w:before="60"/>
      </w:pPr>
      <w:r>
        <w:rPr>
          <w:rFonts w:ascii="Arial" w:cs="Arial" w:eastAsia="Arial" w:hAnsi="Arial"/>
          <w:b w:val="false"/>
          <w:bCs w:val="false"/>
          <w:color w:val="2C2C2C"/>
          <w:sz w:val="22"/>
          <w:szCs w:val="22"/>
        </w:rPr>
        <w:t xml:space="preserve">Suggestions de ressources et de contenus adaptés au profil de bien-être de l'utilisateur</w:t>
      </w:r>
    </w:p>
    <w:p>
      <w:pPr>
        <w:pStyle w:val="ListParagraph"/>
        <w:numPr>
          <w:ilvl w:val="0"/>
          <w:numId w:val="2"/>
        </w:numPr>
        <w:spacing w:after="60" w:before="60"/>
      </w:pPr>
      <w:r>
        <w:rPr>
          <w:rFonts w:ascii="Arial" w:cs="Arial" w:eastAsia="Arial" w:hAnsi="Arial"/>
          <w:b w:val="false"/>
          <w:bCs w:val="false"/>
          <w:color w:val="2C2C2C"/>
          <w:sz w:val="22"/>
          <w:szCs w:val="22"/>
        </w:rPr>
        <w:t xml:space="preserve">Amélioration statistique et anonymisée des fonctionnalités Kolyb</w:t>
      </w:r>
    </w:p>
    <w:p>
      <w:pPr>
        <w:spacing w:after="60" w:before="0"/>
      </w:pPr>
      <w:r>
        <w:t xml:space="preserve"/>
      </w:r>
    </w:p>
    <w:p>
      <w:pPr>
        <w:spacing w:after="80" w:before="80"/>
      </w:pPr>
      <w:r>
        <w:rPr>
          <w:rFonts w:ascii="Arial" w:cs="Arial" w:eastAsia="Arial" w:hAnsi="Arial"/>
          <w:color w:val="2C2C2C"/>
          <w:sz w:val="22"/>
          <w:szCs w:val="22"/>
        </w:rPr>
        <w:t xml:space="preserve">Ces données ne sont en aucun cas :</w:t>
      </w:r>
    </w:p>
    <w:p>
      <w:pPr>
        <w:pStyle w:val="ListParagraph"/>
        <w:numPr>
          <w:ilvl w:val="0"/>
          <w:numId w:val="2"/>
        </w:numPr>
        <w:spacing w:after="60" w:before="60"/>
      </w:pPr>
      <w:r>
        <w:rPr>
          <w:rFonts w:ascii="Arial" w:cs="Arial" w:eastAsia="Arial" w:hAnsi="Arial"/>
          <w:b w:val="false"/>
          <w:bCs w:val="false"/>
          <w:color w:val="2C2C2C"/>
          <w:sz w:val="22"/>
          <w:szCs w:val="22"/>
        </w:rPr>
        <w:t xml:space="preserve">Transmises à des tiers à des fins commerciales, publicitaires ou d'analyse marketing</w:t>
      </w:r>
    </w:p>
    <w:p>
      <w:pPr>
        <w:pStyle w:val="ListParagraph"/>
        <w:numPr>
          <w:ilvl w:val="0"/>
          <w:numId w:val="2"/>
        </w:numPr>
        <w:spacing w:after="60" w:before="60"/>
      </w:pPr>
      <w:r>
        <w:rPr>
          <w:rFonts w:ascii="Arial" w:cs="Arial" w:eastAsia="Arial" w:hAnsi="Arial"/>
          <w:b w:val="false"/>
          <w:bCs w:val="false"/>
          <w:color w:val="2C2C2C"/>
          <w:sz w:val="22"/>
          <w:szCs w:val="22"/>
        </w:rPr>
        <w:t xml:space="preserve">Utilisées pour établir un profil médical ou un diagnostic</w:t>
      </w:r>
    </w:p>
    <w:p>
      <w:pPr>
        <w:pStyle w:val="ListParagraph"/>
        <w:numPr>
          <w:ilvl w:val="0"/>
          <w:numId w:val="2"/>
        </w:numPr>
        <w:spacing w:after="60" w:before="60"/>
      </w:pPr>
      <w:r>
        <w:rPr>
          <w:rFonts w:ascii="Arial" w:cs="Arial" w:eastAsia="Arial" w:hAnsi="Arial"/>
          <w:b w:val="false"/>
          <w:bCs w:val="false"/>
          <w:color w:val="2C2C2C"/>
          <w:sz w:val="22"/>
          <w:szCs w:val="22"/>
        </w:rPr>
        <w:t xml:space="preserve">Partagées avec des organismes d'assurance, de crédit, d'emploi ou de recrutement</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4.3 Sécurité renforcée</w:t>
      </w:r>
    </w:p>
    <w:p>
      <w:pPr>
        <w:spacing w:after="80" w:before="80"/>
      </w:pPr>
      <w:r>
        <w:rPr>
          <w:rFonts w:ascii="Arial" w:cs="Arial" w:eastAsia="Arial" w:hAnsi="Arial"/>
          <w:color w:val="2C2C2C"/>
          <w:sz w:val="22"/>
          <w:szCs w:val="22"/>
        </w:rPr>
        <w:t xml:space="preserve">Les données de bien-être font l'objet de mesures de sécurité renforcées : chiffrement au repos et en transit, pseudonymisation, accès restreint aux seules personnes habilitées au sein de l'équipe Kolyb, journalisation des accès.</w:t>
      </w:r>
    </w:p>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5 – Destinataires et partage des données</w:t>
      </w:r>
    </w:p>
    <w:p>
      <w:pPr>
        <w:spacing w:after="80" w:before="80"/>
      </w:pPr>
      <w:r>
        <w:rPr>
          <w:rFonts w:ascii="Arial" w:cs="Arial" w:eastAsia="Arial" w:hAnsi="Arial"/>
          <w:color w:val="2C2C2C"/>
          <w:sz w:val="22"/>
          <w:szCs w:val="22"/>
        </w:rPr>
        <w:t xml:space="preserve">Kolyb ne vend ni ne cède vos données personnelles à des tiers à des fins commerciales. Les données peuvent être partagées dans les limites strictes suivantes :</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5.1 Sous-traitants techniques</w:t>
      </w:r>
    </w:p>
    <w:p>
      <w:pPr>
        <w:spacing w:after="80" w:before="80"/>
      </w:pPr>
      <w:r>
        <w:rPr>
          <w:rFonts w:ascii="Arial" w:cs="Arial" w:eastAsia="Arial" w:hAnsi="Arial"/>
          <w:color w:val="2C2C2C"/>
          <w:sz w:val="22"/>
          <w:szCs w:val="22"/>
        </w:rPr>
        <w:t xml:space="preserve">Kolyb fait appel à des prestataires techniques agissant en qualité de sous-traitants au sens de l'article 28 du RGPD. Ces prestataires n'utilisent vos données qu'aux fins d'exécution de leurs prestations pour Kolyb et dans le respect de la présente politique.</w:t>
      </w:r>
    </w:p>
    <w:p>
      <w:pPr>
        <w:spacing w:after="60" w:before="0"/>
      </w:pPr>
      <w:r>
        <w:t xml:space="preserve"/>
      </w:r>
    </w:p>
    <w:p>
      <w:pPr>
        <w:pStyle w:val="ListParagraph"/>
        <w:numPr>
          <w:ilvl w:val="0"/>
          <w:numId w:val="2"/>
        </w:numPr>
        <w:spacing w:after="60" w:before="60"/>
      </w:pPr>
      <w:r>
        <w:rPr>
          <w:rFonts w:ascii="Arial" w:cs="Arial" w:eastAsia="Arial" w:hAnsi="Arial"/>
          <w:b/>
          <w:bCs/>
          <w:color w:val="2C2C2C"/>
          <w:sz w:val="22"/>
          <w:szCs w:val="22"/>
        </w:rPr>
        <w:t xml:space="preserve">Hébergement et infrastructure cloud : </w:t>
      </w:r>
      <w:r>
        <w:rPr>
          <w:rFonts w:ascii="Arial" w:cs="Arial" w:eastAsia="Arial" w:hAnsi="Arial"/>
          <w:b/>
          <w:bCs/>
          <w:color w:val="C0392B"/>
          <w:sz w:val="22"/>
          <w:szCs w:val="22"/>
        </w:rPr>
        <w:t xml:space="preserve">°°°°° ex : AWS / Firebase / Supabase °°°°°</w:t>
      </w:r>
    </w:p>
    <w:p>
      <w:pPr>
        <w:pStyle w:val="ListParagraph"/>
        <w:numPr>
          <w:ilvl w:val="0"/>
          <w:numId w:val="2"/>
        </w:numPr>
        <w:spacing w:after="60" w:before="60"/>
      </w:pPr>
      <w:r>
        <w:rPr>
          <w:rFonts w:ascii="Arial" w:cs="Arial" w:eastAsia="Arial" w:hAnsi="Arial"/>
          <w:b/>
          <w:bCs/>
          <w:color w:val="2C2C2C"/>
          <w:sz w:val="22"/>
          <w:szCs w:val="22"/>
        </w:rPr>
        <w:t xml:space="preserve">Paiement en ligne : </w:t>
      </w:r>
      <w:r>
        <w:rPr>
          <w:rFonts w:ascii="Arial" w:cs="Arial" w:eastAsia="Arial" w:hAnsi="Arial"/>
          <w:b/>
          <w:bCs/>
          <w:color w:val="C0392B"/>
          <w:sz w:val="22"/>
          <w:szCs w:val="22"/>
        </w:rPr>
        <w:t xml:space="preserve">°°°°° ex : Stripe – les données bancaires ne transitent pas par nos serveurs °°°°°</w:t>
      </w:r>
    </w:p>
    <w:p>
      <w:pPr>
        <w:pStyle w:val="ListParagraph"/>
        <w:numPr>
          <w:ilvl w:val="0"/>
          <w:numId w:val="2"/>
        </w:numPr>
        <w:spacing w:after="60" w:before="60"/>
      </w:pPr>
      <w:r>
        <w:rPr>
          <w:rFonts w:ascii="Arial" w:cs="Arial" w:eastAsia="Arial" w:hAnsi="Arial"/>
          <w:b/>
          <w:bCs/>
          <w:color w:val="2C2C2C"/>
          <w:sz w:val="22"/>
          <w:szCs w:val="22"/>
        </w:rPr>
        <w:t xml:space="preserve">Emailing et communications : </w:t>
      </w:r>
      <w:r>
        <w:rPr>
          <w:rFonts w:ascii="Arial" w:cs="Arial" w:eastAsia="Arial" w:hAnsi="Arial"/>
          <w:b/>
          <w:bCs/>
          <w:color w:val="C0392B"/>
          <w:sz w:val="22"/>
          <w:szCs w:val="22"/>
        </w:rPr>
        <w:t xml:space="preserve">°°°°° ex : Mailchimp / Brevo / Sendgrid °°°°°</w:t>
      </w:r>
    </w:p>
    <w:p>
      <w:pPr>
        <w:pStyle w:val="ListParagraph"/>
        <w:numPr>
          <w:ilvl w:val="0"/>
          <w:numId w:val="2"/>
        </w:numPr>
        <w:spacing w:after="60" w:before="60"/>
      </w:pPr>
      <w:r>
        <w:rPr>
          <w:rFonts w:ascii="Arial" w:cs="Arial" w:eastAsia="Arial" w:hAnsi="Arial"/>
          <w:b/>
          <w:bCs/>
          <w:color w:val="2C2C2C"/>
          <w:sz w:val="22"/>
          <w:szCs w:val="22"/>
        </w:rPr>
        <w:t xml:space="preserve">Analytics d'usage : </w:t>
      </w:r>
      <w:r>
        <w:rPr>
          <w:rFonts w:ascii="Arial" w:cs="Arial" w:eastAsia="Arial" w:hAnsi="Arial"/>
          <w:b/>
          <w:bCs/>
          <w:color w:val="C0392B"/>
          <w:sz w:val="22"/>
          <w:szCs w:val="22"/>
        </w:rPr>
        <w:t xml:space="preserve">°°°°° ex : Mixpanel / Amplitude / PostHog °°°°°</w:t>
      </w:r>
    </w:p>
    <w:p>
      <w:pPr>
        <w:pStyle w:val="ListParagraph"/>
        <w:numPr>
          <w:ilvl w:val="0"/>
          <w:numId w:val="2"/>
        </w:numPr>
        <w:spacing w:after="60" w:before="60"/>
      </w:pPr>
      <w:r>
        <w:rPr>
          <w:rFonts w:ascii="Arial" w:cs="Arial" w:eastAsia="Arial" w:hAnsi="Arial"/>
          <w:b/>
          <w:bCs/>
          <w:color w:val="2C2C2C"/>
          <w:sz w:val="22"/>
          <w:szCs w:val="22"/>
        </w:rPr>
        <w:t xml:space="preserve">Service client et support : </w:t>
      </w:r>
      <w:r>
        <w:rPr>
          <w:rFonts w:ascii="Arial" w:cs="Arial" w:eastAsia="Arial" w:hAnsi="Arial"/>
          <w:b/>
          <w:bCs/>
          <w:color w:val="C0392B"/>
          <w:sz w:val="22"/>
          <w:szCs w:val="22"/>
        </w:rPr>
        <w:t xml:space="preserve">°°°°° ex : Intercom / Notion / outil interne °°°°°</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5.2 Mise en relation entre membres</w:t>
      </w:r>
    </w:p>
    <w:p>
      <w:pPr>
        <w:spacing w:after="80" w:before="80"/>
      </w:pPr>
      <w:r>
        <w:rPr>
          <w:rFonts w:ascii="Arial" w:cs="Arial" w:eastAsia="Arial" w:hAnsi="Arial"/>
          <w:color w:val="2C2C2C"/>
          <w:sz w:val="22"/>
          <w:szCs w:val="22"/>
        </w:rPr>
        <w:t xml:space="preserve">Dans le cadre de la fonctionnalité de mise en réseau et de l'algorithme de mise en relation, certaines informations de profil (secteur d'activité, objectifs, compétences) peuvent être rendues visibles à d'autres membres de la communauté Kolyb, selon les paramètres de confidentialité choisis par l'utilisateur.</w:t>
      </w:r>
    </w:p>
    <w:p>
      <w:pPr>
        <w:spacing w:after="80" w:before="80"/>
      </w:pPr>
      <w:r>
        <w:rPr>
          <w:rFonts w:ascii="Arial" w:cs="Arial" w:eastAsia="Arial" w:hAnsi="Arial"/>
          <w:color w:val="2C2C2C"/>
          <w:sz w:val="22"/>
          <w:szCs w:val="22"/>
        </w:rPr>
        <w:t xml:space="preserve">Les données de bien-être, de santé et les check-in ne sont jamais partagés avec d'autres membres.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5.3 Intervenants des webinaires et lives</w:t>
      </w:r>
    </w:p>
    <w:p>
      <w:pPr>
        <w:spacing w:after="80" w:before="80"/>
      </w:pPr>
      <w:r>
        <w:rPr>
          <w:rFonts w:ascii="Arial" w:cs="Arial" w:eastAsia="Arial" w:hAnsi="Arial"/>
          <w:color w:val="2C2C2C"/>
          <w:sz w:val="22"/>
          <w:szCs w:val="22"/>
        </w:rPr>
        <w:t xml:space="preserve">Les intervenants extérieurs animant des webinaires ou des lives au sein de Kolyb n'ont accès qu'aux informations nécessaires à l'organisation de l'événement. Ils ne reçoivent pas accès aux données personnelles des participants au-delà des éléments strictement utiles à l'animation de la session.</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5.4 Autorités légales</w:t>
      </w:r>
    </w:p>
    <w:p>
      <w:pPr>
        <w:spacing w:after="80" w:before="80"/>
      </w:pPr>
      <w:r>
        <w:rPr>
          <w:rFonts w:ascii="Arial" w:cs="Arial" w:eastAsia="Arial" w:hAnsi="Arial"/>
          <w:color w:val="2C2C2C"/>
          <w:sz w:val="22"/>
          <w:szCs w:val="22"/>
        </w:rPr>
        <w:t xml:space="preserve">Kolyb peut être amené à communiquer des données aux autorités judiciaires, administratives ou fiscales compétentes, sur demande légale formelle et dans les seules limites imposées par la loi applicable.</w:t>
      </w:r>
    </w:p>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6 – Transferts de données hors de l'Union européenne</w:t>
      </w:r>
    </w:p>
    <w:p>
      <w:pPr>
        <w:spacing w:after="80" w:before="80"/>
      </w:pPr>
      <w:r>
        <w:rPr>
          <w:rFonts w:ascii="Arial" w:cs="Arial" w:eastAsia="Arial" w:hAnsi="Arial"/>
          <w:color w:val="2C2C2C"/>
          <w:sz w:val="22"/>
          <w:szCs w:val="22"/>
        </w:rPr>
        <w:t xml:space="preserve">Certains sous-traitants de Kolyb peuvent être établis en dehors de l'Union européenne, notamment aux États-Unis. Dans ce cas, Kolyb s'assure que les transferts de données sont encadrés par des garanties appropriées conformément au Chapitre V du RGPD :</w:t>
      </w:r>
    </w:p>
    <w:p>
      <w:pPr>
        <w:spacing w:after="60" w:before="0"/>
      </w:pPr>
      <w:r>
        <w:t xml:space="preserve"/>
      </w:r>
    </w:p>
    <w:p>
      <w:pPr>
        <w:pStyle w:val="ListParagraph"/>
        <w:numPr>
          <w:ilvl w:val="0"/>
          <w:numId w:val="2"/>
        </w:numPr>
        <w:spacing w:after="60" w:before="60"/>
      </w:pPr>
      <w:r>
        <w:rPr>
          <w:rFonts w:ascii="Arial" w:cs="Arial" w:eastAsia="Arial" w:hAnsi="Arial"/>
          <w:b w:val="false"/>
          <w:bCs w:val="false"/>
          <w:color w:val="2C2C2C"/>
          <w:sz w:val="22"/>
          <w:szCs w:val="22"/>
        </w:rPr>
        <w:t xml:space="preserve">Clauses contractuelles types adoptées par la Commission européenne (CCT)</w:t>
      </w:r>
    </w:p>
    <w:p>
      <w:pPr>
        <w:pStyle w:val="ListParagraph"/>
        <w:numPr>
          <w:ilvl w:val="0"/>
          <w:numId w:val="2"/>
        </w:numPr>
        <w:spacing w:after="60" w:before="60"/>
      </w:pPr>
      <w:r>
        <w:rPr>
          <w:rFonts w:ascii="Arial" w:cs="Arial" w:eastAsia="Arial" w:hAnsi="Arial"/>
          <w:b w:val="false"/>
          <w:bCs w:val="false"/>
          <w:color w:val="2C2C2C"/>
          <w:sz w:val="22"/>
          <w:szCs w:val="22"/>
        </w:rPr>
        <w:t xml:space="preserve">Décision d'adéquation de la Commission européenne (ex : </w:t>
      </w:r>
      <w:r>
        <w:rPr>
          <w:rFonts w:ascii="Arial" w:cs="Arial" w:eastAsia="Arial" w:hAnsi="Arial"/>
          <w:b/>
          <w:bCs/>
          <w:color w:val="C0392B"/>
          <w:sz w:val="22"/>
          <w:szCs w:val="22"/>
        </w:rPr>
        <w:t xml:space="preserve">°°°°° préciser si applicable, ex : UK, Suisse °°°°°</w:t>
      </w:r>
      <w:r>
        <w:rPr>
          <w:rFonts w:ascii="Arial" w:cs="Arial" w:eastAsia="Arial" w:hAnsi="Arial"/>
          <w:b w:val="false"/>
          <w:bCs w:val="false"/>
          <w:color w:val="2C2C2C"/>
          <w:sz w:val="22"/>
          <w:szCs w:val="22"/>
        </w:rPr>
        <w:t xml:space="preserve">)</w:t>
      </w:r>
    </w:p>
    <w:p>
      <w:pPr>
        <w:pStyle w:val="ListParagraph"/>
        <w:numPr>
          <w:ilvl w:val="0"/>
          <w:numId w:val="2"/>
        </w:numPr>
        <w:spacing w:after="60" w:before="60"/>
      </w:pPr>
      <w:r>
        <w:rPr>
          <w:rFonts w:ascii="Arial" w:cs="Arial" w:eastAsia="Arial" w:hAnsi="Arial"/>
          <w:b w:val="false"/>
          <w:bCs w:val="false"/>
          <w:color w:val="2C2C2C"/>
          <w:sz w:val="22"/>
          <w:szCs w:val="22"/>
        </w:rPr>
        <w:t xml:space="preserve">Mécanismes de certification reconnus (ex : Data Privacy Framework UE-USA, le cas échéant)</w:t>
      </w:r>
    </w:p>
    <w:p>
      <w:pPr>
        <w:spacing w:after="60" w:before="0"/>
      </w:pPr>
      <w:r>
        <w:t xml:space="preserve"/>
      </w:r>
    </w:p>
    <w:p>
      <w:pPr>
        <w:spacing w:after="80" w:before="80"/>
      </w:pPr>
      <w:r>
        <w:rPr>
          <w:rFonts w:ascii="Arial" w:cs="Arial" w:eastAsia="Arial" w:hAnsi="Arial"/>
          <w:b w:val="false"/>
          <w:bCs w:val="false"/>
          <w:color w:val="2C2C2C"/>
          <w:sz w:val="22"/>
          <w:szCs w:val="22"/>
        </w:rPr>
        <w:t xml:space="preserve">Liste des transferts hors UE identifiés : </w:t>
      </w:r>
      <w:r>
        <w:rPr>
          <w:rFonts w:ascii="Arial" w:cs="Arial" w:eastAsia="Arial" w:hAnsi="Arial"/>
          <w:b/>
          <w:bCs/>
          <w:color w:val="C0392B"/>
          <w:sz w:val="22"/>
          <w:szCs w:val="22"/>
        </w:rPr>
        <w:t xml:space="preserve">°°°°° ex : AWS us-east-1 (USA), Firebase (USA) – à compléter selon vos prestataires °°°°°</w:t>
      </w:r>
    </w:p>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7 – Durée de conservation des données</w:t>
      </w:r>
    </w:p>
    <w:p>
      <w:pPr>
        <w:spacing w:after="80" w:before="80"/>
      </w:pPr>
      <w:r>
        <w:rPr>
          <w:rFonts w:ascii="Arial" w:cs="Arial" w:eastAsia="Arial" w:hAnsi="Arial"/>
          <w:color w:val="2C2C2C"/>
          <w:sz w:val="22"/>
          <w:szCs w:val="22"/>
        </w:rPr>
        <w:t xml:space="preserve">Les données personnelles ne sont conservées que le temps strictement nécessaire aux finalités pour lesquelles elles ont été collectées, conformément à l'article 5.1.e du RGPD.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Borders>
              <w:top w:val="single" w:color="FFFFFF" w:sz="4"/>
              <w:left w:val="single" w:color="FFFFFF" w:sz="4"/>
              <w:bottom w:val="single" w:color="FFFFFF" w:sz="4"/>
              <w:right w:val="single" w:color="FFFFFF" w:sz="4"/>
            </w:tcBorders>
            <w:shd w:fill="1A3A5C" w:val="clear"/>
            <w:tcMar>
              <w:top w:type="dxa" w:w="100"/>
              <w:left w:type="dxa" w:w="120"/>
              <w:bottom w:type="dxa" w:w="100"/>
              <w:right w:type="dxa" w:w="80"/>
            </w:tcMar>
          </w:tcPr>
          <w:p>
            <w:r>
              <w:rPr>
                <w:rFonts w:ascii="Arial" w:cs="Arial" w:eastAsia="Arial" w:hAnsi="Arial"/>
                <w:b/>
                <w:bCs/>
                <w:color w:val="FFFFFF"/>
                <w:sz w:val="20"/>
                <w:szCs w:val="20"/>
              </w:rPr>
              <w:t xml:space="preserve">Catégorie de données</w:t>
            </w:r>
          </w:p>
        </w:tc>
        <w:tc>
          <w:tcPr>
            <w:tcBorders>
              <w:top w:val="single" w:color="FFFFFF" w:sz="4"/>
              <w:left w:val="single" w:color="FFFFFF" w:sz="4"/>
              <w:bottom w:val="single" w:color="FFFFFF" w:sz="4"/>
              <w:right w:val="single" w:color="FFFFFF" w:sz="4"/>
            </w:tcBorders>
            <w:shd w:fill="1A3A5C" w:val="clear"/>
            <w:tcMar>
              <w:top w:type="dxa" w:w="100"/>
              <w:left w:type="dxa" w:w="120"/>
              <w:bottom w:type="dxa" w:w="100"/>
              <w:right w:type="dxa" w:w="80"/>
            </w:tcMar>
          </w:tcPr>
          <w:p>
            <w:r>
              <w:rPr>
                <w:rFonts w:ascii="Arial" w:cs="Arial" w:eastAsia="Arial" w:hAnsi="Arial"/>
                <w:b/>
                <w:bCs/>
                <w:color w:val="FFFFFF"/>
                <w:sz w:val="20"/>
                <w:szCs w:val="20"/>
              </w:rPr>
              <w:t xml:space="preserve">Durée de conservation</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Compte actif (données d'identité et profil)</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Pendant toute la durée du compte, puis 3 ans après la dernière activité</w:t>
            </w:r>
          </w:p>
        </w:tc>
      </w:tr>
      <w:t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Données de bien-être et check-in</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2 ans après la dernière utilisation active, sauf opposition anticipée</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Données de navigation et analytics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13 mois maximum (recommandation CNIL)</w:t>
            </w:r>
          </w:p>
        </w:tc>
      </w:tr>
      <w:t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Données de facturation et paiement</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10 ans (obligation légale comptable)</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Cookies fonctionnels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13 mois maximum</w:t>
            </w:r>
          </w:p>
        </w:tc>
      </w:tr>
      <w:t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Données suite à suppression de compte</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color w:val="2C2C2C"/>
                <w:sz w:val="19"/>
                <w:szCs w:val="19"/>
              </w:rPr>
              <w:t xml:space="preserve">Suppression sous 30 jours, sauf obligation légale de conservation</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Contenu des groupes et échanges communautaires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color w:val="2C2C2C"/>
                <w:sz w:val="19"/>
                <w:szCs w:val="19"/>
              </w:rPr>
              <w:t xml:space="preserve">Durée de vie du compte, puis suppression dans les 30 jours</w:t>
            </w:r>
          </w:p>
        </w:tc>
      </w:tr>
    </w:tbl>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8 – Droits des utilisateurs</w:t>
      </w:r>
    </w:p>
    <w:p>
      <w:pPr>
        <w:spacing w:after="80" w:before="80"/>
      </w:pPr>
      <w:r>
        <w:rPr>
          <w:rFonts w:ascii="Arial" w:cs="Arial" w:eastAsia="Arial" w:hAnsi="Arial"/>
          <w:color w:val="2C2C2C"/>
          <w:sz w:val="22"/>
          <w:szCs w:val="22"/>
        </w:rPr>
        <w:t xml:space="preserve">Conformément au RGPD (articles 15 à 22), tout utilisateur dispose des droits suivants sur ses données personnelles :</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8.1 Droit d'accès (art. 15)</w:t>
      </w:r>
    </w:p>
    <w:p>
      <w:pPr>
        <w:spacing w:after="80" w:before="80"/>
      </w:pPr>
      <w:r>
        <w:rPr>
          <w:rFonts w:ascii="Arial" w:cs="Arial" w:eastAsia="Arial" w:hAnsi="Arial"/>
          <w:color w:val="2C2C2C"/>
          <w:sz w:val="22"/>
          <w:szCs w:val="22"/>
        </w:rPr>
        <w:t xml:space="preserve">Vous avez le droit d'obtenir la confirmation que des données vous concernant sont traitées, ainsi qu'une copie de ces données et des informations sur les modalités de leur traitement.</w:t>
      </w:r>
    </w:p>
    <w:p>
      <w:pPr>
        <w:pStyle w:val="Heading2"/>
        <w:spacing w:after="100" w:before="240"/>
      </w:pPr>
      <w:r>
        <w:rPr>
          <w:rFonts w:ascii="Arial" w:cs="Arial" w:eastAsia="Arial" w:hAnsi="Arial"/>
          <w:b/>
          <w:bCs/>
          <w:color w:val="2E75B6"/>
          <w:sz w:val="22"/>
          <w:szCs w:val="22"/>
        </w:rPr>
        <w:t xml:space="preserve">8.2 Droit de rectification (art. 16)</w:t>
      </w:r>
    </w:p>
    <w:p>
      <w:pPr>
        <w:spacing w:after="80" w:before="80"/>
      </w:pPr>
      <w:r>
        <w:rPr>
          <w:rFonts w:ascii="Arial" w:cs="Arial" w:eastAsia="Arial" w:hAnsi="Arial"/>
          <w:color w:val="2C2C2C"/>
          <w:sz w:val="22"/>
          <w:szCs w:val="22"/>
        </w:rPr>
        <w:t xml:space="preserve">Vous avez le droit de demander la correction de données inexactes ou incomplètes vous concernant.</w:t>
      </w:r>
    </w:p>
    <w:p>
      <w:pPr>
        <w:pStyle w:val="Heading2"/>
        <w:spacing w:after="100" w:before="240"/>
      </w:pPr>
      <w:r>
        <w:rPr>
          <w:rFonts w:ascii="Arial" w:cs="Arial" w:eastAsia="Arial" w:hAnsi="Arial"/>
          <w:b/>
          <w:bCs/>
          <w:color w:val="2E75B6"/>
          <w:sz w:val="22"/>
          <w:szCs w:val="22"/>
        </w:rPr>
        <w:t xml:space="preserve">8.3 Droit à l'effacement – « droit à l'oubli » (art. 17)</w:t>
      </w:r>
    </w:p>
    <w:p>
      <w:pPr>
        <w:spacing w:after="80" w:before="80"/>
      </w:pPr>
      <w:r>
        <w:rPr>
          <w:rFonts w:ascii="Arial" w:cs="Arial" w:eastAsia="Arial" w:hAnsi="Arial"/>
          <w:color w:val="2C2C2C"/>
          <w:sz w:val="22"/>
          <w:szCs w:val="22"/>
        </w:rPr>
        <w:t xml:space="preserve">Vous pouvez demander la suppression de vos données dans les cas prévus par la loi (retrait du consentement, opposition, fin de finalité, etc.), sauf lorsqu'une obligation légale de conservation s'applique.</w:t>
      </w:r>
    </w:p>
    <w:p>
      <w:pPr>
        <w:pStyle w:val="Heading2"/>
        <w:spacing w:after="100" w:before="240"/>
      </w:pPr>
      <w:r>
        <w:rPr>
          <w:rFonts w:ascii="Arial" w:cs="Arial" w:eastAsia="Arial" w:hAnsi="Arial"/>
          <w:b/>
          <w:bCs/>
          <w:color w:val="2E75B6"/>
          <w:sz w:val="22"/>
          <w:szCs w:val="22"/>
        </w:rPr>
        <w:t xml:space="preserve">8.4 Droit à la limitation du traitement (art. 18)</w:t>
      </w:r>
    </w:p>
    <w:p>
      <w:pPr>
        <w:spacing w:after="80" w:before="80"/>
      </w:pPr>
      <w:r>
        <w:rPr>
          <w:rFonts w:ascii="Arial" w:cs="Arial" w:eastAsia="Arial" w:hAnsi="Arial"/>
          <w:color w:val="2C2C2C"/>
          <w:sz w:val="22"/>
          <w:szCs w:val="22"/>
        </w:rPr>
        <w:t xml:space="preserve">Vous pouvez demander la suspension temporaire du traitement de vos données dans certains cas prévus par la réglementation.</w:t>
      </w:r>
    </w:p>
    <w:p>
      <w:pPr>
        <w:pStyle w:val="Heading2"/>
        <w:spacing w:after="100" w:before="240"/>
      </w:pPr>
      <w:r>
        <w:rPr>
          <w:rFonts w:ascii="Arial" w:cs="Arial" w:eastAsia="Arial" w:hAnsi="Arial"/>
          <w:b/>
          <w:bCs/>
          <w:color w:val="2E75B6"/>
          <w:sz w:val="22"/>
          <w:szCs w:val="22"/>
        </w:rPr>
        <w:t xml:space="preserve">8.5 Droit à la portabilité (art. 20)</w:t>
      </w:r>
    </w:p>
    <w:p>
      <w:pPr>
        <w:spacing w:after="80" w:before="80"/>
      </w:pPr>
      <w:r>
        <w:rPr>
          <w:rFonts w:ascii="Arial" w:cs="Arial" w:eastAsia="Arial" w:hAnsi="Arial"/>
          <w:color w:val="2C2C2C"/>
          <w:sz w:val="22"/>
          <w:szCs w:val="22"/>
        </w:rPr>
        <w:t xml:space="preserve">Vous pouvez demander à recevoir vos données dans un format structuré, couramment utilisé et lisible par machine, et à les transmettre à un autre responsable de traitement.</w:t>
      </w:r>
    </w:p>
    <w:p>
      <w:pPr>
        <w:pStyle w:val="Heading2"/>
        <w:spacing w:after="100" w:before="240"/>
      </w:pPr>
      <w:r>
        <w:rPr>
          <w:rFonts w:ascii="Arial" w:cs="Arial" w:eastAsia="Arial" w:hAnsi="Arial"/>
          <w:b/>
          <w:bCs/>
          <w:color w:val="2E75B6"/>
          <w:sz w:val="22"/>
          <w:szCs w:val="22"/>
        </w:rPr>
        <w:t xml:space="preserve">8.6 Droit d'opposition (art. 21)</w:t>
      </w:r>
    </w:p>
    <w:p>
      <w:pPr>
        <w:spacing w:after="80" w:before="80"/>
      </w:pPr>
      <w:r>
        <w:rPr>
          <w:rFonts w:ascii="Arial" w:cs="Arial" w:eastAsia="Arial" w:hAnsi="Arial"/>
          <w:color w:val="2C2C2C"/>
          <w:sz w:val="22"/>
          <w:szCs w:val="22"/>
        </w:rPr>
        <w:t xml:space="preserve">Vous pouvez vous opposer à tout moment au traitement de vos données fondé sur l'intérêt légitime de Kolyb, notamment en matière de communications commerciales.</w:t>
      </w:r>
    </w:p>
    <w:p>
      <w:pPr>
        <w:pStyle w:val="Heading2"/>
        <w:spacing w:after="100" w:before="240"/>
      </w:pPr>
      <w:r>
        <w:rPr>
          <w:rFonts w:ascii="Arial" w:cs="Arial" w:eastAsia="Arial" w:hAnsi="Arial"/>
          <w:b/>
          <w:bCs/>
          <w:color w:val="2E75B6"/>
          <w:sz w:val="22"/>
          <w:szCs w:val="22"/>
        </w:rPr>
        <w:t xml:space="preserve">8.7 Droit de retrait du consentement</w:t>
      </w:r>
    </w:p>
    <w:p>
      <w:pPr>
        <w:spacing w:after="80" w:before="80"/>
      </w:pPr>
      <w:r>
        <w:rPr>
          <w:rFonts w:ascii="Arial" w:cs="Arial" w:eastAsia="Arial" w:hAnsi="Arial"/>
          <w:color w:val="2C2C2C"/>
          <w:sz w:val="22"/>
          <w:szCs w:val="22"/>
        </w:rPr>
        <w:t xml:space="preserve">Lorsque le traitement est fondé sur votre consentement, vous pouvez le retirer à tout moment, sans frais et sans motif à fournir. Le retrait du consentement ne remet pas en cause la licéité des traitements effectués antérieurement.</w:t>
      </w:r>
    </w:p>
    <w:p>
      <w:pPr>
        <w:pStyle w:val="Heading2"/>
        <w:spacing w:after="100" w:before="240"/>
      </w:pPr>
      <w:r>
        <w:rPr>
          <w:rFonts w:ascii="Arial" w:cs="Arial" w:eastAsia="Arial" w:hAnsi="Arial"/>
          <w:b/>
          <w:bCs/>
          <w:color w:val="2E75B6"/>
          <w:sz w:val="22"/>
          <w:szCs w:val="22"/>
        </w:rPr>
        <w:t xml:space="preserve">8.8 Modalités d'exercice</w:t>
      </w:r>
    </w:p>
    <w:p>
      <w:pPr>
        <w:spacing w:after="80" w:before="80"/>
      </w:pPr>
      <w:r>
        <w:rPr>
          <w:rFonts w:ascii="Arial" w:cs="Arial" w:eastAsia="Arial" w:hAnsi="Arial"/>
          <w:b w:val="false"/>
          <w:bCs w:val="false"/>
          <w:color w:val="2C2C2C"/>
          <w:sz w:val="22"/>
          <w:szCs w:val="22"/>
        </w:rPr>
        <w:t xml:space="preserve">Pour exercer l'un de ces droits, vous pouvez adresser votre demande par e-mail à </w:t>
      </w:r>
      <w:r>
        <w:rPr>
          <w:rFonts w:ascii="Arial" w:cs="Arial" w:eastAsia="Arial" w:hAnsi="Arial"/>
          <w:b/>
          <w:bCs/>
          <w:color w:val="C0392B"/>
          <w:sz w:val="22"/>
          <w:szCs w:val="22"/>
        </w:rPr>
        <w:t xml:space="preserve">°°°°° EMAIL DPO / CONTACT RGPD °°°°°</w:t>
      </w:r>
      <w:r>
        <w:rPr>
          <w:rFonts w:ascii="Arial" w:cs="Arial" w:eastAsia="Arial" w:hAnsi="Arial"/>
          <w:b w:val="false"/>
          <w:bCs w:val="false"/>
          <w:color w:val="2C2C2C"/>
          <w:sz w:val="22"/>
          <w:szCs w:val="22"/>
        </w:rPr>
        <w:t xml:space="preserve"> ou par courrier à </w:t>
      </w:r>
      <w:r>
        <w:rPr>
          <w:rFonts w:ascii="Arial" w:cs="Arial" w:eastAsia="Arial" w:hAnsi="Arial"/>
          <w:b/>
          <w:bCs/>
          <w:color w:val="C0392B"/>
          <w:sz w:val="22"/>
          <w:szCs w:val="22"/>
        </w:rPr>
        <w:t xml:space="preserve">°°°°° ADRESSE POSTALE °°°°°</w:t>
      </w:r>
      <w:r>
        <w:rPr>
          <w:rFonts w:ascii="Arial" w:cs="Arial" w:eastAsia="Arial" w:hAnsi="Arial"/>
          <w:b w:val="false"/>
          <w:bCs w:val="false"/>
          <w:color w:val="2C2C2C"/>
          <w:sz w:val="22"/>
          <w:szCs w:val="22"/>
        </w:rPr>
        <w:t xml:space="preserve">. Kolyb s'engage à répondre dans un délai maximum de 30 jours à compter de la réception de votre demande. Ce délai peut être prolongé de deux mois supplémentaires en cas de complexité ou de volume important, sous réserve d'en informer l'utilisateur.</w:t>
      </w:r>
    </w:p>
    <w:p>
      <w:pPr>
        <w:spacing w:after="80" w:before="0"/>
      </w:pPr>
      <w:r>
        <w:t xml:space="preserve"/>
      </w:r>
    </w:p>
    <w:p>
      <w:pPr>
        <w:spacing w:after="80" w:before="80"/>
      </w:pPr>
      <w:r>
        <w:rPr>
          <w:rFonts w:ascii="Arial" w:cs="Arial" w:eastAsia="Arial" w:hAnsi="Arial"/>
          <w:color w:val="2C2C2C"/>
          <w:sz w:val="22"/>
          <w:szCs w:val="22"/>
        </w:rPr>
        <w:t xml:space="preserve">Afin de protéger vos données, Kolyb peut vous demander de justifier de votre identité avant de donner suite à votre demande.</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8.9 Droit de réclamation auprès de la CNIL</w:t>
      </w:r>
    </w:p>
    <w:p>
      <w:pPr>
        <w:spacing w:after="80" w:before="80"/>
      </w:pPr>
      <w:r>
        <w:rPr>
          <w:rFonts w:ascii="Arial" w:cs="Arial" w:eastAsia="Arial" w:hAnsi="Arial"/>
          <w:color w:val="2C2C2C"/>
          <w:sz w:val="22"/>
          <w:szCs w:val="22"/>
        </w:rPr>
        <w:t xml:space="preserve">Si vous estimez que le traitement de vos données ne respecte pas la réglementation en vigueur, vous avez le droit d'introduire une réclamation auprès de la Commission Nationale de l'Informatique et des Libertés (CNIL) :</w:t>
      </w:r>
    </w:p>
    <w:p>
      <w:pPr>
        <w:pStyle w:val="ListParagraph"/>
        <w:numPr>
          <w:ilvl w:val="0"/>
          <w:numId w:val="2"/>
        </w:numPr>
        <w:spacing w:after="60" w:before="60"/>
      </w:pPr>
      <w:r>
        <w:rPr>
          <w:rFonts w:ascii="Arial" w:cs="Arial" w:eastAsia="Arial" w:hAnsi="Arial"/>
          <w:b w:val="false"/>
          <w:bCs w:val="false"/>
          <w:color w:val="2C2C2C"/>
          <w:sz w:val="22"/>
          <w:szCs w:val="22"/>
        </w:rPr>
        <w:t xml:space="preserve">Site internet : www.cnil.fr</w:t>
      </w:r>
    </w:p>
    <w:p>
      <w:pPr>
        <w:pStyle w:val="ListParagraph"/>
        <w:numPr>
          <w:ilvl w:val="0"/>
          <w:numId w:val="2"/>
        </w:numPr>
        <w:spacing w:after="60" w:before="60"/>
      </w:pPr>
      <w:r>
        <w:rPr>
          <w:rFonts w:ascii="Arial" w:cs="Arial" w:eastAsia="Arial" w:hAnsi="Arial"/>
          <w:b w:val="false"/>
          <w:bCs w:val="false"/>
          <w:color w:val="2C2C2C"/>
          <w:sz w:val="22"/>
          <w:szCs w:val="22"/>
        </w:rPr>
        <w:t xml:space="preserve">Courrier : CNIL – 3 place de Fontenoy – TSA 80715 – 75334 Paris Cedex 07</w:t>
      </w:r>
    </w:p>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9 – Sécurité des données</w:t>
      </w:r>
    </w:p>
    <w:p>
      <w:pPr>
        <w:spacing w:after="80" w:before="80"/>
      </w:pPr>
      <w:r>
        <w:rPr>
          <w:rFonts w:ascii="Arial" w:cs="Arial" w:eastAsia="Arial" w:hAnsi="Arial"/>
          <w:color w:val="2C2C2C"/>
          <w:sz w:val="22"/>
          <w:szCs w:val="22"/>
        </w:rPr>
        <w:t xml:space="preserve">Kolyb met en œuvre toutes les mesures techniques et organisationnelles appropriées pour garantir un niveau de sécurité adapté au risque, conformément à l'article 32 du RGPD.</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9.1 Mesures techniques</w:t>
      </w:r>
    </w:p>
    <w:p>
      <w:pPr>
        <w:pStyle w:val="ListParagraph"/>
        <w:numPr>
          <w:ilvl w:val="0"/>
          <w:numId w:val="2"/>
        </w:numPr>
        <w:spacing w:after="60" w:before="60"/>
      </w:pPr>
      <w:r>
        <w:rPr>
          <w:rFonts w:ascii="Arial" w:cs="Arial" w:eastAsia="Arial" w:hAnsi="Arial"/>
          <w:b w:val="false"/>
          <w:bCs w:val="false"/>
          <w:color w:val="2C2C2C"/>
          <w:sz w:val="22"/>
          <w:szCs w:val="22"/>
        </w:rPr>
        <w:t xml:space="preserve">Chiffrement des données en transit via le protocole TLS 1.2 minimum (HTTPS)</w:t>
      </w:r>
    </w:p>
    <w:p>
      <w:pPr>
        <w:pStyle w:val="ListParagraph"/>
        <w:numPr>
          <w:ilvl w:val="0"/>
          <w:numId w:val="2"/>
        </w:numPr>
        <w:spacing w:after="60" w:before="60"/>
      </w:pPr>
      <w:r>
        <w:rPr>
          <w:rFonts w:ascii="Arial" w:cs="Arial" w:eastAsia="Arial" w:hAnsi="Arial"/>
          <w:b w:val="false"/>
          <w:bCs w:val="false"/>
          <w:color w:val="2C2C2C"/>
          <w:sz w:val="22"/>
          <w:szCs w:val="22"/>
        </w:rPr>
        <w:t xml:space="preserve">Chiffrement des données au repos pour les données sensibles (bien-être, mots de passe hashés)</w:t>
      </w:r>
    </w:p>
    <w:p>
      <w:pPr>
        <w:pStyle w:val="ListParagraph"/>
        <w:numPr>
          <w:ilvl w:val="0"/>
          <w:numId w:val="2"/>
        </w:numPr>
        <w:spacing w:after="60" w:before="60"/>
      </w:pPr>
      <w:r>
        <w:rPr>
          <w:rFonts w:ascii="Arial" w:cs="Arial" w:eastAsia="Arial" w:hAnsi="Arial"/>
          <w:b w:val="false"/>
          <w:bCs w:val="false"/>
          <w:color w:val="2C2C2C"/>
          <w:sz w:val="22"/>
          <w:szCs w:val="22"/>
        </w:rPr>
        <w:t xml:space="preserve">Authentification sécurisée (mot de passe haché, option double authentification)</w:t>
      </w:r>
    </w:p>
    <w:p>
      <w:pPr>
        <w:pStyle w:val="ListParagraph"/>
        <w:numPr>
          <w:ilvl w:val="0"/>
          <w:numId w:val="2"/>
        </w:numPr>
        <w:spacing w:after="60" w:before="60"/>
      </w:pPr>
      <w:r>
        <w:rPr>
          <w:rFonts w:ascii="Arial" w:cs="Arial" w:eastAsia="Arial" w:hAnsi="Arial"/>
          <w:b w:val="false"/>
          <w:bCs w:val="false"/>
          <w:color w:val="2C2C2C"/>
          <w:sz w:val="22"/>
          <w:szCs w:val="22"/>
        </w:rPr>
        <w:t xml:space="preserve">Pseudonymisation des données analytics</w:t>
      </w:r>
    </w:p>
    <w:p>
      <w:pPr>
        <w:pStyle w:val="ListParagraph"/>
        <w:numPr>
          <w:ilvl w:val="0"/>
          <w:numId w:val="2"/>
        </w:numPr>
        <w:spacing w:after="60" w:before="60"/>
      </w:pPr>
      <w:r>
        <w:rPr>
          <w:rFonts w:ascii="Arial" w:cs="Arial" w:eastAsia="Arial" w:hAnsi="Arial"/>
          <w:b w:val="false"/>
          <w:bCs w:val="false"/>
          <w:color w:val="2C2C2C"/>
          <w:sz w:val="22"/>
          <w:szCs w:val="22"/>
        </w:rPr>
        <w:t xml:space="preserve">Journalisation des accès aux données sensibles</w:t>
      </w:r>
    </w:p>
    <w:p>
      <w:pPr>
        <w:pStyle w:val="ListParagraph"/>
        <w:numPr>
          <w:ilvl w:val="0"/>
          <w:numId w:val="2"/>
        </w:numPr>
        <w:spacing w:after="60" w:before="60"/>
      </w:pPr>
      <w:r>
        <w:rPr>
          <w:rFonts w:ascii="Arial" w:cs="Arial" w:eastAsia="Arial" w:hAnsi="Arial"/>
          <w:b w:val="false"/>
          <w:bCs w:val="false"/>
          <w:color w:val="2C2C2C"/>
          <w:sz w:val="22"/>
          <w:szCs w:val="22"/>
        </w:rPr>
        <w:t xml:space="preserve">Sauvegardes régulières avec procédure de restauration testée</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9.2 Mesures organisationnelles</w:t>
      </w:r>
    </w:p>
    <w:p>
      <w:pPr>
        <w:pStyle w:val="ListParagraph"/>
        <w:numPr>
          <w:ilvl w:val="0"/>
          <w:numId w:val="2"/>
        </w:numPr>
        <w:spacing w:after="60" w:before="60"/>
      </w:pPr>
      <w:r>
        <w:rPr>
          <w:rFonts w:ascii="Arial" w:cs="Arial" w:eastAsia="Arial" w:hAnsi="Arial"/>
          <w:b w:val="false"/>
          <w:bCs w:val="false"/>
          <w:color w:val="2C2C2C"/>
          <w:sz w:val="22"/>
          <w:szCs w:val="22"/>
        </w:rPr>
        <w:t xml:space="preserve">Accès aux données limité aux membres de l'équipe Kolyb selon le principe du moindre privilège</w:t>
      </w:r>
    </w:p>
    <w:p>
      <w:pPr>
        <w:pStyle w:val="ListParagraph"/>
        <w:numPr>
          <w:ilvl w:val="0"/>
          <w:numId w:val="2"/>
        </w:numPr>
        <w:spacing w:after="60" w:before="60"/>
      </w:pPr>
      <w:r>
        <w:rPr>
          <w:rFonts w:ascii="Arial" w:cs="Arial" w:eastAsia="Arial" w:hAnsi="Arial"/>
          <w:b w:val="false"/>
          <w:bCs w:val="false"/>
          <w:color w:val="2C2C2C"/>
          <w:sz w:val="22"/>
          <w:szCs w:val="22"/>
        </w:rPr>
        <w:t xml:space="preserve">Formation et sensibilisation des collaborateurs à la protection des données</w:t>
      </w:r>
    </w:p>
    <w:p>
      <w:pPr>
        <w:pStyle w:val="ListParagraph"/>
        <w:numPr>
          <w:ilvl w:val="0"/>
          <w:numId w:val="2"/>
        </w:numPr>
        <w:spacing w:after="60" w:before="60"/>
      </w:pPr>
      <w:r>
        <w:rPr>
          <w:rFonts w:ascii="Arial" w:cs="Arial" w:eastAsia="Arial" w:hAnsi="Arial"/>
          <w:b w:val="false"/>
          <w:bCs w:val="false"/>
          <w:color w:val="2C2C2C"/>
          <w:sz w:val="22"/>
          <w:szCs w:val="22"/>
        </w:rPr>
        <w:t xml:space="preserve">Clauses de confidentialité dans les contrats des sous-traitants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9.3 Violation de données personnelles</w:t>
      </w:r>
    </w:p>
    <w:p>
      <w:pPr>
        <w:spacing w:after="80" w:before="80"/>
      </w:pPr>
      <w:r>
        <w:rPr>
          <w:rFonts w:ascii="Arial" w:cs="Arial" w:eastAsia="Arial" w:hAnsi="Arial"/>
          <w:color w:val="2C2C2C"/>
          <w:sz w:val="22"/>
          <w:szCs w:val="22"/>
        </w:rPr>
        <w:t xml:space="preserve">En cas de violation de données à caractère personnel susceptible d'engendrer un risque pour les droits et libertés des personnes concernées, Kolyb s'engage à :</w:t>
      </w:r>
    </w:p>
    <w:p>
      <w:pPr>
        <w:pStyle w:val="ListParagraph"/>
        <w:numPr>
          <w:ilvl w:val="0"/>
          <w:numId w:val="2"/>
        </w:numPr>
        <w:spacing w:after="60" w:before="60"/>
      </w:pPr>
      <w:r>
        <w:rPr>
          <w:rFonts w:ascii="Arial" w:cs="Arial" w:eastAsia="Arial" w:hAnsi="Arial"/>
          <w:b w:val="false"/>
          <w:bCs w:val="false"/>
          <w:color w:val="2C2C2C"/>
          <w:sz w:val="22"/>
          <w:szCs w:val="22"/>
        </w:rPr>
        <w:t xml:space="preserve">Notifier la CNIL dans un délai de 72 heures après en avoir pris connaissance, conformément à l'article 33 du RGPD</w:t>
      </w:r>
    </w:p>
    <w:p>
      <w:pPr>
        <w:pStyle w:val="ListParagraph"/>
        <w:numPr>
          <w:ilvl w:val="0"/>
          <w:numId w:val="2"/>
        </w:numPr>
        <w:spacing w:after="60" w:before="60"/>
      </w:pPr>
      <w:r>
        <w:rPr>
          <w:rFonts w:ascii="Arial" w:cs="Arial" w:eastAsia="Arial" w:hAnsi="Arial"/>
          <w:b w:val="false"/>
          <w:bCs w:val="false"/>
          <w:color w:val="2C2C2C"/>
          <w:sz w:val="22"/>
          <w:szCs w:val="22"/>
        </w:rPr>
        <w:t xml:space="preserve">Informer les utilisateurs concernés dans les meilleurs délais lorsque la violation est susceptible d'engendrer un risque élevé pour leurs droits et libertés (article 34 du RGPD)</w:t>
      </w:r>
    </w:p>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10 – Cookies et traceurs</w:t>
      </w:r>
    </w:p>
    <w:p>
      <w:pPr>
        <w:spacing w:after="80" w:before="80"/>
      </w:pPr>
      <w:r>
        <w:rPr>
          <w:rFonts w:ascii="Arial" w:cs="Arial" w:eastAsia="Arial" w:hAnsi="Arial"/>
          <w:color w:val="2C2C2C"/>
          <w:sz w:val="22"/>
          <w:szCs w:val="22"/>
        </w:rPr>
        <w:t xml:space="preserve">Kolyb utilise des cookies et technologies similaires (pixels, identifiants de session, SDK analytics) dans le cadre du fonctionnement de l'application.</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10.1 Cookies strictement nécessaires</w:t>
      </w:r>
    </w:p>
    <w:p>
      <w:pPr>
        <w:spacing w:after="80" w:before="80"/>
      </w:pPr>
      <w:r>
        <w:rPr>
          <w:rFonts w:ascii="Arial" w:cs="Arial" w:eastAsia="Arial" w:hAnsi="Arial"/>
          <w:color w:val="2C2C2C"/>
          <w:sz w:val="22"/>
          <w:szCs w:val="22"/>
        </w:rPr>
        <w:t xml:space="preserve">Ces cookies sont indispensables au fonctionnement de l'application et ne peuvent pas être désactivés. Ils ne requièrent pas de consentement préalable. Ils comprennent notamment :</w:t>
      </w:r>
    </w:p>
    <w:p>
      <w:pPr>
        <w:pStyle w:val="ListParagraph"/>
        <w:numPr>
          <w:ilvl w:val="0"/>
          <w:numId w:val="2"/>
        </w:numPr>
        <w:spacing w:after="60" w:before="60"/>
      </w:pPr>
      <w:r>
        <w:rPr>
          <w:rFonts w:ascii="Arial" w:cs="Arial" w:eastAsia="Arial" w:hAnsi="Arial"/>
          <w:b w:val="false"/>
          <w:bCs w:val="false"/>
          <w:color w:val="2C2C2C"/>
          <w:sz w:val="22"/>
          <w:szCs w:val="22"/>
        </w:rPr>
        <w:t xml:space="preserve">Cookies de session et d'authentification</w:t>
      </w:r>
    </w:p>
    <w:p>
      <w:pPr>
        <w:pStyle w:val="ListParagraph"/>
        <w:numPr>
          <w:ilvl w:val="0"/>
          <w:numId w:val="2"/>
        </w:numPr>
        <w:spacing w:after="60" w:before="60"/>
      </w:pPr>
      <w:r>
        <w:rPr>
          <w:rFonts w:ascii="Arial" w:cs="Arial" w:eastAsia="Arial" w:hAnsi="Arial"/>
          <w:b w:val="false"/>
          <w:bCs w:val="false"/>
          <w:color w:val="2C2C2C"/>
          <w:sz w:val="22"/>
          <w:szCs w:val="22"/>
        </w:rPr>
        <w:t xml:space="preserve">Cookies de sécurité (protection CSRF)</w:t>
      </w:r>
    </w:p>
    <w:p>
      <w:pPr>
        <w:pStyle w:val="ListParagraph"/>
        <w:numPr>
          <w:ilvl w:val="0"/>
          <w:numId w:val="2"/>
        </w:numPr>
        <w:spacing w:after="60" w:before="60"/>
      </w:pPr>
      <w:r>
        <w:rPr>
          <w:rFonts w:ascii="Arial" w:cs="Arial" w:eastAsia="Arial" w:hAnsi="Arial"/>
          <w:b w:val="false"/>
          <w:bCs w:val="false"/>
          <w:color w:val="2C2C2C"/>
          <w:sz w:val="22"/>
          <w:szCs w:val="22"/>
        </w:rPr>
        <w:t xml:space="preserve">Cookies de mémorisation des préférences de confidentialité</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10.2 Cookies analytiques (nécessitent consentement)</w:t>
      </w:r>
    </w:p>
    <w:p>
      <w:pPr>
        <w:spacing w:after="80" w:before="80"/>
      </w:pPr>
      <w:r>
        <w:rPr>
          <w:rFonts w:ascii="Arial" w:cs="Arial" w:eastAsia="Arial" w:hAnsi="Arial"/>
          <w:color w:val="2C2C2C"/>
          <w:sz w:val="22"/>
          <w:szCs w:val="22"/>
        </w:rPr>
        <w:t xml:space="preserve">Avec votre consentement, Kolyb utilise des outils d'analyse d'audience permettant de mesurer les performances de l'application et d'améliorer l'expérience utilisateur. Ces outils sont :</w:t>
      </w:r>
    </w:p>
    <w:p>
      <w:pPr>
        <w:pStyle w:val="ListParagraph"/>
        <w:numPr>
          <w:ilvl w:val="0"/>
          <w:numId w:val="2"/>
        </w:numPr>
        <w:spacing w:after="60" w:before="60"/>
      </w:pPr>
      <w:r>
        <w:rPr>
          <w:rFonts w:ascii="Arial" w:cs="Arial" w:eastAsia="Arial" w:hAnsi="Arial"/>
          <w:b/>
          <w:bCs/>
          <w:color w:val="C0392B"/>
          <w:sz w:val="22"/>
          <w:szCs w:val="22"/>
        </w:rPr>
        <w:t xml:space="preserve">°°°°° ex : Mixpanel, Amplitude, PostHog – à compléter selon votre stack °°°°°</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10.3 Gestion des préférences</w:t>
      </w:r>
    </w:p>
    <w:p>
      <w:pPr>
        <w:spacing w:after="80" w:before="80"/>
      </w:pPr>
      <w:r>
        <w:rPr>
          <w:rFonts w:ascii="Arial" w:cs="Arial" w:eastAsia="Arial" w:hAnsi="Arial"/>
          <w:color w:val="2C2C2C"/>
          <w:sz w:val="22"/>
          <w:szCs w:val="22"/>
        </w:rPr>
        <w:t xml:space="preserve">Lors de votre première connexion, un bandeau de gestion des cookies vous permet d'accepter ou de refuser les cookies non essentiels. Vous pouvez modifier vos préférences à tout moment depuis les paramètres de l'application.</w:t>
      </w:r>
    </w:p>
    <w:p>
      <w:pPr>
        <w:spacing w:after="80" w:before="80"/>
      </w:pPr>
      <w:r>
        <w:rPr>
          <w:rFonts w:ascii="Arial" w:cs="Arial" w:eastAsia="Arial" w:hAnsi="Arial"/>
          <w:color w:val="2C2C2C"/>
          <w:sz w:val="22"/>
          <w:szCs w:val="22"/>
        </w:rPr>
        <w:t xml:space="preserve">Refuser les cookies analytiques n'affecte pas votre accès aux fonctionnalités principales de Kolyb.</w:t>
      </w:r>
    </w:p>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11 – Protection des mineurs</w:t>
      </w:r>
    </w:p>
    <w:p>
      <w:pPr>
        <w:spacing w:after="80" w:before="80"/>
      </w:pPr>
      <w:r>
        <w:rPr>
          <w:rFonts w:ascii="Arial" w:cs="Arial" w:eastAsia="Arial" w:hAnsi="Arial"/>
          <w:color w:val="2C2C2C"/>
          <w:sz w:val="22"/>
          <w:szCs w:val="22"/>
        </w:rPr>
        <w:t xml:space="preserve">Kolyb est une application destinée aux entrepreneurs et aux professionnels. L'accès au service est strictement réservé aux personnes âgées de 18 ans et plus.</w:t>
      </w:r>
    </w:p>
    <w:p>
      <w:pPr>
        <w:spacing w:after="80" w:before="80"/>
      </w:pPr>
      <w:r>
        <w:rPr>
          <w:rFonts w:ascii="Arial" w:cs="Arial" w:eastAsia="Arial" w:hAnsi="Arial"/>
          <w:color w:val="2C2C2C"/>
          <w:sz w:val="22"/>
          <w:szCs w:val="22"/>
        </w:rPr>
        <w:t xml:space="preserve">Kolyb ne collecte pas intentionnellement de données personnelles concernant des mineurs de moins de 18 ans. Si nous apprenons qu'un mineur nous a communiqué des données sans consentement parental, nous procéderons à leur suppression dans les meilleurs délais.</w:t>
      </w:r>
    </w:p>
    <w:p>
      <w:pPr>
        <w:spacing w:after="80" w:before="80"/>
      </w:pPr>
      <w:r>
        <w:rPr>
          <w:rFonts w:ascii="Arial" w:cs="Arial" w:eastAsia="Arial" w:hAnsi="Arial"/>
          <w:color w:val="2C2C2C"/>
          <w:sz w:val="22"/>
          <w:szCs w:val="22"/>
        </w:rPr>
        <w:t xml:space="preserve">Si vous êtes le représentant légal d'un mineur et pensez que celui-ci nous a communiqué des données, veuillez nous contacter à l'adresse indiquée à l'Article 1.</w:t>
      </w:r>
    </w:p>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12 – Profilage et décisions automatisées</w:t>
      </w:r>
    </w:p>
    <w:p>
      <w:pPr>
        <w:spacing w:after="80" w:before="80"/>
      </w:pPr>
      <w:r>
        <w:rPr>
          <w:rFonts w:ascii="Arial" w:cs="Arial" w:eastAsia="Arial" w:hAnsi="Arial"/>
          <w:color w:val="2C2C2C"/>
          <w:sz w:val="22"/>
          <w:szCs w:val="22"/>
        </w:rPr>
        <w:t xml:space="preserve">Kolyb utilise un algorithme de mise en relation pour suggérer des connexions pertinentes entre membres de la communauté. Ce traitement constitue un profilage au sens de l'article 4.4 du RGPD.</w:t>
      </w:r>
    </w:p>
    <w:p>
      <w:pPr>
        <w:spacing w:after="60" w:before="0"/>
      </w:pPr>
      <w:r>
        <w:t xml:space="preserve"/>
      </w:r>
    </w:p>
    <w:p>
      <w:pPr>
        <w:spacing w:after="80" w:before="80"/>
      </w:pPr>
      <w:r>
        <w:rPr>
          <w:rFonts w:ascii="Arial" w:cs="Arial" w:eastAsia="Arial" w:hAnsi="Arial"/>
          <w:color w:val="2C2C2C"/>
          <w:sz w:val="22"/>
          <w:szCs w:val="22"/>
        </w:rPr>
        <w:t xml:space="preserve">Ce profilage :</w:t>
      </w:r>
    </w:p>
    <w:p>
      <w:pPr>
        <w:pStyle w:val="ListParagraph"/>
        <w:numPr>
          <w:ilvl w:val="0"/>
          <w:numId w:val="2"/>
        </w:numPr>
        <w:spacing w:after="60" w:before="60"/>
      </w:pPr>
      <w:r>
        <w:rPr>
          <w:rFonts w:ascii="Arial" w:cs="Arial" w:eastAsia="Arial" w:hAnsi="Arial"/>
          <w:b w:val="false"/>
          <w:bCs w:val="false"/>
          <w:color w:val="2C2C2C"/>
          <w:sz w:val="22"/>
          <w:szCs w:val="22"/>
        </w:rPr>
        <w:t xml:space="preserve">Est fondé sur votre consentement explicite préalable</w:t>
      </w:r>
    </w:p>
    <w:p>
      <w:pPr>
        <w:pStyle w:val="ListParagraph"/>
        <w:numPr>
          <w:ilvl w:val="0"/>
          <w:numId w:val="2"/>
        </w:numPr>
        <w:spacing w:after="60" w:before="60"/>
      </w:pPr>
      <w:r>
        <w:rPr>
          <w:rFonts w:ascii="Arial" w:cs="Arial" w:eastAsia="Arial" w:hAnsi="Arial"/>
          <w:b w:val="false"/>
          <w:bCs w:val="false"/>
          <w:color w:val="2C2C2C"/>
          <w:sz w:val="22"/>
          <w:szCs w:val="22"/>
        </w:rPr>
        <w:t xml:space="preserve">N'est pas destiné à produire des effets juridiques ou à vous affecter de manière significative et similaire</w:t>
      </w:r>
    </w:p>
    <w:p>
      <w:pPr>
        <w:pStyle w:val="ListParagraph"/>
        <w:numPr>
          <w:ilvl w:val="0"/>
          <w:numId w:val="2"/>
        </w:numPr>
        <w:spacing w:after="60" w:before="60"/>
      </w:pPr>
      <w:r>
        <w:rPr>
          <w:rFonts w:ascii="Arial" w:cs="Arial" w:eastAsia="Arial" w:hAnsi="Arial"/>
          <w:b w:val="false"/>
          <w:bCs w:val="false"/>
          <w:color w:val="2C2C2C"/>
          <w:sz w:val="22"/>
          <w:szCs w:val="22"/>
        </w:rPr>
        <w:t xml:space="preserve">Repose uniquement sur les données de profil entrepreneurial que vous avez volontairement renseignées</w:t>
      </w:r>
    </w:p>
    <w:p>
      <w:pPr>
        <w:pStyle w:val="ListParagraph"/>
        <w:numPr>
          <w:ilvl w:val="0"/>
          <w:numId w:val="2"/>
        </w:numPr>
        <w:spacing w:after="60" w:before="60"/>
      </w:pPr>
      <w:r>
        <w:rPr>
          <w:rFonts w:ascii="Arial" w:cs="Arial" w:eastAsia="Arial" w:hAnsi="Arial"/>
          <w:b w:val="false"/>
          <w:bCs w:val="false"/>
          <w:color w:val="2C2C2C"/>
          <w:sz w:val="22"/>
          <w:szCs w:val="22"/>
        </w:rPr>
        <w:t xml:space="preserve">Peut être contesté ou désactivé à tout moment depuis vos paramètres</w:t>
      </w:r>
    </w:p>
    <w:p>
      <w:pPr>
        <w:spacing w:after="60" w:before="0"/>
      </w:pPr>
      <w:r>
        <w:t xml:space="preserve"/>
      </w:r>
    </w:p>
    <w:p>
      <w:pPr>
        <w:spacing w:after="80" w:before="80"/>
      </w:pPr>
      <w:r>
        <w:rPr>
          <w:rFonts w:ascii="Arial" w:cs="Arial" w:eastAsia="Arial" w:hAnsi="Arial"/>
          <w:color w:val="2C2C2C"/>
          <w:sz w:val="22"/>
          <w:szCs w:val="22"/>
        </w:rPr>
        <w:t xml:space="preserve">Kolyb ne prend pas de décisions entièrement automatisées produisant des effets juridiques à votre égard (article 22 du RGPD).</w:t>
      </w:r>
    </w:p>
    <w:p>
      <w:pPr>
        <w:spacing w:after="160" w:before="0"/>
      </w:pPr>
      <w:r>
        <w:t xml:space="preserve"/>
      </w:r>
    </w:p>
    <w:p>
      <w:pPr>
        <w:pStyle w:val="Heading1"/>
        <w:pBdr>
          <w:bottom w:val="single" w:color="2E75B6" w:sz="4" w:space="4"/>
        </w:pBdr>
        <w:spacing w:after="160" w:before="400"/>
      </w:pPr>
      <w:r>
        <w:rPr>
          <w:rFonts w:ascii="Arial" w:cs="Arial" w:eastAsia="Arial" w:hAnsi="Arial"/>
          <w:b/>
          <w:bCs/>
          <w:color w:val="1A3A5C"/>
          <w:sz w:val="26"/>
          <w:szCs w:val="26"/>
        </w:rPr>
        <w:t xml:space="preserve">Article 13 – Mise à jour de la politique de confidentialité</w:t>
      </w:r>
    </w:p>
    <w:p>
      <w:pPr>
        <w:spacing w:after="80" w:before="80"/>
      </w:pPr>
      <w:r>
        <w:rPr>
          <w:rFonts w:ascii="Arial" w:cs="Arial" w:eastAsia="Arial" w:hAnsi="Arial"/>
          <w:color w:val="2C2C2C"/>
          <w:sz w:val="22"/>
          <w:szCs w:val="22"/>
        </w:rPr>
        <w:t xml:space="preserve">La présente Politique de confidentialité peut être mise à jour pour refléter des évolutions légales, réglementaires ou liées aux fonctionnalités de l'application.</w:t>
      </w:r>
    </w:p>
    <w:p>
      <w:pPr>
        <w:spacing w:after="80" w:before="80"/>
      </w:pPr>
      <w:r>
        <w:rPr>
          <w:rFonts w:ascii="Arial" w:cs="Arial" w:eastAsia="Arial" w:hAnsi="Arial"/>
          <w:color w:val="2C2C2C"/>
          <w:sz w:val="22"/>
          <w:szCs w:val="22"/>
        </w:rPr>
        <w:t xml:space="preserve">En cas de modification substantielle, Kolyb s'engage à informer les utilisateurs :</w:t>
      </w:r>
    </w:p>
    <w:p>
      <w:pPr>
        <w:pStyle w:val="ListParagraph"/>
        <w:numPr>
          <w:ilvl w:val="0"/>
          <w:numId w:val="2"/>
        </w:numPr>
        <w:spacing w:after="60" w:before="60"/>
      </w:pPr>
      <w:r>
        <w:rPr>
          <w:rFonts w:ascii="Arial" w:cs="Arial" w:eastAsia="Arial" w:hAnsi="Arial"/>
          <w:b w:val="false"/>
          <w:bCs w:val="false"/>
          <w:color w:val="2C2C2C"/>
          <w:sz w:val="22"/>
          <w:szCs w:val="22"/>
        </w:rPr>
        <w:t xml:space="preserve">Par notification in-app lors de la prochaine connexion</w:t>
      </w:r>
    </w:p>
    <w:p>
      <w:pPr>
        <w:pStyle w:val="ListParagraph"/>
        <w:numPr>
          <w:ilvl w:val="0"/>
          <w:numId w:val="2"/>
        </w:numPr>
        <w:spacing w:after="60" w:before="60"/>
      </w:pPr>
      <w:r>
        <w:rPr>
          <w:rFonts w:ascii="Arial" w:cs="Arial" w:eastAsia="Arial" w:hAnsi="Arial"/>
          <w:b w:val="false"/>
          <w:bCs w:val="false"/>
          <w:color w:val="2C2C2C"/>
          <w:sz w:val="22"/>
          <w:szCs w:val="22"/>
        </w:rPr>
        <w:t xml:space="preserve">Par e-mail à l'adresse de contact enregistrée, au moins 30 jours avant l'entrée en vigueur des modifications</w:t>
      </w:r>
    </w:p>
    <w:p>
      <w:pPr>
        <w:spacing w:after="60" w:before="0"/>
      </w:pPr>
      <w:r>
        <w:t xml:space="preserve"/>
      </w:r>
    </w:p>
    <w:p>
      <w:pPr>
        <w:spacing w:after="80" w:before="80"/>
      </w:pPr>
      <w:r>
        <w:rPr>
          <w:rFonts w:ascii="Arial" w:cs="Arial" w:eastAsia="Arial" w:hAnsi="Arial"/>
          <w:color w:val="2C2C2C"/>
          <w:sz w:val="22"/>
          <w:szCs w:val="22"/>
        </w:rPr>
        <w:t xml:space="preserve">La poursuite de l'utilisation de l'application après notification vaut acceptation de la nouvelle version. Si les modifications ne vous conviennent pas, vous pouvez supprimer votre compte à tout moment.</w:t>
      </w:r>
    </w:p>
    <w:p>
      <w:pPr>
        <w:spacing w:after="60" w:before="0"/>
      </w:pPr>
      <w:r>
        <w:t xml:space="preserve"/>
      </w:r>
    </w:p>
    <w:p>
      <w:pPr>
        <w:spacing w:after="80" w:before="80"/>
      </w:pPr>
      <w:r>
        <w:rPr>
          <w:rFonts w:ascii="Arial" w:cs="Arial" w:eastAsia="Arial" w:hAnsi="Arial"/>
          <w:b w:val="false"/>
          <w:bCs w:val="false"/>
          <w:color w:val="2C2C2C"/>
          <w:sz w:val="22"/>
          <w:szCs w:val="22"/>
        </w:rPr>
        <w:t xml:space="preserve">Date de la présente version : </w:t>
      </w:r>
      <w:r>
        <w:rPr>
          <w:rFonts w:ascii="Arial" w:cs="Arial" w:eastAsia="Arial" w:hAnsi="Arial"/>
          <w:b/>
          <w:bCs/>
          <w:color w:val="C0392B"/>
          <w:sz w:val="22"/>
          <w:szCs w:val="22"/>
        </w:rPr>
        <w:t xml:space="preserve">°°°°° DATE °°°°°</w:t>
      </w:r>
      <w:r>
        <w:rPr>
          <w:rFonts w:ascii="Arial" w:cs="Arial" w:eastAsia="Arial" w:hAnsi="Arial"/>
          <w:b w:val="false"/>
          <w:bCs w:val="false"/>
          <w:color w:val="2C2C2C"/>
          <w:sz w:val="22"/>
          <w:szCs w:val="22"/>
        </w:rPr>
        <w:t xml:space="preserve">     |     Version : 1.0</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14"/>
              <w:bottom w:val="single" w:color="2E75B6" w:sz="6"/>
              <w:right w:val="single" w:color="2E75B6" w:sz="6"/>
            </w:tcBorders>
            <w:shd w:fill="EEF4FB" w:val="clear"/>
            <w:tcMar>
              <w:top w:type="dxa" w:w="120"/>
              <w:left w:type="dxa" w:w="200"/>
              <w:bottom w:type="dxa" w:w="120"/>
              <w:right w:type="dxa" w:w="120"/>
            </w:tcMar>
          </w:tcPr>
          <w:p>
            <w:pPr>
              <w:spacing w:after="60" w:before="0"/>
            </w:pPr>
            <w:r>
              <w:rPr>
                <w:rFonts w:ascii="Arial" w:cs="Arial" w:eastAsia="Arial" w:hAnsi="Arial"/>
                <w:b/>
                <w:bCs/>
                <w:color w:val="1A3A5C"/>
                <w:sz w:val="22"/>
                <w:szCs w:val="22"/>
              </w:rPr>
              <w:t xml:space="preserve">Contact RGPD</w:t>
            </w:r>
          </w:p>
          <w:p>
            <w:pPr>
              <w:spacing w:after="0" w:before="0"/>
            </w:pPr>
            <w:r>
              <w:rPr>
                <w:rFonts w:ascii="Arial" w:cs="Arial" w:eastAsia="Arial" w:hAnsi="Arial"/>
                <w:color w:val="2C2C2C"/>
                <w:sz w:val="20"/>
                <w:szCs w:val="20"/>
              </w:rPr>
              <w:t xml:space="preserve">Pour toute question relative à la présente Politique de confidentialité ou à l'exercice de vos droits, contactez-nous à : °°°°° EMAIL CONTACT RGPD °°°°° – Nous nous engageons à répondre dans un délai de 30 jours ouvrés.</w:t>
            </w:r>
          </w:p>
        </w:tc>
      </w:tr>
    </w:tbl>
    <w:p>
      <w:pPr>
        <w:spacing w:after="80" w:before="0"/>
      </w:pPr>
      <w:r>
        <w:t xml:space="preserve"/>
      </w:r>
    </w:p>
    <w:p>
      <w:pPr>
        <w:jc w:val="center"/>
      </w:pPr>
      <w:r>
        <w:rPr>
          <w:rFonts w:ascii="Arial" w:cs="Arial" w:eastAsia="Arial" w:hAnsi="Arial"/>
          <w:i/>
          <w:iCs/>
          <w:color w:val="5A6A7A"/>
          <w:sz w:val="18"/>
          <w:szCs w:val="18"/>
        </w:rPr>
        <w:t xml:space="preserve">© Kolyb – Tous droits réservés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pPr>
    <w:r>
      <w:rPr>
        <w:rFonts w:ascii="Arial" w:cs="Arial" w:eastAsia="Arial" w:hAnsi="Arial"/>
        <w:color w:val="5A6A7A"/>
        <w:sz w:val="18"/>
        <w:szCs w:val="18"/>
      </w:rPr>
      <w:t xml:space="preserve">kolyb.app  –  Confidentiel et protégé</w:t>
    </w:r>
    <w:r>
      <w:rPr>
        <w:rFonts w:ascii="Arial" w:cs="Arial" w:eastAsia="Arial" w:hAnsi="Arial"/>
        <w:color w:val="5A6A7A"/>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5A6A7A"/>
        <w:sz w:val="18"/>
        <w:szCs w:val="18"/>
      </w:rPr>
      <w:t xml:space="preserve">Kolyb  –  Politique de Confidentialité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26"/>
      <w:szCs w:val="26"/>
    </w:rPr>
  </w:style>
  <w:style w:type="paragraph" w:styleId="Heading2">
    <w:name w:val="Heading 2"/>
    <w:basedOn w:val="Normal"/>
    <w:next w:val="Normal"/>
    <w:qFormat/>
    <w:pPr>
      <w:spacing w:after="10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2026-04-08T19:15:35.477Z</dcterms:created>
  <dcterms:modified xsi:type="dcterms:W3CDTF">2026-04-08T19:15:35.478Z</dcterms:modified>
</cp:coreProperties>
</file>

<file path=docProps/custom.xml><?xml version="1.0" encoding="utf-8"?>
<Properties xmlns="http://schemas.openxmlformats.org/officeDocument/2006/custom-properties" xmlns:vt="http://schemas.openxmlformats.org/officeDocument/2006/docPropsVTypes"/>
</file>