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234" w:rsidRDefault="00860D1F">
      <w:r>
        <w:rPr>
          <w:noProof/>
          <w:lang w:eastAsia="fr-FR"/>
        </w:rPr>
        <w:drawing>
          <wp:anchor distT="0" distB="0" distL="114300" distR="114300" simplePos="0" relativeHeight="251658240" behindDoc="0" locked="0" layoutInCell="1" allowOverlap="1" wp14:anchorId="50D81386" wp14:editId="0C71D572">
            <wp:simplePos x="0" y="0"/>
            <wp:positionH relativeFrom="column">
              <wp:posOffset>1032400</wp:posOffset>
            </wp:positionH>
            <wp:positionV relativeFrom="paragraph">
              <wp:posOffset>-48977</wp:posOffset>
            </wp:positionV>
            <wp:extent cx="3665552" cy="2138901"/>
            <wp:effectExtent l="0" t="0" r="11430" b="13970"/>
            <wp:wrapNone/>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860D1F" w:rsidRDefault="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Default="00860D1F" w:rsidP="00860D1F"/>
    <w:p w:rsidR="00860D1F" w:rsidRDefault="00860D1F" w:rsidP="00860D1F"/>
    <w:p w:rsidR="00860D1F" w:rsidRPr="00860D1F" w:rsidRDefault="00860D1F" w:rsidP="00860D1F"/>
    <w:p w:rsidR="00860D1F" w:rsidRPr="00860D1F" w:rsidRDefault="0063650F" w:rsidP="00860D1F">
      <w:r>
        <w:rPr>
          <w:noProof/>
          <w:lang w:eastAsia="fr-FR"/>
        </w:rPr>
        <w:drawing>
          <wp:anchor distT="0" distB="0" distL="114300" distR="114300" simplePos="0" relativeHeight="251663360" behindDoc="0" locked="0" layoutInCell="1" allowOverlap="1" wp14:anchorId="267344AC" wp14:editId="2F1E40D8">
            <wp:simplePos x="0" y="0"/>
            <wp:positionH relativeFrom="column">
              <wp:posOffset>-1298</wp:posOffset>
            </wp:positionH>
            <wp:positionV relativeFrom="paragraph">
              <wp:posOffset>103698</wp:posOffset>
            </wp:positionV>
            <wp:extent cx="2894275" cy="1812898"/>
            <wp:effectExtent l="0" t="0" r="20955" b="16510"/>
            <wp:wrapNone/>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860D1F">
        <w:rPr>
          <w:noProof/>
          <w:lang w:eastAsia="fr-FR"/>
        </w:rPr>
        <w:drawing>
          <wp:anchor distT="0" distB="0" distL="114300" distR="114300" simplePos="0" relativeHeight="251660288" behindDoc="0" locked="0" layoutInCell="1" allowOverlap="1" wp14:anchorId="2A57E9ED" wp14:editId="09B601E4">
            <wp:simplePos x="0" y="0"/>
            <wp:positionH relativeFrom="column">
              <wp:posOffset>2892425</wp:posOffset>
            </wp:positionH>
            <wp:positionV relativeFrom="paragraph">
              <wp:posOffset>103505</wp:posOffset>
            </wp:positionV>
            <wp:extent cx="2822575" cy="1812290"/>
            <wp:effectExtent l="0" t="0" r="15875" b="16510"/>
            <wp:wrapNone/>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Default="00860D1F" w:rsidP="00860D1F"/>
    <w:p w:rsidR="00860D1F" w:rsidRDefault="00860D1F" w:rsidP="00860D1F">
      <w:pPr>
        <w:jc w:val="center"/>
      </w:pPr>
      <w:r>
        <w:rPr>
          <w:noProof/>
          <w:lang w:eastAsia="fr-FR"/>
        </w:rPr>
        <w:drawing>
          <wp:anchor distT="0" distB="0" distL="114300" distR="114300" simplePos="0" relativeHeight="251661312" behindDoc="0" locked="0" layoutInCell="1" allowOverlap="1" wp14:anchorId="7D928C24" wp14:editId="7A174C4B">
            <wp:simplePos x="0" y="0"/>
            <wp:positionH relativeFrom="column">
              <wp:posOffset>-1905</wp:posOffset>
            </wp:positionH>
            <wp:positionV relativeFrom="paragraph">
              <wp:posOffset>381000</wp:posOffset>
            </wp:positionV>
            <wp:extent cx="2893695" cy="1757045"/>
            <wp:effectExtent l="0" t="0" r="20955" b="14605"/>
            <wp:wrapNone/>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860D1F" w:rsidRPr="00860D1F" w:rsidRDefault="00860D1F" w:rsidP="00860D1F"/>
    <w:p w:rsidR="00860D1F" w:rsidRPr="00860D1F" w:rsidRDefault="00860D1F" w:rsidP="00860D1F">
      <w:r>
        <w:rPr>
          <w:noProof/>
          <w:lang w:eastAsia="fr-FR"/>
        </w:rPr>
        <w:drawing>
          <wp:anchor distT="0" distB="0" distL="114300" distR="114300" simplePos="0" relativeHeight="251662336" behindDoc="0" locked="0" layoutInCell="1" allowOverlap="1" wp14:anchorId="41BD7DE0" wp14:editId="1D92C83A">
            <wp:simplePos x="0" y="0"/>
            <wp:positionH relativeFrom="column">
              <wp:posOffset>2892977</wp:posOffset>
            </wp:positionH>
            <wp:positionV relativeFrom="paragraph">
              <wp:posOffset>40806</wp:posOffset>
            </wp:positionV>
            <wp:extent cx="2822713" cy="1757238"/>
            <wp:effectExtent l="0" t="0" r="15875" b="14605"/>
            <wp:wrapNone/>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Default="00860D1F" w:rsidP="00860D1F"/>
    <w:p w:rsidR="00860D1F" w:rsidRDefault="0063650F" w:rsidP="00860D1F">
      <w:pPr>
        <w:tabs>
          <w:tab w:val="left" w:pos="1766"/>
        </w:tabs>
      </w:pPr>
      <w:r>
        <w:t>Les pays principaux participants à la recherche ainsi qu’au développement des études concernant la psychologie sportive restent à peu près les mêmes. Nous retrouvons pour chaque décennie le trio USA-Angleterre-Allemagne en compétition.</w:t>
      </w:r>
    </w:p>
    <w:p w:rsidR="0063650F" w:rsidRDefault="0063650F" w:rsidP="00860D1F">
      <w:pPr>
        <w:tabs>
          <w:tab w:val="left" w:pos="1766"/>
        </w:tabs>
      </w:pPr>
      <w:r>
        <w:t>Dans les années 1970s la Suède perce sur le sujet mais disparaît pour revenir dans le classement des pays qui ont le plus publié dans les années 2010s.</w:t>
      </w:r>
    </w:p>
    <w:p w:rsidR="003E0EC0" w:rsidRDefault="003E0EC0" w:rsidP="00860D1F">
      <w:pPr>
        <w:tabs>
          <w:tab w:val="left" w:pos="1766"/>
        </w:tabs>
      </w:pPr>
      <w:r>
        <w:t>Le changement de siècle a été précurseur dans la participation des pays dans la recherche de l’entraînement mental. Nous pouvons prendre l’exemple de la Coupe du Monde de Football en 2006, la finale entre la France et l’Italie nous illustre un manque de retenue de la part de Zinedine Zidane avec son coup de tête.</w:t>
      </w:r>
    </w:p>
    <w:p w:rsidR="00C74158" w:rsidRDefault="00C74158" w:rsidP="00860D1F">
      <w:pPr>
        <w:tabs>
          <w:tab w:val="left" w:pos="1766"/>
        </w:tabs>
      </w:pPr>
      <w:r>
        <w:t>La France, quant à elle, arrive dans le courant des années 1990s pour y conserver s</w:t>
      </w:r>
      <w:r w:rsidR="00850EA6">
        <w:t>a place dans le classement aujourd’hui</w:t>
      </w:r>
      <w:r>
        <w:t>.</w:t>
      </w:r>
    </w:p>
    <w:p w:rsidR="003E0EC0" w:rsidRDefault="003E0EC0" w:rsidP="00860D1F">
      <w:pPr>
        <w:tabs>
          <w:tab w:val="left" w:pos="1766"/>
        </w:tabs>
      </w:pPr>
    </w:p>
    <w:p w:rsidR="003E0EC0" w:rsidRDefault="003E0EC0" w:rsidP="00860D1F">
      <w:pPr>
        <w:tabs>
          <w:tab w:val="left" w:pos="1766"/>
        </w:tabs>
      </w:pPr>
      <w:r>
        <w:rPr>
          <w:noProof/>
          <w:lang w:eastAsia="fr-FR"/>
        </w:rPr>
        <w:lastRenderedPageBreak/>
        <w:drawing>
          <wp:inline distT="0" distB="0" distL="0" distR="0" wp14:anchorId="289FDB26" wp14:editId="288F6D9D">
            <wp:extent cx="5760720" cy="3016324"/>
            <wp:effectExtent l="0" t="0" r="11430" b="1270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0EC0" w:rsidRDefault="003E0EC0" w:rsidP="00860D1F">
      <w:pPr>
        <w:tabs>
          <w:tab w:val="left" w:pos="1766"/>
        </w:tabs>
      </w:pPr>
      <w:r>
        <w:t>Le graphique ci-dessus nous indique l’évolution du nombre de publication parmi les cinq pays ayant le plus publié entre 1960 et 2015.</w:t>
      </w:r>
    </w:p>
    <w:p w:rsidR="003E0EC0" w:rsidRDefault="00362C6C" w:rsidP="00860D1F">
      <w:pPr>
        <w:tabs>
          <w:tab w:val="left" w:pos="1766"/>
        </w:tabs>
      </w:pPr>
      <w:r>
        <w:t>Etonnement les Etats-Unis ainsi que l’Angleterre évoluent de la même manière, tous deux augmentent considérablement le nombre de publication d’articles sur le sujet de la psychologie sportive. Un affaiblissement, minime, des États-Unis permet à l’Angleterre de rattraper leur chiffre.</w:t>
      </w:r>
    </w:p>
    <w:p w:rsidR="00362C6C" w:rsidRDefault="00362C6C" w:rsidP="00860D1F">
      <w:pPr>
        <w:tabs>
          <w:tab w:val="left" w:pos="1766"/>
        </w:tabs>
      </w:pPr>
      <w:r>
        <w:t>L’Allemagne et la France, au début des années 60s, commencent à publier de plus en plus tout en ayant une augmentation raisonnable. Augmentation qui permettra à l’Allemagne de dépasser les Etats-Unis dans les années 80s et de les égaler dans les années 90s.</w:t>
      </w:r>
    </w:p>
    <w:p w:rsidR="00362C6C" w:rsidRDefault="00362C6C" w:rsidP="00860D1F">
      <w:pPr>
        <w:tabs>
          <w:tab w:val="left" w:pos="1766"/>
        </w:tabs>
      </w:pPr>
      <w:r>
        <w:t>Seule la Nouvelle-Zélande a une augmentation, faible certes, mais constante depuis les cinquante dernières années.</w:t>
      </w:r>
    </w:p>
    <w:p w:rsidR="00941D8C" w:rsidRPr="00860D1F" w:rsidRDefault="00941D8C" w:rsidP="00860D1F">
      <w:pPr>
        <w:tabs>
          <w:tab w:val="left" w:pos="1766"/>
        </w:tabs>
      </w:pPr>
      <w:r>
        <w:t>Les chiffres associés aux Etats-Unis peuvent s’expliquer par le nombre accru de cher</w:t>
      </w:r>
      <w:r w:rsidR="00405984">
        <w:t>cheurs dans le domaine du sport, et donc, leur permet de se pencher plus longuement et plus précisément sur le sujet. Leur présence dans la majorité des évènements sportifs amplifie leurs motivations dans cette catégorie.</w:t>
      </w:r>
      <w:bookmarkStart w:id="0" w:name="_GoBack"/>
      <w:bookmarkEnd w:id="0"/>
    </w:p>
    <w:sectPr w:rsidR="00941D8C" w:rsidRPr="00860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1F"/>
    <w:rsid w:val="00362C6C"/>
    <w:rsid w:val="003E0EC0"/>
    <w:rsid w:val="00405984"/>
    <w:rsid w:val="0051764A"/>
    <w:rsid w:val="0063650F"/>
    <w:rsid w:val="00850EA6"/>
    <w:rsid w:val="00860D1F"/>
    <w:rsid w:val="00941D8C"/>
    <w:rsid w:val="009A0331"/>
    <w:rsid w:val="00AB22BB"/>
    <w:rsid w:val="00C74158"/>
    <w:rsid w:val="00D12234"/>
    <w:rsid w:val="00EA0ED0"/>
    <w:rsid w:val="00F60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03"/>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D1F"/>
    <w:rPr>
      <w:rFonts w:ascii="Tahoma" w:hAnsi="Tahoma" w:cs="Tahoma"/>
      <w:sz w:val="16"/>
      <w:szCs w:val="16"/>
    </w:rPr>
  </w:style>
  <w:style w:type="character" w:customStyle="1" w:styleId="TextedebullesCar">
    <w:name w:val="Texte de bulles Car"/>
    <w:basedOn w:val="Policepardfaut"/>
    <w:link w:val="Textedebulles"/>
    <w:uiPriority w:val="99"/>
    <w:semiHidden/>
    <w:rsid w:val="00860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03"/>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D1F"/>
    <w:rPr>
      <w:rFonts w:ascii="Tahoma" w:hAnsi="Tahoma" w:cs="Tahoma"/>
      <w:sz w:val="16"/>
      <w:szCs w:val="16"/>
    </w:rPr>
  </w:style>
  <w:style w:type="character" w:customStyle="1" w:styleId="TextedebullesCar">
    <w:name w:val="Texte de bulles Car"/>
    <w:basedOn w:val="Policepardfaut"/>
    <w:link w:val="Textedebulles"/>
    <w:uiPriority w:val="99"/>
    <w:semiHidden/>
    <w:rsid w:val="00860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a:t>
            </a:r>
            <a:r>
              <a:rPr lang="fr-FR" sz="1400" baseline="0"/>
              <a:t> au cours des années 2010s </a:t>
            </a:r>
            <a:r>
              <a:rPr lang="fr-FR" sz="1000" baseline="0"/>
              <a:t>(par pays)</a:t>
            </a:r>
            <a:endParaRPr lang="fr-FR" sz="1000"/>
          </a:p>
        </c:rich>
      </c:tx>
      <c:overlay val="0"/>
    </c:title>
    <c:autoTitleDeleted val="0"/>
    <c:plotArea>
      <c:layout/>
      <c:barChart>
        <c:barDir val="col"/>
        <c:grouping val="clustered"/>
        <c:varyColors val="0"/>
        <c:ser>
          <c:idx val="0"/>
          <c:order val="0"/>
          <c:invertIfNegative val="0"/>
          <c:cat>
            <c:strRef>
              <c:f>'PA_DA decennie'!$A$35:$A$42</c:f>
              <c:strCache>
                <c:ptCount val="8"/>
                <c:pt idx="0">
                  <c:v>USA</c:v>
                </c:pt>
                <c:pt idx="1">
                  <c:v>UK</c:v>
                </c:pt>
                <c:pt idx="2">
                  <c:v>GERMANY</c:v>
                </c:pt>
                <c:pt idx="3">
                  <c:v>France</c:v>
                </c:pt>
                <c:pt idx="4">
                  <c:v>NEW ZEALAND</c:v>
                </c:pt>
                <c:pt idx="5">
                  <c:v>SWITZER</c:v>
                </c:pt>
                <c:pt idx="6">
                  <c:v>DENMARK</c:v>
                </c:pt>
                <c:pt idx="7">
                  <c:v>TURKEY</c:v>
                </c:pt>
              </c:strCache>
            </c:strRef>
          </c:cat>
          <c:val>
            <c:numRef>
              <c:f>'PA_DA decennie'!$B$35:$B$42</c:f>
              <c:numCache>
                <c:formatCode>0%</c:formatCode>
                <c:ptCount val="8"/>
                <c:pt idx="0">
                  <c:v>0.35305719921104539</c:v>
                </c:pt>
                <c:pt idx="1">
                  <c:v>0.31952662721893493</c:v>
                </c:pt>
                <c:pt idx="2">
                  <c:v>0.16173570019723865</c:v>
                </c:pt>
                <c:pt idx="3">
                  <c:v>3.7475345167652857E-2</c:v>
                </c:pt>
                <c:pt idx="4">
                  <c:v>3.7475345167652857E-2</c:v>
                </c:pt>
                <c:pt idx="5">
                  <c:v>3.1558185404339252E-2</c:v>
                </c:pt>
                <c:pt idx="6">
                  <c:v>3.1558185404339252E-2</c:v>
                </c:pt>
                <c:pt idx="7">
                  <c:v>2.7613412228796843E-2</c:v>
                </c:pt>
              </c:numCache>
            </c:numRef>
          </c:val>
        </c:ser>
        <c:dLbls>
          <c:showLegendKey val="0"/>
          <c:showVal val="0"/>
          <c:showCatName val="0"/>
          <c:showSerName val="0"/>
          <c:showPercent val="0"/>
          <c:showBubbleSize val="0"/>
        </c:dLbls>
        <c:gapWidth val="150"/>
        <c:axId val="163574912"/>
        <c:axId val="163576448"/>
      </c:barChart>
      <c:catAx>
        <c:axId val="163574912"/>
        <c:scaling>
          <c:orientation val="minMax"/>
        </c:scaling>
        <c:delete val="0"/>
        <c:axPos val="b"/>
        <c:majorTickMark val="out"/>
        <c:minorTickMark val="none"/>
        <c:tickLblPos val="nextTo"/>
        <c:crossAx val="163576448"/>
        <c:crosses val="autoZero"/>
        <c:auto val="1"/>
        <c:lblAlgn val="ctr"/>
        <c:lblOffset val="100"/>
        <c:noMultiLvlLbl val="0"/>
      </c:catAx>
      <c:valAx>
        <c:axId val="163576448"/>
        <c:scaling>
          <c:orientation val="minMax"/>
        </c:scaling>
        <c:delete val="0"/>
        <c:axPos val="l"/>
        <c:majorGridlines/>
        <c:numFmt formatCode="0%" sourceLinked="1"/>
        <c:majorTickMark val="out"/>
        <c:minorTickMark val="none"/>
        <c:tickLblPos val="nextTo"/>
        <c:crossAx val="1635749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a:t>
            </a:r>
            <a:r>
              <a:rPr lang="fr-FR" sz="1400" baseline="0"/>
              <a:t> au cours des années 2000s </a:t>
            </a:r>
            <a:r>
              <a:rPr lang="fr-FR" sz="1000" baseline="0"/>
              <a:t>(par pays)</a:t>
            </a:r>
            <a:endParaRPr lang="fr-FR" sz="1400"/>
          </a:p>
        </c:rich>
      </c:tx>
      <c:overlay val="0"/>
    </c:title>
    <c:autoTitleDeleted val="0"/>
    <c:plotArea>
      <c:layout/>
      <c:barChart>
        <c:barDir val="col"/>
        <c:grouping val="clustered"/>
        <c:varyColors val="0"/>
        <c:ser>
          <c:idx val="0"/>
          <c:order val="0"/>
          <c:invertIfNegative val="0"/>
          <c:cat>
            <c:strRef>
              <c:f>'PA_DA decennie'!$A$45:$A$54</c:f>
              <c:strCache>
                <c:ptCount val="10"/>
                <c:pt idx="0">
                  <c:v>USA</c:v>
                </c:pt>
                <c:pt idx="1">
                  <c:v>UK</c:v>
                </c:pt>
                <c:pt idx="2">
                  <c:v>GERMANY</c:v>
                </c:pt>
                <c:pt idx="3">
                  <c:v>France</c:v>
                </c:pt>
                <c:pt idx="4">
                  <c:v>AUSTRALY</c:v>
                </c:pt>
                <c:pt idx="5">
                  <c:v>DENMARK</c:v>
                </c:pt>
                <c:pt idx="6">
                  <c:v>N-ZEALAND</c:v>
                </c:pt>
                <c:pt idx="7">
                  <c:v>CANADA</c:v>
                </c:pt>
                <c:pt idx="8">
                  <c:v>ITALY</c:v>
                </c:pt>
                <c:pt idx="9">
                  <c:v>SPAIN</c:v>
                </c:pt>
              </c:strCache>
            </c:strRef>
          </c:cat>
          <c:val>
            <c:numRef>
              <c:f>'PA_DA decennie'!$B$45:$B$54</c:f>
              <c:numCache>
                <c:formatCode>0%</c:formatCode>
                <c:ptCount val="10"/>
                <c:pt idx="0">
                  <c:v>0.39019189765458423</c:v>
                </c:pt>
                <c:pt idx="1">
                  <c:v>0.20895522388059701</c:v>
                </c:pt>
                <c:pt idx="2">
                  <c:v>0.17697228144989338</c:v>
                </c:pt>
                <c:pt idx="3">
                  <c:v>6.3965884861407252E-2</c:v>
                </c:pt>
                <c:pt idx="4">
                  <c:v>3.8379530916844352E-2</c:v>
                </c:pt>
                <c:pt idx="5">
                  <c:v>2.9850746268656716E-2</c:v>
                </c:pt>
                <c:pt idx="6">
                  <c:v>2.3454157782515993E-2</c:v>
                </c:pt>
                <c:pt idx="7">
                  <c:v>2.3454157782515993E-2</c:v>
                </c:pt>
                <c:pt idx="8">
                  <c:v>2.3454157782515993E-2</c:v>
                </c:pt>
                <c:pt idx="9">
                  <c:v>2.1321961620469083E-2</c:v>
                </c:pt>
              </c:numCache>
            </c:numRef>
          </c:val>
        </c:ser>
        <c:dLbls>
          <c:showLegendKey val="0"/>
          <c:showVal val="0"/>
          <c:showCatName val="0"/>
          <c:showSerName val="0"/>
          <c:showPercent val="0"/>
          <c:showBubbleSize val="0"/>
        </c:dLbls>
        <c:gapWidth val="150"/>
        <c:axId val="167198080"/>
        <c:axId val="163165312"/>
      </c:barChart>
      <c:catAx>
        <c:axId val="167198080"/>
        <c:scaling>
          <c:orientation val="minMax"/>
        </c:scaling>
        <c:delete val="0"/>
        <c:axPos val="b"/>
        <c:majorTickMark val="out"/>
        <c:minorTickMark val="none"/>
        <c:tickLblPos val="nextTo"/>
        <c:crossAx val="163165312"/>
        <c:crosses val="autoZero"/>
        <c:auto val="1"/>
        <c:lblAlgn val="ctr"/>
        <c:lblOffset val="100"/>
        <c:noMultiLvlLbl val="0"/>
      </c:catAx>
      <c:valAx>
        <c:axId val="163165312"/>
        <c:scaling>
          <c:orientation val="minMax"/>
        </c:scaling>
        <c:delete val="0"/>
        <c:axPos val="l"/>
        <c:majorGridlines/>
        <c:numFmt formatCode="0%" sourceLinked="1"/>
        <c:majorTickMark val="out"/>
        <c:minorTickMark val="none"/>
        <c:tickLblPos val="nextTo"/>
        <c:crossAx val="1671980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1990s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decennie'!$A$58:$A$61</c:f>
              <c:strCache>
                <c:ptCount val="4"/>
                <c:pt idx="0">
                  <c:v>GERMANY</c:v>
                </c:pt>
                <c:pt idx="1">
                  <c:v>USA</c:v>
                </c:pt>
                <c:pt idx="2">
                  <c:v>UK</c:v>
                </c:pt>
                <c:pt idx="3">
                  <c:v>France</c:v>
                </c:pt>
              </c:strCache>
            </c:strRef>
          </c:cat>
          <c:val>
            <c:numRef>
              <c:f>'PA_DA decennie'!$B$58:$B$61</c:f>
              <c:numCache>
                <c:formatCode>0%</c:formatCode>
                <c:ptCount val="4"/>
                <c:pt idx="0">
                  <c:v>0.40579710144927539</c:v>
                </c:pt>
                <c:pt idx="1">
                  <c:v>0.40096618357487923</c:v>
                </c:pt>
                <c:pt idx="2">
                  <c:v>0.10144927536231885</c:v>
                </c:pt>
                <c:pt idx="3">
                  <c:v>9.1787439613526575E-2</c:v>
                </c:pt>
              </c:numCache>
            </c:numRef>
          </c:val>
        </c:ser>
        <c:dLbls>
          <c:showLegendKey val="0"/>
          <c:showVal val="0"/>
          <c:showCatName val="0"/>
          <c:showSerName val="0"/>
          <c:showPercent val="0"/>
          <c:showBubbleSize val="0"/>
        </c:dLbls>
        <c:gapWidth val="150"/>
        <c:axId val="163230464"/>
        <c:axId val="163232000"/>
      </c:barChart>
      <c:catAx>
        <c:axId val="163230464"/>
        <c:scaling>
          <c:orientation val="minMax"/>
        </c:scaling>
        <c:delete val="0"/>
        <c:axPos val="b"/>
        <c:majorTickMark val="out"/>
        <c:minorTickMark val="none"/>
        <c:tickLblPos val="nextTo"/>
        <c:crossAx val="163232000"/>
        <c:crosses val="autoZero"/>
        <c:auto val="1"/>
        <c:lblAlgn val="ctr"/>
        <c:lblOffset val="100"/>
        <c:noMultiLvlLbl val="0"/>
      </c:catAx>
      <c:valAx>
        <c:axId val="163232000"/>
        <c:scaling>
          <c:orientation val="minMax"/>
        </c:scaling>
        <c:delete val="0"/>
        <c:axPos val="l"/>
        <c:majorGridlines/>
        <c:numFmt formatCode="0%" sourceLinked="1"/>
        <c:majorTickMark val="out"/>
        <c:minorTickMark val="none"/>
        <c:tickLblPos val="nextTo"/>
        <c:crossAx val="16323046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1980s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decennie'!$A$65:$A$68</c:f>
              <c:strCache>
                <c:ptCount val="4"/>
                <c:pt idx="0">
                  <c:v>GERMANY</c:v>
                </c:pt>
                <c:pt idx="1">
                  <c:v>USA</c:v>
                </c:pt>
                <c:pt idx="2">
                  <c:v>CANDA</c:v>
                </c:pt>
                <c:pt idx="3">
                  <c:v>UK</c:v>
                </c:pt>
              </c:strCache>
            </c:strRef>
          </c:cat>
          <c:val>
            <c:numRef>
              <c:f>'PA_DA decennie'!$B$65:$B$68</c:f>
              <c:numCache>
                <c:formatCode>0%</c:formatCode>
                <c:ptCount val="4"/>
                <c:pt idx="0">
                  <c:v>0.52830188679245282</c:v>
                </c:pt>
                <c:pt idx="1">
                  <c:v>0.30188679245283018</c:v>
                </c:pt>
                <c:pt idx="2">
                  <c:v>0.11320754716981132</c:v>
                </c:pt>
                <c:pt idx="3">
                  <c:v>5.6603773584905662E-2</c:v>
                </c:pt>
              </c:numCache>
            </c:numRef>
          </c:val>
        </c:ser>
        <c:dLbls>
          <c:showLegendKey val="0"/>
          <c:showVal val="0"/>
          <c:showCatName val="0"/>
          <c:showSerName val="0"/>
          <c:showPercent val="0"/>
          <c:showBubbleSize val="0"/>
        </c:dLbls>
        <c:gapWidth val="150"/>
        <c:axId val="163522432"/>
        <c:axId val="163523968"/>
      </c:barChart>
      <c:catAx>
        <c:axId val="163522432"/>
        <c:scaling>
          <c:orientation val="minMax"/>
        </c:scaling>
        <c:delete val="0"/>
        <c:axPos val="b"/>
        <c:majorTickMark val="out"/>
        <c:minorTickMark val="none"/>
        <c:tickLblPos val="nextTo"/>
        <c:crossAx val="163523968"/>
        <c:crosses val="autoZero"/>
        <c:auto val="1"/>
        <c:lblAlgn val="ctr"/>
        <c:lblOffset val="100"/>
        <c:noMultiLvlLbl val="0"/>
      </c:catAx>
      <c:valAx>
        <c:axId val="163523968"/>
        <c:scaling>
          <c:orientation val="minMax"/>
        </c:scaling>
        <c:delete val="0"/>
        <c:axPos val="l"/>
        <c:majorGridlines/>
        <c:numFmt formatCode="0%" sourceLinked="1"/>
        <c:majorTickMark val="out"/>
        <c:minorTickMark val="none"/>
        <c:tickLblPos val="nextTo"/>
        <c:crossAx val="1635224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1970s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decennie'!$A$73:$A$76</c:f>
              <c:strCache>
                <c:ptCount val="4"/>
                <c:pt idx="0">
                  <c:v>USA</c:v>
                </c:pt>
                <c:pt idx="1">
                  <c:v>GERMANY</c:v>
                </c:pt>
                <c:pt idx="2">
                  <c:v>SWITZER</c:v>
                </c:pt>
                <c:pt idx="3">
                  <c:v>UK</c:v>
                </c:pt>
              </c:strCache>
            </c:strRef>
          </c:cat>
          <c:val>
            <c:numRef>
              <c:f>'PA_DA decennie'!$B$73:$B$76</c:f>
              <c:numCache>
                <c:formatCode>0%</c:formatCode>
                <c:ptCount val="4"/>
                <c:pt idx="0">
                  <c:v>0.43636363636363634</c:v>
                </c:pt>
                <c:pt idx="1">
                  <c:v>0.41818181818181815</c:v>
                </c:pt>
                <c:pt idx="2">
                  <c:v>9.0909090909090912E-2</c:v>
                </c:pt>
                <c:pt idx="3">
                  <c:v>5.4545454545454543E-2</c:v>
                </c:pt>
              </c:numCache>
            </c:numRef>
          </c:val>
        </c:ser>
        <c:dLbls>
          <c:showLegendKey val="0"/>
          <c:showVal val="0"/>
          <c:showCatName val="0"/>
          <c:showSerName val="0"/>
          <c:showPercent val="0"/>
          <c:showBubbleSize val="0"/>
        </c:dLbls>
        <c:gapWidth val="150"/>
        <c:axId val="163535872"/>
        <c:axId val="167064320"/>
      </c:barChart>
      <c:catAx>
        <c:axId val="163535872"/>
        <c:scaling>
          <c:orientation val="minMax"/>
        </c:scaling>
        <c:delete val="0"/>
        <c:axPos val="b"/>
        <c:majorTickMark val="out"/>
        <c:minorTickMark val="none"/>
        <c:tickLblPos val="nextTo"/>
        <c:crossAx val="167064320"/>
        <c:crosses val="autoZero"/>
        <c:auto val="1"/>
        <c:lblAlgn val="ctr"/>
        <c:lblOffset val="100"/>
        <c:noMultiLvlLbl val="0"/>
      </c:catAx>
      <c:valAx>
        <c:axId val="167064320"/>
        <c:scaling>
          <c:orientation val="minMax"/>
        </c:scaling>
        <c:delete val="0"/>
        <c:axPos val="l"/>
        <c:majorGridlines/>
        <c:numFmt formatCode="0%" sourceLinked="1"/>
        <c:majorTickMark val="out"/>
        <c:minorTickMark val="none"/>
        <c:tickLblPos val="nextTo"/>
        <c:crossAx val="16353587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'PA_DA decennie'!$A$93</c:f>
              <c:strCache>
                <c:ptCount val="1"/>
                <c:pt idx="0">
                  <c:v>USA</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decennie'!$B$93:$G$93</c:f>
              <c:numCache>
                <c:formatCode>General</c:formatCode>
                <c:ptCount val="6"/>
                <c:pt idx="0">
                  <c:v>6</c:v>
                </c:pt>
                <c:pt idx="1">
                  <c:v>24</c:v>
                </c:pt>
                <c:pt idx="2">
                  <c:v>32</c:v>
                </c:pt>
                <c:pt idx="3">
                  <c:v>83</c:v>
                </c:pt>
                <c:pt idx="4">
                  <c:v>183</c:v>
                </c:pt>
                <c:pt idx="5">
                  <c:v>179</c:v>
                </c:pt>
              </c:numCache>
            </c:numRef>
          </c:val>
          <c:smooth val="0"/>
        </c:ser>
        <c:ser>
          <c:idx val="1"/>
          <c:order val="1"/>
          <c:tx>
            <c:strRef>
              <c:f>'PA_DA decennie'!$A$94</c:f>
              <c:strCache>
                <c:ptCount val="1"/>
                <c:pt idx="0">
                  <c:v>UK</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decennie'!$B$94:$G$94</c:f>
              <c:numCache>
                <c:formatCode>General</c:formatCode>
                <c:ptCount val="6"/>
                <c:pt idx="0">
                  <c:v>0</c:v>
                </c:pt>
                <c:pt idx="1">
                  <c:v>3</c:v>
                </c:pt>
                <c:pt idx="2">
                  <c:v>6</c:v>
                </c:pt>
                <c:pt idx="3">
                  <c:v>21</c:v>
                </c:pt>
                <c:pt idx="4">
                  <c:v>98</c:v>
                </c:pt>
                <c:pt idx="5">
                  <c:v>162</c:v>
                </c:pt>
              </c:numCache>
            </c:numRef>
          </c:val>
          <c:smooth val="0"/>
        </c:ser>
        <c:ser>
          <c:idx val="2"/>
          <c:order val="2"/>
          <c:tx>
            <c:strRef>
              <c:f>'PA_DA decennie'!$A$95</c:f>
              <c:strCache>
                <c:ptCount val="1"/>
                <c:pt idx="0">
                  <c:v>GERMANY</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decennie'!$B$95:$G$95</c:f>
              <c:numCache>
                <c:formatCode>General</c:formatCode>
                <c:ptCount val="6"/>
                <c:pt idx="0">
                  <c:v>2</c:v>
                </c:pt>
                <c:pt idx="1">
                  <c:v>23</c:v>
                </c:pt>
                <c:pt idx="2">
                  <c:v>56</c:v>
                </c:pt>
                <c:pt idx="3">
                  <c:v>84</c:v>
                </c:pt>
                <c:pt idx="4">
                  <c:v>83</c:v>
                </c:pt>
                <c:pt idx="5">
                  <c:v>82</c:v>
                </c:pt>
              </c:numCache>
            </c:numRef>
          </c:val>
          <c:smooth val="0"/>
        </c:ser>
        <c:ser>
          <c:idx val="3"/>
          <c:order val="3"/>
          <c:tx>
            <c:strRef>
              <c:f>'PA_DA decennie'!$A$96</c:f>
              <c:strCache>
                <c:ptCount val="1"/>
                <c:pt idx="0">
                  <c:v>NEW ZEALAND</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decennie'!$B$96:$G$96</c:f>
              <c:numCache>
                <c:formatCode>General</c:formatCode>
                <c:ptCount val="6"/>
                <c:pt idx="0">
                  <c:v>0</c:v>
                </c:pt>
                <c:pt idx="1">
                  <c:v>0</c:v>
                </c:pt>
                <c:pt idx="2">
                  <c:v>3</c:v>
                </c:pt>
                <c:pt idx="3">
                  <c:v>6</c:v>
                </c:pt>
                <c:pt idx="4">
                  <c:v>11</c:v>
                </c:pt>
                <c:pt idx="5">
                  <c:v>19</c:v>
                </c:pt>
              </c:numCache>
            </c:numRef>
          </c:val>
          <c:smooth val="0"/>
        </c:ser>
        <c:ser>
          <c:idx val="4"/>
          <c:order val="4"/>
          <c:tx>
            <c:strRef>
              <c:f>'PA_DA decennie'!$A$97</c:f>
              <c:strCache>
                <c:ptCount val="1"/>
                <c:pt idx="0">
                  <c:v>France</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decennie'!$B$97:$G$97</c:f>
              <c:numCache>
                <c:formatCode>General</c:formatCode>
                <c:ptCount val="6"/>
                <c:pt idx="0">
                  <c:v>1</c:v>
                </c:pt>
                <c:pt idx="1">
                  <c:v>1</c:v>
                </c:pt>
                <c:pt idx="2">
                  <c:v>0</c:v>
                </c:pt>
                <c:pt idx="3">
                  <c:v>19</c:v>
                </c:pt>
                <c:pt idx="4">
                  <c:v>30</c:v>
                </c:pt>
                <c:pt idx="5">
                  <c:v>19</c:v>
                </c:pt>
              </c:numCache>
            </c:numRef>
          </c:val>
          <c:smooth val="0"/>
        </c:ser>
        <c:dLbls>
          <c:showLegendKey val="0"/>
          <c:showVal val="0"/>
          <c:showCatName val="0"/>
          <c:showSerName val="0"/>
          <c:showPercent val="0"/>
          <c:showBubbleSize val="0"/>
        </c:dLbls>
        <c:marker val="1"/>
        <c:smooth val="0"/>
        <c:axId val="167087488"/>
        <c:axId val="167089280"/>
      </c:lineChart>
      <c:catAx>
        <c:axId val="167087488"/>
        <c:scaling>
          <c:orientation val="minMax"/>
        </c:scaling>
        <c:delete val="0"/>
        <c:axPos val="b"/>
        <c:majorTickMark val="out"/>
        <c:minorTickMark val="none"/>
        <c:tickLblPos val="nextTo"/>
        <c:crossAx val="167089280"/>
        <c:crosses val="autoZero"/>
        <c:auto val="1"/>
        <c:lblAlgn val="ctr"/>
        <c:lblOffset val="100"/>
        <c:noMultiLvlLbl val="0"/>
      </c:catAx>
      <c:valAx>
        <c:axId val="167089280"/>
        <c:scaling>
          <c:orientation val="minMax"/>
        </c:scaling>
        <c:delete val="0"/>
        <c:axPos val="l"/>
        <c:majorGridlines/>
        <c:title>
          <c:tx>
            <c:rich>
              <a:bodyPr rot="-5400000" vert="horz"/>
              <a:lstStyle/>
              <a:p>
                <a:pPr>
                  <a:defRPr/>
                </a:pPr>
                <a:r>
                  <a:rPr lang="fr-FR"/>
                  <a:t>Nombre de publication</a:t>
                </a:r>
              </a:p>
            </c:rich>
          </c:tx>
          <c:overlay val="0"/>
        </c:title>
        <c:numFmt formatCode="General" sourceLinked="1"/>
        <c:majorTickMark val="out"/>
        <c:minorTickMark val="none"/>
        <c:tickLblPos val="nextTo"/>
        <c:crossAx val="1670874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302</Words>
  <Characters>1665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dc:creator>
  <cp:lastModifiedBy>Cassie</cp:lastModifiedBy>
  <cp:revision>5</cp:revision>
  <dcterms:created xsi:type="dcterms:W3CDTF">2015-03-28T16:26:00Z</dcterms:created>
  <dcterms:modified xsi:type="dcterms:W3CDTF">2015-03-28T17:21:00Z</dcterms:modified>
</cp:coreProperties>
</file>