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机动车交通事故责任纠纷案件要素式裁判文书模板</w:t>
      </w:r>
    </w:p>
    <w:p>
      <w:pPr>
        <w:spacing w:line="480" w:lineRule="exact"/>
        <w:rPr>
          <w:rFonts w:ascii="仿宋_GB2312" w:eastAsia="仿宋_GB2312" w:cs="Times New Roman"/>
          <w:sz w:val="28"/>
          <w:szCs w:val="28"/>
        </w:rPr>
      </w:pPr>
    </w:p>
    <w:p>
      <w:pPr>
        <w:widowControl/>
        <w:shd w:val="clear" w:color="auto" w:fill="FFFFFF"/>
        <w:spacing w:line="420" w:lineRule="atLeast"/>
        <w:jc w:val="center"/>
        <w:rPr>
          <w:rFonts w:ascii="宋体" w:hAnsi="宋体" w:cs="宋体"/>
          <w:color w:val="333333"/>
          <w:kern w:val="0"/>
          <w:sz w:val="44"/>
          <w:szCs w:val="44"/>
        </w:rPr>
      </w:pPr>
      <w:r>
        <w:rPr>
          <w:rFonts w:hint="eastAsia" w:ascii="宋体" w:hAnsi="宋体" w:cs="宋体"/>
          <w:color w:val="0000FF"/>
          <w:kern w:val="0"/>
          <w:sz w:val="44"/>
          <w:szCs w:val="44"/>
        </w:rPr>
        <w:t>天津市××人民法院</w:t>
      </w:r>
    </w:p>
    <w:p>
      <w:pPr>
        <w:widowControl/>
        <w:shd w:val="clear" w:color="auto" w:fill="FFFFFF"/>
        <w:spacing w:line="420" w:lineRule="atLeast"/>
        <w:jc w:val="center"/>
        <w:rPr>
          <w:rFonts w:ascii="宋体" w:hAnsi="宋体" w:cs="宋体"/>
          <w:color w:val="333333"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color w:val="333333"/>
          <w:kern w:val="0"/>
          <w:sz w:val="44"/>
          <w:szCs w:val="44"/>
        </w:rPr>
        <w:t>民　事　判　决　书</w:t>
      </w:r>
    </w:p>
    <w:p>
      <w:pPr>
        <w:widowControl/>
        <w:shd w:val="clear" w:color="auto" w:fill="FFFFFF"/>
        <w:spacing w:line="420" w:lineRule="atLeast"/>
        <w:jc w:val="righ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ascii="宋体" w:hAnsi="宋体" w:cs="宋体"/>
          <w:color w:val="333333"/>
          <w:kern w:val="0"/>
          <w:sz w:val="28"/>
          <w:szCs w:val="28"/>
        </w:rPr>
        <w:t> </w:t>
      </w:r>
      <w:r>
        <w:rPr>
          <w:rFonts w:hint="eastAsia" w:ascii="仿宋_GB2312" w:hAnsi="宋体" w:eastAsia="仿宋_GB2312" w:cs="仿宋_GB2312"/>
          <w:color w:val="0000FF"/>
          <w:kern w:val="0"/>
          <w:sz w:val="28"/>
          <w:szCs w:val="28"/>
        </w:rPr>
        <w:t>（</w:t>
      </w:r>
      <w:r>
        <w:rPr>
          <w:rFonts w:ascii="仿宋_GB2312" w:hAnsi="宋体" w:eastAsia="仿宋_GB2312" w:cs="仿宋_GB2312"/>
          <w:color w:val="0000FF"/>
          <w:kern w:val="0"/>
          <w:sz w:val="28"/>
          <w:szCs w:val="28"/>
        </w:rPr>
        <w:t>20</w:t>
      </w:r>
      <w:r>
        <w:rPr>
          <w:rFonts w:hint="eastAsia" w:ascii="仿宋_GB2312" w:hAnsi="宋体" w:eastAsia="仿宋_GB2312" w:cs="仿宋_GB2312"/>
          <w:color w:val="0000FF"/>
          <w:kern w:val="0"/>
          <w:sz w:val="28"/>
          <w:szCs w:val="28"/>
        </w:rPr>
        <w:t>××）津××民初××号</w:t>
      </w:r>
    </w:p>
    <w:p>
      <w:pPr>
        <w:widowControl/>
        <w:shd w:val="clear" w:color="auto" w:fill="FFFFFF"/>
        <w:spacing w:line="420" w:lineRule="atLeast"/>
        <w:jc w:val="left"/>
        <w:rPr>
          <w:rFonts w:ascii="仿宋_GB2312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0000FF"/>
          <w:kern w:val="0"/>
          <w:sz w:val="28"/>
          <w:szCs w:val="28"/>
        </w:rPr>
        <w:t>原告×××，……</w:t>
      </w:r>
    </w:p>
    <w:p>
      <w:pPr>
        <w:widowControl/>
        <w:shd w:val="clear" w:color="auto" w:fill="FFFFFF"/>
        <w:spacing w:line="420" w:lineRule="atLeast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委托代理人×××，……</w:t>
      </w:r>
    </w:p>
    <w:p>
      <w:pPr>
        <w:widowControl/>
        <w:shd w:val="clear" w:color="auto" w:fill="FFFFFF"/>
        <w:spacing w:line="420" w:lineRule="atLeast"/>
        <w:jc w:val="left"/>
        <w:rPr>
          <w:rFonts w:ascii="仿宋_GB2312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0000FF"/>
          <w:kern w:val="0"/>
          <w:sz w:val="28"/>
          <w:szCs w:val="28"/>
        </w:rPr>
        <w:t>被告×××，……</w:t>
      </w:r>
    </w:p>
    <w:p>
      <w:pPr>
        <w:widowControl/>
        <w:shd w:val="clear" w:color="auto" w:fill="FFFFFF"/>
        <w:spacing w:line="420" w:lineRule="atLeast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委托代理人×××，……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原告×××与被告×××机动车交通事故责任纠纷一案，本院于××年×月×日立案后，依法适用简易程序</w:t>
      </w: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>/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小额诉讼程序，公开（不公开）开庭进行了审理，原告××、被告××到庭参加了诉讼，本案现已审理终结。本案查明的事实如下：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仿宋_GB2312" w:hAnsi="宋体" w:eastAsia="仿宋_GB2312" w:cs="Times New Roman"/>
          <w:b/>
          <w:bCs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b/>
          <w:bCs/>
          <w:color w:val="333333"/>
          <w:kern w:val="0"/>
          <w:sz w:val="28"/>
          <w:szCs w:val="28"/>
        </w:rPr>
        <w:t>（共用项目：）</w:t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事故发生时间：</w:t>
      </w:r>
      <w:r>
        <w:rPr>
          <w:rFonts w:ascii="宋体" w:hAnsi="宋体" w:eastAsia="仿宋_GB2312" w:cs="宋体"/>
          <w:color w:val="0000FF"/>
          <w:kern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年</w:t>
      </w:r>
      <w:r>
        <w:rPr>
          <w:rFonts w:ascii="宋体" w:hAnsi="宋体" w:eastAsia="仿宋_GB2312" w:cs="宋体"/>
          <w:color w:val="0000FF"/>
          <w:kern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月</w:t>
      </w:r>
      <w:r>
        <w:rPr>
          <w:rFonts w:ascii="宋体" w:hAnsi="宋体" w:eastAsia="仿宋_GB2312" w:cs="宋体"/>
          <w:color w:val="0000FF"/>
          <w:kern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日</w:t>
      </w:r>
      <w:r>
        <w:rPr>
          <w:rFonts w:ascii="宋体" w:hAnsi="宋体" w:eastAsia="仿宋_GB2312" w:cs="宋体"/>
          <w:color w:val="0000FF"/>
          <w:kern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时</w:t>
      </w:r>
      <w:r>
        <w:rPr>
          <w:rFonts w:ascii="宋体" w:hAnsi="宋体" w:eastAsia="仿宋_GB2312" w:cs="宋体"/>
          <w:color w:val="0000FF"/>
          <w:kern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分（事故认定书/起诉书）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二、事故发生地点：（事故认定书/起诉书）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  <w:u w:val="single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三、事故经过：（事故认定书/起诉书）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四、事故责任认定情况：（事故认定书/起诉书）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五、事故车辆牌号：（事故认定书/起诉书）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六、事故车辆所有者：（事故认定书/笔录）</w:t>
      </w:r>
      <w:r>
        <w:rPr>
          <w:rFonts w:ascii="宋体" w:hAnsi="宋体" w:eastAsia="仿宋_GB2312" w:cs="Times New Roman"/>
          <w:color w:val="0000FF"/>
          <w:kern w:val="0"/>
          <w:sz w:val="28"/>
          <w:szCs w:val="28"/>
        </w:rPr>
        <w:t xml:space="preserve"> 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七、事故车辆驾驶员：（事故认定书/起诉书）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八、事故车辆交强险保险公司：（事故认定书/笔录）？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九、事故车辆商业三者险保险公司：（事故认定书/笔录）？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十、商业三者险赔偿限额：（事故认定书/笔录）？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十一、事故其他赔偿责任主体</w:t>
      </w:r>
      <w:r>
        <w:rPr>
          <w:rFonts w:ascii="宋体" w:hAnsi="宋体" w:eastAsia="仿宋_GB2312" w:cs="宋体"/>
          <w:color w:val="0000FF"/>
          <w:kern w:val="0"/>
          <w:sz w:val="28"/>
          <w:szCs w:val="28"/>
        </w:rPr>
        <w:t>:</w:t>
      </w:r>
      <w:r>
        <w:rPr>
          <w:rFonts w:hint="eastAsia" w:ascii="宋体" w:hAnsi="宋体" w:eastAsia="仿宋_GB2312" w:cs="宋体"/>
          <w:color w:val="0000FF"/>
          <w:kern w:val="0"/>
          <w:sz w:val="28"/>
          <w:szCs w:val="28"/>
        </w:rPr>
        <w:t>（法官）？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十二、已垫付赔偿款数额：（笔录）？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十三、垫付人：</w:t>
      </w:r>
      <w:r>
        <w:rPr>
          <w:rFonts w:hint="eastAsia" w:ascii="宋体" w:hAnsi="宋体" w:eastAsia="仿宋_GB2312" w:cs="Times New Roman"/>
          <w:color w:val="0000FF"/>
          <w:kern w:val="0"/>
          <w:sz w:val="28"/>
          <w:szCs w:val="28"/>
        </w:rPr>
        <w:t>（笔录）？</w:t>
      </w:r>
    </w:p>
    <w:p>
      <w:pPr>
        <w:widowControl/>
        <w:shd w:val="clear" w:color="auto" w:fill="FFFFFF"/>
        <w:tabs>
          <w:tab w:val="left" w:pos="3060"/>
          <w:tab w:val="left" w:pos="3400"/>
        </w:tabs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bCs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bCs/>
          <w:color w:val="0000FF"/>
          <w:kern w:val="0"/>
          <w:sz w:val="28"/>
          <w:szCs w:val="28"/>
        </w:rPr>
        <w:t>（一般人身损害适用：</w:t>
      </w:r>
      <w:r>
        <w:rPr>
          <w:rFonts w:ascii="宋体" w:hAnsi="宋体" w:eastAsia="仿宋_GB2312" w:cs="Times New Roman"/>
          <w:b/>
          <w:bCs/>
          <w:color w:val="0000FF"/>
          <w:kern w:val="0"/>
          <w:sz w:val="28"/>
          <w:szCs w:val="28"/>
        </w:rPr>
        <w:tab/>
      </w:r>
      <w:r>
        <w:rPr>
          <w:rFonts w:hint="eastAsia" w:ascii="宋体" w:hAnsi="宋体" w:eastAsia="仿宋_GB2312" w:cs="仿宋_GB2312"/>
          <w:b/>
          <w:bCs/>
          <w:color w:val="0000FF"/>
          <w:kern w:val="0"/>
          <w:sz w:val="28"/>
          <w:szCs w:val="28"/>
        </w:rPr>
        <w:t>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十四、医疗费数额：（法官直接填）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十五、住院时间：（笔录中抽取）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十六、住院伙食补助费数额：（自动计算）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color w:val="0000FF"/>
          <w:kern w:val="0"/>
          <w:sz w:val="28"/>
          <w:szCs w:val="28"/>
        </w:rPr>
        <w:t>十七、护理期：（可以通过诊断证明或三期材料推荐）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color w:val="0000FF"/>
          <w:kern w:val="0"/>
          <w:sz w:val="28"/>
          <w:szCs w:val="28"/>
        </w:rPr>
        <w:t>十八、护理费数额：（选择情况进行计算）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color w:val="0000FF"/>
          <w:kern w:val="0"/>
          <w:sz w:val="28"/>
          <w:szCs w:val="28"/>
        </w:rPr>
        <w:t>十九、营养期：（可以三期材料推荐）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color w:val="0000FF"/>
          <w:kern w:val="0"/>
          <w:sz w:val="28"/>
          <w:szCs w:val="28"/>
        </w:rPr>
        <w:t>二十、营养费数额：(全市标准不一致)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color w:val="0000FF"/>
          <w:kern w:val="0"/>
          <w:sz w:val="28"/>
          <w:szCs w:val="28"/>
        </w:rPr>
        <w:t>二十一、误工期：（根据规则）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color w:val="0000FF"/>
          <w:kern w:val="0"/>
          <w:sz w:val="28"/>
          <w:szCs w:val="28"/>
        </w:rPr>
        <w:t>二十二、误工费数额：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二十三、交通费数额：（法官填）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宋体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二十四、住宿费数额</w:t>
      </w:r>
      <w:r>
        <w:rPr>
          <w:rFonts w:ascii="宋体" w:hAnsi="宋体" w:eastAsia="仿宋_GB2312" w:cs="宋体"/>
          <w:color w:val="0000FF"/>
          <w:kern w:val="0"/>
          <w:sz w:val="28"/>
          <w:szCs w:val="28"/>
        </w:rPr>
        <w:t>:</w:t>
      </w:r>
      <w:r>
        <w:rPr>
          <w:rFonts w:hint="eastAsia" w:ascii="宋体" w:hAnsi="宋体" w:eastAsia="仿宋_GB2312" w:cs="宋体"/>
          <w:color w:val="0000FF"/>
          <w:kern w:val="0"/>
          <w:sz w:val="28"/>
          <w:szCs w:val="28"/>
        </w:rPr>
        <w:t>（法官填）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bCs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bCs/>
          <w:color w:val="0000FF"/>
          <w:kern w:val="0"/>
          <w:sz w:val="28"/>
          <w:szCs w:val="28"/>
        </w:rPr>
        <w:t>（致受害人伤残的适用一般人身损害及以下各项：）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二十五、残疾等级鉴定结论时间：（鉴定报告）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宋体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二十六、残疾等级鉴定结论</w:t>
      </w:r>
      <w:r>
        <w:rPr>
          <w:rFonts w:ascii="宋体" w:hAnsi="宋体" w:eastAsia="仿宋_GB2312" w:cs="宋体"/>
          <w:color w:val="0000FF"/>
          <w:kern w:val="0"/>
          <w:sz w:val="28"/>
          <w:szCs w:val="28"/>
        </w:rPr>
        <w:t>:</w:t>
      </w: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 xml:space="preserve"> （鉴定报告</w:t>
      </w:r>
      <w:r>
        <w:rPr>
          <w:rFonts w:ascii="宋体" w:hAnsi="宋体" w:eastAsia="仿宋_GB2312" w:cs="仿宋_GB2312"/>
          <w:color w:val="0000FF"/>
          <w:kern w:val="0"/>
          <w:sz w:val="28"/>
          <w:szCs w:val="28"/>
        </w:rPr>
        <w:t>—</w:t>
      </w: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等级）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二十七、被扶养人生活费数额：（法官填）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仿宋_GB2312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二十八、残疾赔偿金数额：（自动计算）</w:t>
      </w:r>
      <w:bookmarkStart w:id="0" w:name="_GoBack"/>
      <w:bookmarkEnd w:id="0"/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二十九、精神损害抚慰金：（法官填）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三十、残疾生活辅助具费数额：（法官填）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三十一、定残后护理依赖程度鉴定意见：（鉴定报告）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0000FF"/>
          <w:kern w:val="0"/>
          <w:sz w:val="28"/>
          <w:szCs w:val="28"/>
        </w:rPr>
        <w:t>三十二、定残后护理费数额：（自动计算）</w:t>
      </w:r>
    </w:p>
    <w:p>
      <w:pPr>
        <w:widowControl/>
        <w:shd w:val="clear" w:color="auto" w:fill="FFFFFF"/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bCs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bCs/>
          <w:color w:val="333333"/>
          <w:kern w:val="0"/>
          <w:sz w:val="28"/>
          <w:szCs w:val="28"/>
        </w:rPr>
        <w:t>（致受害人死亡的适用一般人身损害及以下各项：）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二十五、死亡赔偿金数额：（自动计算）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宋体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二十六、被扶养人生活费数额</w:t>
      </w:r>
      <w:r>
        <w:rPr>
          <w:rFonts w:ascii="宋体" w:hAnsi="宋体" w:eastAsia="仿宋_GB2312" w:cs="宋体"/>
          <w:color w:val="333333"/>
          <w:kern w:val="0"/>
          <w:sz w:val="28"/>
          <w:szCs w:val="28"/>
        </w:rPr>
        <w:t>:</w:t>
      </w: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 xml:space="preserve"> （法官填）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二十七、精神损害抚慰金数额：（法官填）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二十八、丧葬费数额：（自动计算）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二十九、受害人亲属办理丧葬事宜支出的交通费数额：（法官填）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三十、受害人亲属办理丧葬事宜支出的住宿费数额：（法官填）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三十一、受害人亲属办理丧葬事宜支出的误工费数额：（法官填）</w:t>
      </w:r>
    </w:p>
    <w:p>
      <w:pPr>
        <w:widowControl/>
        <w:shd w:val="clear" w:color="auto" w:fill="FFFFFF"/>
        <w:tabs>
          <w:tab w:val="left" w:pos="2556"/>
        </w:tabs>
        <w:spacing w:line="420" w:lineRule="atLeast"/>
        <w:ind w:firstLine="562" w:firstLineChars="200"/>
        <w:jc w:val="left"/>
        <w:rPr>
          <w:rFonts w:ascii="宋体" w:hAnsi="宋体" w:eastAsia="仿宋_GB2312" w:cs="Times New Roman"/>
          <w:b/>
          <w:bCs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b/>
          <w:bCs/>
          <w:color w:val="333333"/>
          <w:kern w:val="0"/>
          <w:sz w:val="28"/>
          <w:szCs w:val="28"/>
        </w:rPr>
        <w:t>（财产损失的适用）：</w:t>
      </w:r>
      <w:r>
        <w:rPr>
          <w:rFonts w:ascii="宋体" w:hAnsi="宋体" w:eastAsia="仿宋_GB2312" w:cs="Times New Roman"/>
          <w:b/>
          <w:bCs/>
          <w:color w:val="333333"/>
          <w:kern w:val="0"/>
          <w:sz w:val="28"/>
          <w:szCs w:val="28"/>
        </w:rPr>
        <w:tab/>
      </w:r>
    </w:p>
    <w:p>
      <w:pPr>
        <w:widowControl/>
        <w:shd w:val="clear" w:color="auto" w:fill="FFFFFF"/>
        <w:tabs>
          <w:tab w:val="left" w:pos="2556"/>
        </w:tabs>
        <w:spacing w:line="420" w:lineRule="atLeast"/>
        <w:ind w:firstLine="560" w:firstLineChars="200"/>
        <w:jc w:val="left"/>
        <w:rPr>
          <w:rFonts w:ascii="宋体" w:hAnsi="宋体" w:eastAsia="仿宋_GB2312" w:cs="宋体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十四、车辆维修费数额</w:t>
      </w:r>
      <w:r>
        <w:rPr>
          <w:rFonts w:ascii="宋体" w:hAnsi="宋体" w:eastAsia="仿宋_GB2312" w:cs="宋体"/>
          <w:color w:val="333333"/>
          <w:kern w:val="0"/>
          <w:sz w:val="28"/>
          <w:szCs w:val="28"/>
        </w:rPr>
        <w:t>:</w:t>
      </w: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 xml:space="preserve"> （法官填）</w:t>
      </w:r>
    </w:p>
    <w:p>
      <w:pPr>
        <w:widowControl/>
        <w:shd w:val="clear" w:color="auto" w:fill="FFFFFF"/>
        <w:tabs>
          <w:tab w:val="left" w:pos="2556"/>
        </w:tabs>
        <w:spacing w:line="420" w:lineRule="atLeast"/>
        <w:ind w:firstLine="560" w:firstLineChars="200"/>
        <w:jc w:val="left"/>
        <w:rPr>
          <w:rFonts w:ascii="宋体" w:hAnsi="宋体" w:eastAsia="仿宋_GB2312" w:cs="宋体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十五、车载物品损失费数额</w:t>
      </w:r>
      <w:r>
        <w:rPr>
          <w:rFonts w:ascii="宋体" w:hAnsi="宋体" w:eastAsia="仿宋_GB2312" w:cs="宋体"/>
          <w:color w:val="333333"/>
          <w:kern w:val="0"/>
          <w:sz w:val="28"/>
          <w:szCs w:val="28"/>
        </w:rPr>
        <w:t>:</w:t>
      </w: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 xml:space="preserve"> （法官填）</w:t>
      </w:r>
    </w:p>
    <w:p>
      <w:pPr>
        <w:widowControl/>
        <w:shd w:val="clear" w:color="auto" w:fill="FFFFFF"/>
        <w:tabs>
          <w:tab w:val="left" w:pos="2556"/>
        </w:tabs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十六、施救费数额：（法官填）</w:t>
      </w:r>
    </w:p>
    <w:p>
      <w:pPr>
        <w:widowControl/>
        <w:shd w:val="clear" w:color="auto" w:fill="FFFFFF"/>
        <w:tabs>
          <w:tab w:val="left" w:pos="2556"/>
        </w:tabs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十七、车辆重置费数额：（法官填）</w:t>
      </w:r>
    </w:p>
    <w:p>
      <w:pPr>
        <w:widowControl/>
        <w:shd w:val="clear" w:color="auto" w:fill="FFFFFF"/>
        <w:tabs>
          <w:tab w:val="left" w:pos="2556"/>
        </w:tabs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十八、停运期间：（法官填）</w:t>
      </w:r>
    </w:p>
    <w:p>
      <w:pPr>
        <w:widowControl/>
        <w:shd w:val="clear" w:color="auto" w:fill="FFFFFF"/>
        <w:tabs>
          <w:tab w:val="left" w:pos="2556"/>
        </w:tabs>
        <w:spacing w:line="420" w:lineRule="atLeast"/>
        <w:ind w:firstLine="560" w:firstLineChars="200"/>
        <w:jc w:val="left"/>
        <w:rPr>
          <w:rFonts w:ascii="宋体" w:hAnsi="宋体" w:eastAsia="仿宋_GB2312" w:cs="宋体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十九、停运损失数额</w:t>
      </w:r>
      <w:r>
        <w:rPr>
          <w:rFonts w:ascii="宋体" w:hAnsi="宋体" w:eastAsia="仿宋_GB2312" w:cs="宋体"/>
          <w:color w:val="333333"/>
          <w:kern w:val="0"/>
          <w:sz w:val="28"/>
          <w:szCs w:val="28"/>
        </w:rPr>
        <w:t>:</w:t>
      </w: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 xml:space="preserve"> （法官填）</w:t>
      </w:r>
    </w:p>
    <w:p>
      <w:pPr>
        <w:widowControl/>
        <w:shd w:val="clear" w:color="auto" w:fill="FFFFFF"/>
        <w:tabs>
          <w:tab w:val="left" w:pos="2556"/>
        </w:tabs>
        <w:spacing w:line="420" w:lineRule="atLeast"/>
        <w:ind w:firstLine="560" w:firstLineChars="200"/>
        <w:jc w:val="lef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二十、通常替代性交通工具费用数额：（法官填）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b/>
          <w:bCs/>
          <w:color w:val="333333"/>
          <w:kern w:val="0"/>
          <w:sz w:val="28"/>
          <w:szCs w:val="28"/>
        </w:rPr>
        <w:t>原告的诉讼请求为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：(起诉书)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以上事项中，双方有争议的事项为第×项、第×项，其他事项双方无争议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【事实争议焦点及事实认定】</w:t>
      </w: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>1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、原告主张（原告主张及证据）……。被告主张（被告答辩意见及证据）……。本院认为（法院认定的事实、证据及其理由）……。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>2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、……。</w:t>
      </w:r>
    </w:p>
    <w:p>
      <w:pPr>
        <w:widowControl/>
        <w:shd w:val="clear" w:color="auto" w:fill="FFFFFF"/>
        <w:spacing w:line="420" w:lineRule="atLeast"/>
        <w:ind w:firstLine="560" w:firstLineChars="200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【法律适用争议焦点】双方对以下要素事实虽无争议，但原告认为（原告主张法律适用的结果）……。被告认为（被告主张法律适用的结果）……。</w:t>
      </w:r>
    </w:p>
    <w:p>
      <w:pPr>
        <w:widowControl/>
        <w:shd w:val="clear" w:color="auto" w:fill="FFFFFF"/>
        <w:spacing w:line="420" w:lineRule="atLeast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ascii="宋体" w:hAnsi="宋体" w:eastAsia="仿宋_GB2312" w:cs="Times New Roman"/>
          <w:color w:val="333333"/>
          <w:kern w:val="0"/>
          <w:sz w:val="28"/>
          <w:szCs w:val="28"/>
        </w:rPr>
        <w:t>        </w:t>
      </w:r>
      <w:r>
        <w:rPr>
          <w:rFonts w:hint="eastAsia" w:ascii="宋体" w:hAnsi="宋体" w:eastAsia="仿宋_GB2312" w:cs="仿宋_GB2312"/>
          <w:color w:val="333333"/>
          <w:kern w:val="0"/>
          <w:sz w:val="28"/>
          <w:szCs w:val="28"/>
        </w:rPr>
        <w:t>【评判意见】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本院认为，……（对当事人诉讼请求简要评判）。依照《中华人民共和国××法》第××条的规定，判决如下：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【判决主文】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一、……。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二、……。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本案受理费××元由××负担××元。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仿宋_GB2312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【尾部】如不服本判决，可以在判决书送达之日起十五内，向本院递交上诉状，并按对方当事人的人数提出副本，上诉于天津市第×中级人民法院。</w:t>
      </w: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>(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适用简易程序</w:t>
      </w: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>)</w:t>
      </w:r>
    </w:p>
    <w:p>
      <w:pPr>
        <w:widowControl/>
        <w:shd w:val="clear" w:color="auto" w:fill="FFFFFF"/>
        <w:spacing w:line="420" w:lineRule="atLeast"/>
        <w:ind w:firstLine="555"/>
        <w:jc w:val="lef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本判决为终审判决。</w:t>
      </w: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>(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适用小额程序</w:t>
      </w: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>)</w:t>
      </w:r>
      <w:r>
        <w:rPr>
          <w:rFonts w:ascii="宋体" w:hAnsi="宋体" w:eastAsia="仿宋_GB2312" w:cs="Times New Roman"/>
          <w:color w:val="333333"/>
          <w:kern w:val="0"/>
          <w:sz w:val="28"/>
          <w:szCs w:val="28"/>
        </w:rPr>
        <w:t> </w:t>
      </w:r>
    </w:p>
    <w:p>
      <w:pPr>
        <w:widowControl/>
        <w:shd w:val="clear" w:color="auto" w:fill="FFFFFF"/>
        <w:spacing w:line="420" w:lineRule="atLeast"/>
        <w:jc w:val="center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ascii="宋体" w:hAnsi="宋体" w:eastAsia="仿宋_GB2312" w:cs="Times New Roman"/>
          <w:color w:val="333333"/>
          <w:kern w:val="0"/>
          <w:sz w:val="28"/>
          <w:szCs w:val="28"/>
        </w:rPr>
        <w:t> </w:t>
      </w:r>
    </w:p>
    <w:p>
      <w:pPr>
        <w:widowControl/>
        <w:shd w:val="clear" w:color="auto" w:fill="FFFFFF"/>
        <w:spacing w:line="420" w:lineRule="atLeast"/>
        <w:jc w:val="righ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</w:p>
    <w:p>
      <w:pPr>
        <w:widowControl/>
        <w:shd w:val="clear" w:color="auto" w:fill="FFFFFF"/>
        <w:spacing w:line="420" w:lineRule="atLeast"/>
        <w:jc w:val="righ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审判员</w:t>
      </w: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 xml:space="preserve">   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×××</w:t>
      </w:r>
    </w:p>
    <w:p>
      <w:pPr>
        <w:widowControl/>
        <w:shd w:val="clear" w:color="auto" w:fill="FFFFFF"/>
        <w:wordWrap w:val="0"/>
        <w:spacing w:line="420" w:lineRule="atLeast"/>
        <w:jc w:val="right"/>
        <w:rPr>
          <w:rFonts w:ascii="宋体" w:hAnsi="宋体" w:eastAsia="仿宋_GB2312" w:cs="Times New Roman"/>
          <w:color w:val="333333"/>
          <w:kern w:val="0"/>
          <w:sz w:val="28"/>
          <w:szCs w:val="28"/>
        </w:rPr>
      </w:pP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 xml:space="preserve">         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二Ｏ××年×月×日</w:t>
      </w:r>
    </w:p>
    <w:p>
      <w:pPr>
        <w:widowControl/>
        <w:shd w:val="clear" w:color="auto" w:fill="FFFFFF"/>
        <w:spacing w:line="420" w:lineRule="atLeast"/>
        <w:ind w:right="560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本件与原本核对无异</w:t>
      </w:r>
    </w:p>
    <w:p>
      <w:pPr>
        <w:widowControl/>
        <w:shd w:val="clear" w:color="auto" w:fill="FFFFFF"/>
        <w:spacing w:line="420" w:lineRule="atLeast"/>
        <w:jc w:val="righ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法官助理</w:t>
      </w:r>
      <w:r>
        <w:rPr>
          <w:rFonts w:ascii="仿宋_GB2312" w:hAnsi="宋体" w:eastAsia="仿宋_GB2312" w:cs="仿宋_GB2312"/>
          <w:color w:val="333333"/>
          <w:kern w:val="0"/>
          <w:sz w:val="28"/>
          <w:szCs w:val="28"/>
        </w:rPr>
        <w:t xml:space="preserve">  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×××</w:t>
      </w:r>
    </w:p>
    <w:p>
      <w:pPr>
        <w:widowControl/>
        <w:shd w:val="clear" w:color="auto" w:fill="FFFFFF"/>
        <w:spacing w:line="420" w:lineRule="atLeast"/>
        <w:ind w:firstLine="4200" w:firstLineChars="1500"/>
        <w:jc w:val="right"/>
        <w:rPr>
          <w:rFonts w:ascii="仿宋_GB2312" w:hAnsi="宋体" w:eastAsia="仿宋_GB2312" w:cs="Times New Roman"/>
          <w:color w:val="333333"/>
          <w:kern w:val="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书记员</w:t>
      </w:r>
      <w:r>
        <w:rPr>
          <w:rFonts w:ascii="宋体" w:hAnsi="宋体" w:eastAsia="仿宋_GB2312" w:cs="Times New Roman"/>
          <w:color w:val="333333"/>
          <w:kern w:val="0"/>
          <w:sz w:val="28"/>
          <w:szCs w:val="28"/>
        </w:rPr>
        <w:t> </w:t>
      </w:r>
      <w:r>
        <w:rPr>
          <w:rFonts w:ascii="宋体" w:hAnsi="宋体" w:eastAsia="仿宋_GB2312" w:cs="宋体"/>
          <w:color w:val="333333"/>
          <w:kern w:val="0"/>
          <w:sz w:val="28"/>
          <w:szCs w:val="28"/>
        </w:rPr>
        <w:t xml:space="preserve">   </w:t>
      </w:r>
      <w:r>
        <w:rPr>
          <w:rFonts w:hint="eastAsia" w:ascii="仿宋_GB2312" w:hAnsi="宋体" w:eastAsia="仿宋_GB2312" w:cs="仿宋_GB2312"/>
          <w:color w:val="333333"/>
          <w:kern w:val="0"/>
          <w:sz w:val="28"/>
          <w:szCs w:val="28"/>
        </w:rPr>
        <w:t>×××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7262B"/>
    <w:multiLevelType w:val="multilevel"/>
    <w:tmpl w:val="6EB7262B"/>
    <w:lvl w:ilvl="0" w:tentative="0">
      <w:start w:val="1"/>
      <w:numFmt w:val="chineseCountingThousand"/>
      <w:lvlText w:val="%1、"/>
      <w:lvlJc w:val="left"/>
      <w:pPr>
        <w:tabs>
          <w:tab w:val="left" w:pos="980"/>
        </w:tabs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3A0D"/>
    <w:rsid w:val="00003D21"/>
    <w:rsid w:val="00063A5C"/>
    <w:rsid w:val="000743F5"/>
    <w:rsid w:val="000C02BC"/>
    <w:rsid w:val="000E01FA"/>
    <w:rsid w:val="000E37A9"/>
    <w:rsid w:val="00122814"/>
    <w:rsid w:val="0013015D"/>
    <w:rsid w:val="00141E03"/>
    <w:rsid w:val="001549DB"/>
    <w:rsid w:val="00160890"/>
    <w:rsid w:val="001732ED"/>
    <w:rsid w:val="00191FF9"/>
    <w:rsid w:val="001A2343"/>
    <w:rsid w:val="001B1D36"/>
    <w:rsid w:val="001F07F0"/>
    <w:rsid w:val="00266812"/>
    <w:rsid w:val="0029046A"/>
    <w:rsid w:val="002C0321"/>
    <w:rsid w:val="00332F85"/>
    <w:rsid w:val="00382B51"/>
    <w:rsid w:val="003A1406"/>
    <w:rsid w:val="003B6245"/>
    <w:rsid w:val="003B63C9"/>
    <w:rsid w:val="00455758"/>
    <w:rsid w:val="00476CBA"/>
    <w:rsid w:val="004842D0"/>
    <w:rsid w:val="004D18A4"/>
    <w:rsid w:val="00517B84"/>
    <w:rsid w:val="00526091"/>
    <w:rsid w:val="00531C0A"/>
    <w:rsid w:val="0054577A"/>
    <w:rsid w:val="005E3B66"/>
    <w:rsid w:val="00612D0E"/>
    <w:rsid w:val="00627EA1"/>
    <w:rsid w:val="00683630"/>
    <w:rsid w:val="006877CA"/>
    <w:rsid w:val="006D55BA"/>
    <w:rsid w:val="00702EB3"/>
    <w:rsid w:val="0070488D"/>
    <w:rsid w:val="0071625F"/>
    <w:rsid w:val="00721721"/>
    <w:rsid w:val="00724ACA"/>
    <w:rsid w:val="00730045"/>
    <w:rsid w:val="0076058F"/>
    <w:rsid w:val="007A14DC"/>
    <w:rsid w:val="00811DB7"/>
    <w:rsid w:val="0081439C"/>
    <w:rsid w:val="00824E80"/>
    <w:rsid w:val="00825B89"/>
    <w:rsid w:val="00861BC6"/>
    <w:rsid w:val="00867521"/>
    <w:rsid w:val="00901BF1"/>
    <w:rsid w:val="00904839"/>
    <w:rsid w:val="009267C6"/>
    <w:rsid w:val="00947B3E"/>
    <w:rsid w:val="0096092B"/>
    <w:rsid w:val="00983C9C"/>
    <w:rsid w:val="009A7131"/>
    <w:rsid w:val="00A00F91"/>
    <w:rsid w:val="00AA7750"/>
    <w:rsid w:val="00AB3702"/>
    <w:rsid w:val="00AC1F4A"/>
    <w:rsid w:val="00B159A1"/>
    <w:rsid w:val="00B91449"/>
    <w:rsid w:val="00B96C20"/>
    <w:rsid w:val="00BB1162"/>
    <w:rsid w:val="00BC04B0"/>
    <w:rsid w:val="00C64928"/>
    <w:rsid w:val="00C971EC"/>
    <w:rsid w:val="00CC3A0D"/>
    <w:rsid w:val="00D01795"/>
    <w:rsid w:val="00D1231E"/>
    <w:rsid w:val="00D43007"/>
    <w:rsid w:val="00DD5BBB"/>
    <w:rsid w:val="00DF29AB"/>
    <w:rsid w:val="00E0752C"/>
    <w:rsid w:val="00E42DBE"/>
    <w:rsid w:val="00E44D87"/>
    <w:rsid w:val="00EA796A"/>
    <w:rsid w:val="00EB7A4B"/>
    <w:rsid w:val="00EE53E1"/>
    <w:rsid w:val="00F321C2"/>
    <w:rsid w:val="00F5456E"/>
    <w:rsid w:val="00F87F3E"/>
    <w:rsid w:val="00F936FC"/>
    <w:rsid w:val="4077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99"/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1">
    <w:name w:val="页眉 Char"/>
    <w:link w:val="6"/>
    <w:semiHidden/>
    <w:locked/>
    <w:uiPriority w:val="99"/>
    <w:rPr>
      <w:sz w:val="18"/>
      <w:szCs w:val="18"/>
    </w:rPr>
  </w:style>
  <w:style w:type="character" w:customStyle="1" w:styleId="12">
    <w:name w:val="页脚 Char"/>
    <w:link w:val="5"/>
    <w:semiHidden/>
    <w:locked/>
    <w:uiPriority w:val="99"/>
    <w:rPr>
      <w:sz w:val="18"/>
      <w:szCs w:val="18"/>
    </w:rPr>
  </w:style>
  <w:style w:type="character" w:customStyle="1" w:styleId="13">
    <w:name w:val="批注文字 Char"/>
    <w:link w:val="3"/>
    <w:semiHidden/>
    <w:uiPriority w:val="99"/>
    <w:rPr>
      <w:rFonts w:cs="Calibri"/>
      <w:szCs w:val="21"/>
    </w:rPr>
  </w:style>
  <w:style w:type="character" w:customStyle="1" w:styleId="14">
    <w:name w:val="批注主题 Char"/>
    <w:link w:val="2"/>
    <w:semiHidden/>
    <w:uiPriority w:val="99"/>
    <w:rPr>
      <w:rFonts w:cs="Calibri"/>
      <w:b/>
      <w:bCs/>
      <w:szCs w:val="21"/>
    </w:rPr>
  </w:style>
  <w:style w:type="character" w:customStyle="1" w:styleId="15">
    <w:name w:val="批注框文本 Char"/>
    <w:link w:val="4"/>
    <w:semiHidden/>
    <w:qFormat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5</Pages>
  <Words>262</Words>
  <Characters>1497</Characters>
  <Lines>12</Lines>
  <Paragraphs>3</Paragraphs>
  <TotalTime>0</TotalTime>
  <ScaleCrop>false</ScaleCrop>
  <LinksUpToDate>false</LinksUpToDate>
  <CharactersWithSpaces>1756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2017-07-21T00:41:00Z</dcterms:created>
  <dc:creator>name</dc:creator>
  <cp:lastModifiedBy>user</cp:lastModifiedBy>
  <dcterms:modified xsi:type="dcterms:W3CDTF">2017-08-04T01:50:13Z</dcterms:modified>
  <dc:title>民间借贷类案件要素式裁判文书模板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