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ED" w:rsidRPr="005760ED" w:rsidRDefault="005760ED" w:rsidP="00A55784">
      <w:pPr>
        <w:ind w:left="720" w:hanging="360"/>
        <w:rPr>
          <w:b/>
        </w:rPr>
      </w:pPr>
      <w:r w:rsidRPr="005760ED">
        <w:rPr>
          <w:b/>
        </w:rPr>
        <w:t>STEADY STATE CONSTANT VELOCITY @ 120 KM/H</w:t>
      </w:r>
    </w:p>
    <w:p w:rsidR="00A55784" w:rsidRPr="00A55784" w:rsidRDefault="00A55784" w:rsidP="00A55784">
      <w:pPr>
        <w:pStyle w:val="ListParagraph"/>
        <w:numPr>
          <w:ilvl w:val="0"/>
          <w:numId w:val="2"/>
        </w:numPr>
        <w:rPr>
          <w:b/>
        </w:rPr>
      </w:pPr>
      <w:r w:rsidRPr="000D588E">
        <w:rPr>
          <w:b/>
        </w:rPr>
        <w:t>Steering Wheel Angle vs. Lateral Acceleration Gradient</w:t>
      </w:r>
    </w:p>
    <w:p w:rsidR="000D588E" w:rsidRDefault="000810EE" w:rsidP="000D588E">
      <w:pPr>
        <w:keepNext/>
      </w:pPr>
      <w:r>
        <w:rPr>
          <w:noProof/>
        </w:rPr>
        <w:drawing>
          <wp:inline distT="0" distB="0" distL="0" distR="0">
            <wp:extent cx="5731510" cy="4416844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EB0" w:rsidRPr="000D588E" w:rsidRDefault="000D588E" w:rsidP="000D588E">
      <w:pPr>
        <w:pStyle w:val="Caption"/>
        <w:jc w:val="center"/>
        <w:rPr>
          <w:color w:val="auto"/>
          <w:sz w:val="22"/>
          <w:szCs w:val="22"/>
        </w:rPr>
      </w:pPr>
      <w:r w:rsidRPr="000D588E">
        <w:rPr>
          <w:color w:val="auto"/>
          <w:sz w:val="22"/>
          <w:szCs w:val="22"/>
        </w:rPr>
        <w:t xml:space="preserve">Figure </w:t>
      </w:r>
      <w:r w:rsidRPr="000D588E">
        <w:rPr>
          <w:color w:val="auto"/>
          <w:sz w:val="22"/>
          <w:szCs w:val="22"/>
        </w:rPr>
        <w:fldChar w:fldCharType="begin"/>
      </w:r>
      <w:r w:rsidRPr="000D588E">
        <w:rPr>
          <w:color w:val="auto"/>
          <w:sz w:val="22"/>
          <w:szCs w:val="22"/>
        </w:rPr>
        <w:instrText xml:space="preserve"> SEQ Figure \* ARABIC </w:instrText>
      </w:r>
      <w:r w:rsidRPr="000D588E">
        <w:rPr>
          <w:color w:val="auto"/>
          <w:sz w:val="22"/>
          <w:szCs w:val="22"/>
        </w:rPr>
        <w:fldChar w:fldCharType="separate"/>
      </w:r>
      <w:r w:rsidR="00DB2901">
        <w:rPr>
          <w:noProof/>
          <w:color w:val="auto"/>
          <w:sz w:val="22"/>
          <w:szCs w:val="22"/>
        </w:rPr>
        <w:t>1</w:t>
      </w:r>
      <w:r w:rsidRPr="000D588E">
        <w:rPr>
          <w:color w:val="auto"/>
          <w:sz w:val="22"/>
          <w:szCs w:val="22"/>
        </w:rPr>
        <w:fldChar w:fldCharType="end"/>
      </w:r>
      <w:r w:rsidRPr="000D588E">
        <w:rPr>
          <w:color w:val="auto"/>
          <w:sz w:val="22"/>
          <w:szCs w:val="22"/>
        </w:rPr>
        <w:t xml:space="preserve"> – Plots and Data Tips</w:t>
      </w:r>
    </w:p>
    <w:p w:rsidR="006D2EB0" w:rsidRDefault="006D2EB0" w:rsidP="003855C1">
      <w:pPr>
        <w:pStyle w:val="ListParagraph"/>
        <w:numPr>
          <w:ilvl w:val="1"/>
          <w:numId w:val="2"/>
        </w:numPr>
      </w:pPr>
      <w:r>
        <w:t>Formula Car</w:t>
      </w:r>
    </w:p>
    <w:p w:rsidR="006D2EB0" w:rsidRPr="00625E1D" w:rsidRDefault="00625E1D" w:rsidP="006D2EB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formula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3.998-2.004</m:t>
              </m:r>
            </m:num>
            <m:den>
              <m:r>
                <w:rPr>
                  <w:rFonts w:ascii="Cambria Math" w:hAnsi="Cambria Math"/>
                </w:rPr>
                <m:t>8.62-4.38</m:t>
              </m:r>
            </m:den>
          </m:f>
          <m:r>
            <w:rPr>
              <w:rFonts w:ascii="Cambria Math" w:hAnsi="Cambria Math"/>
            </w:rPr>
            <m:t xml:space="preserve">=0.470283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6D2EB0" w:rsidRDefault="006D2EB0" w:rsidP="003855C1">
      <w:pPr>
        <w:pStyle w:val="ListParagraph"/>
        <w:numPr>
          <w:ilvl w:val="1"/>
          <w:numId w:val="2"/>
        </w:numPr>
      </w:pPr>
      <w:r>
        <w:t>Road Car</w:t>
      </w:r>
    </w:p>
    <w:p w:rsidR="006D2EB0" w:rsidRPr="00625E1D" w:rsidRDefault="00625E1D" w:rsidP="006D2EB0">
      <w:pPr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gra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road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3.998-1.999</m:t>
              </m:r>
            </m:num>
            <m:den>
              <m:r>
                <w:rPr>
                  <w:rFonts w:ascii="Cambria Math" w:hAnsi="Cambria Math"/>
                </w:rPr>
                <m:t>23.34-12.62</m:t>
              </m:r>
            </m:den>
          </m:f>
          <m:r>
            <w:rPr>
              <w:rFonts w:ascii="Cambria Math" w:hAnsi="Cambria Math"/>
            </w:rPr>
            <m:t xml:space="preserve">=0.186474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3855C1" w:rsidRDefault="003855C1" w:rsidP="00A55784">
      <w:pPr>
        <w:ind w:firstLine="360"/>
        <w:jc w:val="both"/>
      </w:pPr>
      <w:r>
        <w:t>The calculations based on the data provided by the plots</w:t>
      </w:r>
      <w:r w:rsidR="00A55784">
        <w:t xml:space="preserve"> in Figure 1</w:t>
      </w:r>
      <w:r>
        <w:t xml:space="preserve"> show that the Formula Car has a higher lateral acceleration generation rate per unit of steering wheel input compared to the Road Car.</w:t>
      </w:r>
    </w:p>
    <w:p w:rsidR="007F72F8" w:rsidRDefault="007F72F8" w:rsidP="00A55784">
      <w:pPr>
        <w:ind w:firstLine="360"/>
        <w:jc w:val="both"/>
      </w:pPr>
    </w:p>
    <w:p w:rsidR="00356EDF" w:rsidRPr="000D588E" w:rsidRDefault="00356EDF" w:rsidP="00356EDF">
      <w:pPr>
        <w:pStyle w:val="ListParagraph"/>
        <w:numPr>
          <w:ilvl w:val="0"/>
          <w:numId w:val="2"/>
        </w:numPr>
        <w:rPr>
          <w:b/>
        </w:rPr>
      </w:pPr>
      <w:r w:rsidRPr="000D588E">
        <w:rPr>
          <w:b/>
        </w:rPr>
        <w:t>Understeer Gradient</w:t>
      </w:r>
    </w:p>
    <w:p w:rsidR="00356EDF" w:rsidRDefault="00356EDF" w:rsidP="00356EDF">
      <w:pPr>
        <w:pStyle w:val="ListParagraph"/>
        <w:numPr>
          <w:ilvl w:val="1"/>
          <w:numId w:val="2"/>
        </w:numPr>
      </w:pPr>
      <w:r>
        <w:t>@ 10 seconds</w:t>
      </w:r>
    </w:p>
    <w:p w:rsidR="00625E1D" w:rsidRDefault="00356EDF" w:rsidP="00356EDF">
      <w:pPr>
        <w:pStyle w:val="ListParagraph"/>
        <w:numPr>
          <w:ilvl w:val="2"/>
          <w:numId w:val="2"/>
        </w:numPr>
      </w:pPr>
      <w:r>
        <w:t>Formula Car</w:t>
      </w:r>
    </w:p>
    <w:p w:rsidR="00356EDF" w:rsidRPr="00625E1D" w:rsidRDefault="002C5CF1" w:rsidP="00625E1D">
      <w:pPr>
        <w:pStyle w:val="ListParagraph"/>
        <w:ind w:left="21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 xml:space="preserve">= 0.03372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625E1D" w:rsidRDefault="00356EDF" w:rsidP="00356EDF">
      <w:pPr>
        <w:pStyle w:val="ListParagraph"/>
        <w:numPr>
          <w:ilvl w:val="2"/>
          <w:numId w:val="2"/>
        </w:numPr>
      </w:pPr>
      <w:r>
        <w:lastRenderedPageBreak/>
        <w:t>Road Car</w:t>
      </w:r>
    </w:p>
    <w:p w:rsidR="00356EDF" w:rsidRPr="00625E1D" w:rsidRDefault="002C5CF1" w:rsidP="00625E1D">
      <w:pPr>
        <w:pStyle w:val="ListParagraph"/>
        <w:ind w:left="216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 xml:space="preserve">= 0.1522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356EDF" w:rsidRDefault="00356EDF" w:rsidP="00356EDF">
      <w:pPr>
        <w:pStyle w:val="ListParagraph"/>
        <w:numPr>
          <w:ilvl w:val="1"/>
          <w:numId w:val="2"/>
        </w:numPr>
      </w:pPr>
      <w:r>
        <w:t>@ 20 seconds</w:t>
      </w:r>
    </w:p>
    <w:p w:rsidR="00625E1D" w:rsidRDefault="00356EDF" w:rsidP="00356EDF">
      <w:pPr>
        <w:pStyle w:val="ListParagraph"/>
        <w:numPr>
          <w:ilvl w:val="2"/>
          <w:numId w:val="2"/>
        </w:numPr>
      </w:pPr>
      <w:r>
        <w:t>Formula Car</w:t>
      </w:r>
    </w:p>
    <w:p w:rsidR="00356EDF" w:rsidRPr="00356EDF" w:rsidRDefault="002C5CF1" w:rsidP="00625E1D">
      <w:pPr>
        <w:pStyle w:val="ListParagraph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 xml:space="preserve">= 0.1394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625E1D" w:rsidRDefault="00356EDF" w:rsidP="00356EDF">
      <w:pPr>
        <w:pStyle w:val="ListParagraph"/>
        <w:numPr>
          <w:ilvl w:val="2"/>
          <w:numId w:val="2"/>
        </w:numPr>
      </w:pPr>
      <w:r>
        <w:t>Road Car</w:t>
      </w:r>
    </w:p>
    <w:p w:rsidR="00356EDF" w:rsidRPr="00E65BFC" w:rsidRDefault="002C5CF1" w:rsidP="00625E1D">
      <w:pPr>
        <w:pStyle w:val="ListParagraph"/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r>
            <w:rPr>
              <w:rFonts w:ascii="Cambria Math" w:hAnsi="Cambria Math"/>
            </w:rPr>
            <m:t xml:space="preserve">= 0.1528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E65BFC" w:rsidRDefault="00E65BFC" w:rsidP="00E65BFC">
      <w:pPr>
        <w:ind w:firstLine="360"/>
      </w:pPr>
      <w:r>
        <w:t xml:space="preserve">Note that </w:t>
      </w:r>
      <w:r w:rsidR="000D588E">
        <w:t>the Formula Car is naturally</w:t>
      </w:r>
      <w:r w:rsidR="00930F21">
        <w:t xml:space="preserve"> less</w:t>
      </w:r>
      <w:r w:rsidR="000D588E">
        <w:t xml:space="preserve"> </w:t>
      </w:r>
      <w:proofErr w:type="spellStart"/>
      <w:r w:rsidR="000D588E">
        <w:t>understeery</w:t>
      </w:r>
      <w:proofErr w:type="spellEnd"/>
      <w:r w:rsidR="000D588E">
        <w:t xml:space="preserve"> compared to the Road Car due to its </w:t>
      </w:r>
      <w:proofErr w:type="gramStart"/>
      <w:r w:rsidR="000D588E">
        <w:t>tyres</w:t>
      </w:r>
      <w:proofErr w:type="gramEnd"/>
      <w:r w:rsidR="000D588E">
        <w:t xml:space="preserve"> characteristics</w:t>
      </w:r>
      <w:r w:rsidR="00505CC4">
        <w:t xml:space="preserve"> and the fact that its centre of gravity is located close to its geometric centre in the x-axis</w:t>
      </w:r>
      <w:r w:rsidR="000D588E">
        <w:t>. Its balance</w:t>
      </w:r>
      <w:r w:rsidR="00C56DB3">
        <w:t xml:space="preserve"> though</w:t>
      </w:r>
      <w:r w:rsidR="000D588E">
        <w:t xml:space="preserve"> gets more </w:t>
      </w:r>
      <w:proofErr w:type="spellStart"/>
      <w:r w:rsidR="000D588E">
        <w:t>understeery</w:t>
      </w:r>
      <w:proofErr w:type="spellEnd"/>
      <w:r w:rsidR="000D588E">
        <w:t xml:space="preserve"> by the 14</w:t>
      </w:r>
      <w:r w:rsidR="000D588E" w:rsidRPr="000D588E">
        <w:rPr>
          <w:vertAlign w:val="superscript"/>
        </w:rPr>
        <w:t>th</w:t>
      </w:r>
      <w:r w:rsidR="000D588E">
        <w:t xml:space="preserve"> second of the simulation</w:t>
      </w:r>
      <w:r w:rsidR="00C56DB3">
        <w:t xml:space="preserve"> when it reaches around 30 degrees of steering angle and -2.5 degrees of front slip angle</w:t>
      </w:r>
      <w:r w:rsidR="000D588E">
        <w:t xml:space="preserve"> due to the decreas</w:t>
      </w:r>
      <w:r w:rsidR="00C56DB3">
        <w:t>ing rate</w:t>
      </w:r>
      <w:r w:rsidR="000D588E">
        <w:t xml:space="preserve"> of its cornering stiffness. </w:t>
      </w:r>
    </w:p>
    <w:p w:rsidR="00A55784" w:rsidRDefault="00A55784" w:rsidP="00E65BFC">
      <w:pPr>
        <w:ind w:firstLine="360"/>
      </w:pPr>
      <w:r>
        <w:t xml:space="preserve">Figure 2 </w:t>
      </w:r>
      <w:r w:rsidR="00C2659E">
        <w:t xml:space="preserve">evidences that the tyres start coming off their linear range, increasing their slip angles following the non-linear region. Figure 3 </w:t>
      </w:r>
      <w:r w:rsidR="00B83025">
        <w:t>shows that due to the increasingly slip angle in the fronts, the lateral force coefficient starts decreasing, thus reducing the front axle cornering capacity</w:t>
      </w:r>
      <w:r w:rsidR="00DA52AB">
        <w:t>, which happens around 30 degrees of steering angle.</w:t>
      </w:r>
    </w:p>
    <w:p w:rsidR="006A1CC5" w:rsidRDefault="006A1CC5" w:rsidP="006A1CC5">
      <w:pPr>
        <w:keepNext/>
        <w:ind w:firstLine="360"/>
      </w:pPr>
      <w:r>
        <w:rPr>
          <w:noProof/>
        </w:rPr>
        <w:drawing>
          <wp:inline distT="0" distB="0" distL="0" distR="0">
            <wp:extent cx="5336540" cy="3998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CC5" w:rsidRDefault="006A1CC5" w:rsidP="006A1CC5">
      <w:pPr>
        <w:pStyle w:val="Caption"/>
        <w:jc w:val="center"/>
        <w:rPr>
          <w:color w:val="auto"/>
          <w:sz w:val="22"/>
          <w:szCs w:val="22"/>
        </w:rPr>
      </w:pPr>
      <w:r w:rsidRPr="006A1CC5">
        <w:rPr>
          <w:color w:val="auto"/>
          <w:sz w:val="22"/>
          <w:szCs w:val="22"/>
        </w:rPr>
        <w:t xml:space="preserve">Figure </w:t>
      </w:r>
      <w:r w:rsidRPr="006A1CC5">
        <w:rPr>
          <w:color w:val="auto"/>
          <w:sz w:val="22"/>
          <w:szCs w:val="22"/>
        </w:rPr>
        <w:fldChar w:fldCharType="begin"/>
      </w:r>
      <w:r w:rsidRPr="006A1CC5">
        <w:rPr>
          <w:color w:val="auto"/>
          <w:sz w:val="22"/>
          <w:szCs w:val="22"/>
        </w:rPr>
        <w:instrText xml:space="preserve"> SEQ Figure \* ARABIC </w:instrText>
      </w:r>
      <w:r w:rsidRPr="006A1CC5">
        <w:rPr>
          <w:color w:val="auto"/>
          <w:sz w:val="22"/>
          <w:szCs w:val="22"/>
        </w:rPr>
        <w:fldChar w:fldCharType="separate"/>
      </w:r>
      <w:r w:rsidR="00DB2901">
        <w:rPr>
          <w:noProof/>
          <w:color w:val="auto"/>
          <w:sz w:val="22"/>
          <w:szCs w:val="22"/>
        </w:rPr>
        <w:t>2</w:t>
      </w:r>
      <w:r w:rsidRPr="006A1CC5">
        <w:rPr>
          <w:color w:val="auto"/>
          <w:sz w:val="22"/>
          <w:szCs w:val="22"/>
        </w:rPr>
        <w:fldChar w:fldCharType="end"/>
      </w:r>
      <w:r w:rsidRPr="006A1CC5">
        <w:rPr>
          <w:color w:val="auto"/>
          <w:sz w:val="22"/>
          <w:szCs w:val="22"/>
        </w:rPr>
        <w:t xml:space="preserve"> – Slip Angles vs. Time</w:t>
      </w:r>
    </w:p>
    <w:p w:rsidR="00203E3A" w:rsidRPr="004D4D57" w:rsidRDefault="00203E3A" w:rsidP="00203E3A">
      <w:pPr>
        <w:rPr>
          <w:b/>
        </w:rPr>
      </w:pPr>
    </w:p>
    <w:p w:rsidR="00C2659E" w:rsidRDefault="00C2659E" w:rsidP="00C2659E">
      <w:pPr>
        <w:keepNext/>
      </w:pPr>
      <w:r>
        <w:rPr>
          <w:noProof/>
        </w:rPr>
        <w:lastRenderedPageBreak/>
        <w:drawing>
          <wp:inline distT="0" distB="0" distL="0" distR="0">
            <wp:extent cx="5731510" cy="4416844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59E" w:rsidRDefault="00C2659E" w:rsidP="00C2659E">
      <w:pPr>
        <w:pStyle w:val="Caption"/>
        <w:jc w:val="center"/>
        <w:rPr>
          <w:color w:val="auto"/>
          <w:sz w:val="22"/>
          <w:szCs w:val="22"/>
        </w:rPr>
      </w:pPr>
      <w:r w:rsidRPr="00C2659E">
        <w:rPr>
          <w:color w:val="auto"/>
          <w:sz w:val="22"/>
          <w:szCs w:val="22"/>
        </w:rPr>
        <w:t xml:space="preserve">Figure </w:t>
      </w:r>
      <w:r w:rsidRPr="00C2659E">
        <w:rPr>
          <w:color w:val="auto"/>
          <w:sz w:val="22"/>
          <w:szCs w:val="22"/>
        </w:rPr>
        <w:fldChar w:fldCharType="begin"/>
      </w:r>
      <w:r w:rsidRPr="00C2659E">
        <w:rPr>
          <w:color w:val="auto"/>
          <w:sz w:val="22"/>
          <w:szCs w:val="22"/>
        </w:rPr>
        <w:instrText xml:space="preserve"> SEQ Figure \* ARABIC </w:instrText>
      </w:r>
      <w:r w:rsidRPr="00C2659E">
        <w:rPr>
          <w:color w:val="auto"/>
          <w:sz w:val="22"/>
          <w:szCs w:val="22"/>
        </w:rPr>
        <w:fldChar w:fldCharType="separate"/>
      </w:r>
      <w:r w:rsidR="00DB2901">
        <w:rPr>
          <w:noProof/>
          <w:color w:val="auto"/>
          <w:sz w:val="22"/>
          <w:szCs w:val="22"/>
        </w:rPr>
        <w:t>3</w:t>
      </w:r>
      <w:r w:rsidRPr="00C2659E">
        <w:rPr>
          <w:color w:val="auto"/>
          <w:sz w:val="22"/>
          <w:szCs w:val="22"/>
        </w:rPr>
        <w:fldChar w:fldCharType="end"/>
      </w:r>
      <w:r w:rsidRPr="00C2659E">
        <w:rPr>
          <w:color w:val="auto"/>
          <w:sz w:val="22"/>
          <w:szCs w:val="22"/>
        </w:rPr>
        <w:t xml:space="preserve"> – Cornering Stiffness</w:t>
      </w:r>
      <w:r>
        <w:rPr>
          <w:color w:val="auto"/>
          <w:sz w:val="22"/>
          <w:szCs w:val="22"/>
        </w:rPr>
        <w:t xml:space="preserve"> Plot</w:t>
      </w:r>
    </w:p>
    <w:p w:rsidR="00712FCE" w:rsidRDefault="00712FCE" w:rsidP="00712FCE">
      <w:pPr>
        <w:pStyle w:val="ListParagraph"/>
        <w:numPr>
          <w:ilvl w:val="0"/>
          <w:numId w:val="2"/>
        </w:numPr>
        <w:rPr>
          <w:b/>
        </w:rPr>
      </w:pPr>
      <w:r w:rsidRPr="00712FCE">
        <w:rPr>
          <w:b/>
        </w:rPr>
        <w:t>Si</w:t>
      </w:r>
      <w:r w:rsidR="00FA09E8">
        <w:rPr>
          <w:b/>
        </w:rPr>
        <w:t>d</w:t>
      </w:r>
      <w:r w:rsidRPr="00712FCE">
        <w:rPr>
          <w:b/>
        </w:rPr>
        <w:t>e Slip vs. Lateral Acceleration Gradient</w:t>
      </w:r>
    </w:p>
    <w:p w:rsidR="006420F0" w:rsidRDefault="006420F0" w:rsidP="006420F0">
      <w:pPr>
        <w:pStyle w:val="ListParagraph"/>
        <w:numPr>
          <w:ilvl w:val="1"/>
          <w:numId w:val="2"/>
        </w:numPr>
      </w:pPr>
      <w:r>
        <w:t>Formula Car</w:t>
      </w:r>
    </w:p>
    <w:p w:rsidR="006420F0" w:rsidRPr="006D2EB0" w:rsidRDefault="006420F0" w:rsidP="006420F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formula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2.004-0.9992</m:t>
              </m:r>
            </m:num>
            <m:den>
              <m:r>
                <w:rPr>
                  <w:rFonts w:ascii="Cambria Math" w:hAnsi="Cambria Math"/>
                </w:rPr>
                <m:t>-0.06194+0.02829</m:t>
              </m:r>
            </m:den>
          </m:f>
          <m:r>
            <w:rPr>
              <w:rFonts w:ascii="Cambria Math" w:hAnsi="Cambria Math"/>
            </w:rPr>
            <m:t xml:space="preserve">=-29.8603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6420F0" w:rsidRDefault="006420F0" w:rsidP="006420F0">
      <w:pPr>
        <w:pStyle w:val="ListParagraph"/>
        <w:numPr>
          <w:ilvl w:val="1"/>
          <w:numId w:val="2"/>
        </w:numPr>
      </w:pPr>
      <w:r>
        <w:t>Road Car</w:t>
      </w:r>
    </w:p>
    <w:p w:rsidR="006420F0" w:rsidRPr="003855C1" w:rsidRDefault="006420F0" w:rsidP="006420F0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gra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road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1.999-0.999</m:t>
              </m:r>
            </m:num>
            <m:den>
              <m:r>
                <w:rPr>
                  <w:rFonts w:ascii="Cambria Math" w:hAnsi="Cambria Math"/>
                </w:rPr>
                <m:t>-1.648+0.8457</m:t>
              </m:r>
            </m:den>
          </m:f>
          <m:r>
            <w:rPr>
              <w:rFonts w:ascii="Cambria Math" w:hAnsi="Cambria Math"/>
            </w:rPr>
            <m:t xml:space="preserve">=-1.24642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*deg</m:t>
              </m:r>
            </m:den>
          </m:f>
        </m:oMath>
      </m:oMathPara>
    </w:p>
    <w:p w:rsidR="00625E1D" w:rsidRDefault="00625E1D" w:rsidP="00625E1D">
      <w:pPr>
        <w:ind w:firstLine="360"/>
      </w:pPr>
    </w:p>
    <w:p w:rsidR="006420F0" w:rsidRDefault="00625E1D" w:rsidP="00D378AB">
      <w:pPr>
        <w:ind w:firstLine="360"/>
        <w:jc w:val="both"/>
      </w:pPr>
      <w:r w:rsidRPr="00625E1D">
        <w:t xml:space="preserve">From </w:t>
      </w:r>
      <w:r>
        <w:t>the data tips illustrated in Figure 1 the above calculations could be made and evidence that for the road car</w:t>
      </w:r>
      <w:r w:rsidR="006C1DBB">
        <w:t xml:space="preserve"> the lateral acceleration gradient per side slip unit is considerably lower, meaning that when compared to the formula car the road car </w:t>
      </w:r>
      <w:r w:rsidR="00D378AB">
        <w:t xml:space="preserve">achieves much higher side slips </w:t>
      </w:r>
      <w:proofErr w:type="gramStart"/>
      <w:r w:rsidR="00D378AB">
        <w:t>in order to</w:t>
      </w:r>
      <w:proofErr w:type="gramEnd"/>
      <w:r w:rsidR="00D378AB">
        <w:t xml:space="preserve"> generate higher values of lateral acceleration.</w:t>
      </w:r>
    </w:p>
    <w:p w:rsidR="005760ED" w:rsidRDefault="005760ED" w:rsidP="00D378AB">
      <w:pPr>
        <w:ind w:firstLine="360"/>
        <w:jc w:val="both"/>
      </w:pPr>
    </w:p>
    <w:p w:rsidR="005760ED" w:rsidRDefault="005760ED" w:rsidP="00D378AB">
      <w:pPr>
        <w:ind w:firstLine="360"/>
        <w:jc w:val="both"/>
      </w:pPr>
    </w:p>
    <w:p w:rsidR="005760ED" w:rsidRDefault="005760ED" w:rsidP="00D378AB">
      <w:pPr>
        <w:ind w:firstLine="360"/>
        <w:jc w:val="both"/>
      </w:pPr>
    </w:p>
    <w:p w:rsidR="005760ED" w:rsidRDefault="005760ED" w:rsidP="00D378AB">
      <w:pPr>
        <w:ind w:firstLine="360"/>
        <w:jc w:val="both"/>
      </w:pPr>
    </w:p>
    <w:p w:rsidR="005760ED" w:rsidRDefault="005760ED" w:rsidP="005760ED">
      <w:pPr>
        <w:ind w:left="720" w:hanging="360"/>
        <w:rPr>
          <w:b/>
        </w:rPr>
      </w:pPr>
      <w:r>
        <w:rPr>
          <w:b/>
        </w:rPr>
        <w:lastRenderedPageBreak/>
        <w:t>STEP STEER CONSTANT VELOCITY CORNERNING @ 120 KM/H</w:t>
      </w:r>
    </w:p>
    <w:p w:rsidR="00841D0F" w:rsidRDefault="00614234" w:rsidP="00841D0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Lateral Acceleration Overshoot</w:t>
      </w:r>
    </w:p>
    <w:p w:rsidR="005B2B92" w:rsidRDefault="00866DEC" w:rsidP="005B2B92">
      <w:pPr>
        <w:keepNext/>
      </w:pPr>
      <w:r>
        <w:rPr>
          <w:noProof/>
        </w:rPr>
        <w:drawing>
          <wp:inline distT="0" distB="0" distL="0" distR="0">
            <wp:extent cx="5330825" cy="400240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B9" w:rsidRDefault="005B2B92" w:rsidP="005B2B92">
      <w:pPr>
        <w:pStyle w:val="Caption"/>
        <w:jc w:val="center"/>
        <w:rPr>
          <w:noProof/>
          <w:color w:val="auto"/>
          <w:sz w:val="22"/>
          <w:szCs w:val="22"/>
        </w:rPr>
      </w:pPr>
      <w:r w:rsidRPr="005B2B92">
        <w:rPr>
          <w:noProof/>
          <w:color w:val="auto"/>
          <w:sz w:val="22"/>
          <w:szCs w:val="22"/>
        </w:rPr>
        <w:t xml:space="preserve">Figure </w:t>
      </w:r>
      <w:r w:rsidRPr="005B2B92">
        <w:rPr>
          <w:noProof/>
          <w:color w:val="auto"/>
          <w:sz w:val="22"/>
          <w:szCs w:val="22"/>
        </w:rPr>
        <w:fldChar w:fldCharType="begin"/>
      </w:r>
      <w:r w:rsidRPr="005B2B92">
        <w:rPr>
          <w:noProof/>
          <w:color w:val="auto"/>
          <w:sz w:val="22"/>
          <w:szCs w:val="22"/>
        </w:rPr>
        <w:instrText xml:space="preserve"> SEQ Figure \* ARABIC </w:instrText>
      </w:r>
      <w:r w:rsidRPr="005B2B92">
        <w:rPr>
          <w:noProof/>
          <w:color w:val="auto"/>
          <w:sz w:val="22"/>
          <w:szCs w:val="22"/>
        </w:rPr>
        <w:fldChar w:fldCharType="separate"/>
      </w:r>
      <w:r w:rsidR="00DB2901">
        <w:rPr>
          <w:noProof/>
          <w:color w:val="auto"/>
          <w:sz w:val="22"/>
          <w:szCs w:val="22"/>
        </w:rPr>
        <w:t>4</w:t>
      </w:r>
      <w:r w:rsidRPr="005B2B92">
        <w:rPr>
          <w:noProof/>
          <w:color w:val="auto"/>
          <w:sz w:val="22"/>
          <w:szCs w:val="22"/>
        </w:rPr>
        <w:fldChar w:fldCharType="end"/>
      </w:r>
      <w:r w:rsidRPr="005B2B92">
        <w:rPr>
          <w:noProof/>
          <w:color w:val="auto"/>
          <w:sz w:val="22"/>
          <w:szCs w:val="22"/>
        </w:rPr>
        <w:t xml:space="preserve"> – Lateral Acceleration vs. Time</w:t>
      </w:r>
    </w:p>
    <w:p w:rsidR="009A1DD0" w:rsidRDefault="009A1DD0" w:rsidP="009A1DD0">
      <w:pPr>
        <w:ind w:firstLine="360"/>
        <w:jc w:val="both"/>
      </w:pPr>
      <w:r>
        <w:t>As can be noticed from Figure 4, there is no overshoot for the Formula Car for a steering angle of 11 degrees at 120 km/h. However, for the Road Car there is an overshoot around 2 seconds after the 18 degrees of steering wheel step input have been applied. The overshoot value is calculated below:</w:t>
      </w:r>
    </w:p>
    <w:p w:rsidR="009A1DD0" w:rsidRPr="00866DEC" w:rsidRDefault="009A1DD0" w:rsidP="009A1DD0">
      <w:pPr>
        <w:ind w:firstLine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overshoo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road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3.276-3.18</m:t>
              </m:r>
            </m:num>
            <m:den>
              <m:r>
                <w:rPr>
                  <w:rFonts w:ascii="Cambria Math" w:hAnsi="Cambria Math"/>
                </w:rPr>
                <m:t>3.18</m:t>
              </m:r>
            </m:den>
          </m:f>
          <m:r>
            <w:rPr>
              <w:rFonts w:ascii="Cambria Math" w:hAnsi="Cambria Math"/>
            </w:rPr>
            <m:t>*100=14.65378%</m:t>
          </m:r>
        </m:oMath>
      </m:oMathPara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Default="00866DEC" w:rsidP="009A1DD0">
      <w:pPr>
        <w:ind w:firstLine="360"/>
        <w:jc w:val="both"/>
      </w:pPr>
    </w:p>
    <w:p w:rsidR="00866DEC" w:rsidRPr="009A1DD0" w:rsidRDefault="00866DEC" w:rsidP="009A1DD0">
      <w:pPr>
        <w:ind w:firstLine="360"/>
        <w:jc w:val="both"/>
      </w:pPr>
    </w:p>
    <w:p w:rsidR="005760ED" w:rsidRDefault="00A104F4" w:rsidP="00A104F4">
      <w:pPr>
        <w:pStyle w:val="ListParagraph"/>
        <w:numPr>
          <w:ilvl w:val="0"/>
          <w:numId w:val="4"/>
        </w:numPr>
        <w:jc w:val="both"/>
        <w:rPr>
          <w:b/>
        </w:rPr>
      </w:pPr>
      <w:r w:rsidRPr="00A104F4">
        <w:rPr>
          <w:b/>
        </w:rPr>
        <w:lastRenderedPageBreak/>
        <w:t>Yaw Rate Overshoot</w:t>
      </w:r>
    </w:p>
    <w:p w:rsidR="00DB2901" w:rsidRDefault="00866DEC" w:rsidP="00DB2901">
      <w:pPr>
        <w:keepNext/>
        <w:ind w:left="360"/>
        <w:jc w:val="both"/>
      </w:pPr>
      <w:r>
        <w:rPr>
          <w:noProof/>
        </w:rPr>
        <w:drawing>
          <wp:inline distT="0" distB="0" distL="0" distR="0">
            <wp:extent cx="5336540" cy="3998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4F4" w:rsidRPr="00DB2901" w:rsidRDefault="00DB2901" w:rsidP="00DB2901">
      <w:pPr>
        <w:pStyle w:val="Caption"/>
        <w:jc w:val="center"/>
        <w:rPr>
          <w:noProof/>
          <w:color w:val="auto"/>
          <w:sz w:val="22"/>
          <w:szCs w:val="22"/>
        </w:rPr>
      </w:pPr>
      <w:r w:rsidRPr="00DB2901">
        <w:rPr>
          <w:noProof/>
          <w:color w:val="auto"/>
          <w:sz w:val="22"/>
          <w:szCs w:val="22"/>
        </w:rPr>
        <w:t xml:space="preserve">Figure </w:t>
      </w:r>
      <w:r w:rsidRPr="00DB2901">
        <w:rPr>
          <w:noProof/>
          <w:color w:val="auto"/>
          <w:sz w:val="22"/>
          <w:szCs w:val="22"/>
        </w:rPr>
        <w:fldChar w:fldCharType="begin"/>
      </w:r>
      <w:r w:rsidRPr="00DB2901">
        <w:rPr>
          <w:noProof/>
          <w:color w:val="auto"/>
          <w:sz w:val="22"/>
          <w:szCs w:val="22"/>
        </w:rPr>
        <w:instrText xml:space="preserve"> SEQ Figure \* ARABIC </w:instrText>
      </w:r>
      <w:r w:rsidRPr="00DB2901">
        <w:rPr>
          <w:noProof/>
          <w:color w:val="auto"/>
          <w:sz w:val="22"/>
          <w:szCs w:val="22"/>
        </w:rPr>
        <w:fldChar w:fldCharType="separate"/>
      </w:r>
      <w:r w:rsidRPr="00DB2901">
        <w:rPr>
          <w:noProof/>
          <w:color w:val="auto"/>
          <w:sz w:val="22"/>
          <w:szCs w:val="22"/>
        </w:rPr>
        <w:t>5</w:t>
      </w:r>
      <w:r w:rsidRPr="00DB2901">
        <w:rPr>
          <w:noProof/>
          <w:color w:val="auto"/>
          <w:sz w:val="22"/>
          <w:szCs w:val="22"/>
        </w:rPr>
        <w:fldChar w:fldCharType="end"/>
      </w:r>
      <w:r w:rsidRPr="00DB2901">
        <w:rPr>
          <w:noProof/>
          <w:color w:val="auto"/>
          <w:sz w:val="22"/>
          <w:szCs w:val="22"/>
        </w:rPr>
        <w:t xml:space="preserve"> - Yaw Rate vs. Time</w:t>
      </w:r>
    </w:p>
    <w:p w:rsidR="00DB2901" w:rsidRDefault="00DB2901" w:rsidP="00DB2901">
      <w:pPr>
        <w:ind w:firstLine="360"/>
        <w:jc w:val="both"/>
      </w:pPr>
      <w:r>
        <w:t>Figure 5 illustrates the presence of overshoot in Yaw Rate for both Formula and Road Cars, which is significantly higher for the road car and which value is given below.</w:t>
      </w:r>
    </w:p>
    <w:p w:rsidR="00DB2901" w:rsidRPr="00866DEC" w:rsidRDefault="00DB2901" w:rsidP="00DB2901">
      <w:pPr>
        <w:ind w:firstLine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overshoo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ormula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9-8.897</m:t>
              </m:r>
            </m:num>
            <m:den>
              <m:r>
                <w:rPr>
                  <w:rFonts w:ascii="Cambria Math" w:hAnsi="Cambria Math"/>
                </w:rPr>
                <m:t>8.897</m:t>
              </m:r>
            </m:den>
          </m:f>
          <m:r>
            <w:rPr>
              <w:rFonts w:ascii="Cambria Math" w:hAnsi="Cambria Math"/>
            </w:rPr>
            <m:t>*100=1.157694%</m:t>
          </m:r>
        </m:oMath>
      </m:oMathPara>
    </w:p>
    <w:p w:rsidR="00DB2901" w:rsidRPr="00866DEC" w:rsidRDefault="00DB2901" w:rsidP="00DB2901">
      <w:pPr>
        <w:ind w:firstLine="36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overshoo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oad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6.216-5.469</m:t>
              </m:r>
            </m:num>
            <m:den>
              <m:r>
                <w:rPr>
                  <w:rFonts w:ascii="Cambria Math" w:hAnsi="Cambria Math"/>
                </w:rPr>
                <m:t>5.469</m:t>
              </m:r>
            </m:den>
          </m:f>
          <m:r>
            <w:rPr>
              <w:rFonts w:ascii="Cambria Math" w:hAnsi="Cambria Math"/>
            </w:rPr>
            <m:t>*100=13.6588%</m:t>
          </m:r>
        </m:oMath>
      </m:oMathPara>
    </w:p>
    <w:p w:rsidR="00DB2901" w:rsidRDefault="00E46E32" w:rsidP="00E46E3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Vehicle with the Higher Response</w:t>
      </w:r>
    </w:p>
    <w:p w:rsidR="00E46E32" w:rsidRPr="00F6470B" w:rsidRDefault="00F6470B" w:rsidP="00EB621B">
      <w:pPr>
        <w:ind w:firstLine="360"/>
        <w:jc w:val="both"/>
      </w:pPr>
      <w:r>
        <w:t xml:space="preserve">Once the yaw rate and lateral acceleration plots have been </w:t>
      </w:r>
      <w:proofErr w:type="gramStart"/>
      <w:r>
        <w:t>generate</w:t>
      </w:r>
      <w:proofErr w:type="gramEnd"/>
      <w:r>
        <w:t xml:space="preserve"> and overshoot analysis done the conclusion is that the Formula Car is more responsive than the road car as it reaches steady-state condition much quicker than the Road Car does.</w:t>
      </w:r>
      <w:r w:rsidR="002C5CF1">
        <w:t xml:space="preserve"> The overshoot for both channels for the Formula Car is also much lower than the Road Car and it is also able to generate greater lateral accelerations and yaw rates.</w:t>
      </w:r>
      <w:bookmarkStart w:id="0" w:name="_GoBack"/>
      <w:bookmarkEnd w:id="0"/>
    </w:p>
    <w:sectPr w:rsidR="00E46E32" w:rsidRPr="00F64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2CE5"/>
    <w:multiLevelType w:val="hybridMultilevel"/>
    <w:tmpl w:val="F80A3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1C05"/>
    <w:multiLevelType w:val="hybridMultilevel"/>
    <w:tmpl w:val="76E80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012B3"/>
    <w:multiLevelType w:val="hybridMultilevel"/>
    <w:tmpl w:val="FAA2C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F0145"/>
    <w:multiLevelType w:val="hybridMultilevel"/>
    <w:tmpl w:val="F80A3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B0"/>
    <w:rsid w:val="000810EE"/>
    <w:rsid w:val="000D588E"/>
    <w:rsid w:val="00203E3A"/>
    <w:rsid w:val="002C5CF1"/>
    <w:rsid w:val="00356EDF"/>
    <w:rsid w:val="003855C1"/>
    <w:rsid w:val="004B5777"/>
    <w:rsid w:val="004D4D57"/>
    <w:rsid w:val="00505CC4"/>
    <w:rsid w:val="005760ED"/>
    <w:rsid w:val="005B2B92"/>
    <w:rsid w:val="005B68FC"/>
    <w:rsid w:val="00614234"/>
    <w:rsid w:val="00625E1D"/>
    <w:rsid w:val="006420F0"/>
    <w:rsid w:val="006A1CC5"/>
    <w:rsid w:val="006C1DBB"/>
    <w:rsid w:val="006D2EB0"/>
    <w:rsid w:val="00712FCE"/>
    <w:rsid w:val="007F72F8"/>
    <w:rsid w:val="00841D0F"/>
    <w:rsid w:val="00847EC0"/>
    <w:rsid w:val="00866DEC"/>
    <w:rsid w:val="00930F21"/>
    <w:rsid w:val="009A1DD0"/>
    <w:rsid w:val="00A104F4"/>
    <w:rsid w:val="00A55784"/>
    <w:rsid w:val="00B83025"/>
    <w:rsid w:val="00C2659E"/>
    <w:rsid w:val="00C56DB3"/>
    <w:rsid w:val="00D378AB"/>
    <w:rsid w:val="00DA52AB"/>
    <w:rsid w:val="00DB2901"/>
    <w:rsid w:val="00E213B2"/>
    <w:rsid w:val="00E46E32"/>
    <w:rsid w:val="00E65BFC"/>
    <w:rsid w:val="00EB621B"/>
    <w:rsid w:val="00F61DB9"/>
    <w:rsid w:val="00F6470B"/>
    <w:rsid w:val="00FA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215F"/>
  <w15:chartTrackingRefBased/>
  <w15:docId w15:val="{3CC1EE62-D653-42B5-954B-F5F3B42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EB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D58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NIO 333 FE Team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De Freitas</dc:creator>
  <cp:keywords/>
  <dc:description/>
  <cp:lastModifiedBy>Cassio De Freitas</cp:lastModifiedBy>
  <cp:revision>30</cp:revision>
  <dcterms:created xsi:type="dcterms:W3CDTF">2024-12-04T10:44:00Z</dcterms:created>
  <dcterms:modified xsi:type="dcterms:W3CDTF">2024-12-04T15:32:00Z</dcterms:modified>
</cp:coreProperties>
</file>