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4E79"/>
          <w:sz w:val="40"/>
          <w:szCs w:val="40"/>
        </w:rPr>
        <w:t xml:space="preserve">INFORME DE AVANCE DE PROYECTOS</w:t>
      </w:r>
    </w:p>
    <w:p>
      <w:pPr>
        <w:spacing w:after="300"/>
        <w:jc w:val="center"/>
      </w:pPr>
      <w:r>
        <w:rPr>
          <w:color w:val="666666"/>
          <w:sz w:val="24"/>
          <w:szCs w:val="24"/>
        </w:rPr>
        <w:t xml:space="preserve">AutoSys · PSKloud — Corte al 6 de julio de 2026</w:t>
      </w:r>
    </w:p>
    <w:p>
      <w:pPr>
        <w:pStyle w:val="Heading1"/>
      </w:pPr>
      <w:r>
        <w:t xml:space="preserve">I. Proyecto AutoSys — Sistema de Gestión de Talleres</w:t>
      </w:r>
    </w:p>
    <w:p>
      <w:pPr>
        <w:spacing w:after="120"/>
      </w:pPr>
      <w:r>
        <w:rPr>
          <w:b/>
          <w:bCs/>
        </w:rPr>
        <w:t xml:space="preserve">Cliente: </w:t>
      </w:r>
      <w:r>
        <w:t xml:space="preserve">ALMACENADORA MI VIEJO Y YO, C.A.</w:t>
      </w:r>
    </w:p>
    <w:p>
      <w:pPr>
        <w:spacing w:after="120"/>
      </w:pPr>
      <w:r>
        <w:rPr>
          <w:b/>
          <w:bCs/>
        </w:rPr>
        <w:t xml:space="preserve">Marco de referencia: </w:t>
      </w:r>
      <w:r>
        <w:t xml:space="preserve">Contrato de Implementación AutoSys, Anexo A (Requerimientos de Software) y Anexo B (Cronograma del Proyecto).</w:t>
      </w:r>
    </w:p>
    <w:p>
      <w:pPr>
        <w:pStyle w:val="Heading2"/>
      </w:pPr>
      <w:r>
        <w:t xml:space="preserve">1.1 Resumen ejecutivo</w:t>
      </w:r>
    </w:p>
    <w:p>
      <w:pPr>
        <w:spacing w:after="120"/>
      </w:pPr>
      <w:r>
        <w:t xml:space="preserve">El sistema AutoSys se encuentra </w:t>
      </w:r>
      <w:r>
        <w:rPr>
          <w:b/>
          <w:bCs/>
        </w:rPr>
        <w:t xml:space="preserve">operativo y con el alcance contratado cubierto casi en su totalidad</w:t>
      </w:r>
      <w:r>
        <w:t xml:space="preserve">: 27 de los 29 requerimientos funcionales del Anexo A están completos y los 5 módulos contratados (Núcleo de Taller, Inventario, Clientes/Vehículos, Administración y Facturación, y Configuración General) están implementados y en funcionamiento. El alcance real entregado supera ampliamente lo comprometido, con capacidades adicionales sin costo para el cliente.</w:t>
      </w:r>
    </w:p>
    <w:p>
      <w:pPr>
        <w:pStyle w:val="Heading2"/>
      </w:pPr>
      <w:r>
        <w:t xml:space="preserve">1.2 Estado por módulo contratado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Módulo (Anexo A)</w:t>
            </w:r>
          </w:p>
        </w:tc>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Estado</w:t>
            </w:r>
          </w:p>
        </w:tc>
      </w:tr>
      <w:tr>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Módulo 1 — Núcleo de Taller (Órdenes de Trabajo)</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Completo (impresión PDF de la OT en desarrollo)</w:t>
            </w:r>
          </w:p>
        </w:tc>
      </w:tr>
      <w:tr>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Módulo 2 — Gestión de Inventario</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Completo — más de 9.000 artículos cargados</w:t>
            </w:r>
          </w:p>
        </w:tc>
      </w:tr>
      <w:tr>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Módulo 3 — Clientes y Vehículos (CRM)</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Completo</w:t>
            </w:r>
          </w:p>
        </w:tc>
      </w:tr>
      <w:tr>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Módulo 4 — Administración y Facturación</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Completo (ajuste fino de IVA en pre-facturas)</w:t>
            </w:r>
          </w:p>
        </w:tc>
      </w:tr>
      <w:tr>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Módulo 5 — Configuración General (Usuarios y Roles)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Completo</w:t>
            </w:r>
          </w:p>
        </w:tc>
      </w:tr>
      <w:tr>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Reglas de negocio RN-1 a RN-5</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Implementadas</w:t>
            </w:r>
          </w:p>
        </w:tc>
      </w:tr>
    </w:tbl>
    <w:p>
      <w:pPr>
        <w:pStyle w:val="Heading2"/>
      </w:pPr>
      <w:r>
        <w:t xml:space="preserve">1.3 Pendientes del alcance contratado</w:t>
      </w:r>
    </w:p>
    <w:p>
      <w:pPr>
        <w:pStyle w:val="ListParagraph"/>
        <w:numPr>
          <w:ilvl w:val="0"/>
          <w:numId w:val="2"/>
        </w:numPr>
        <w:spacing w:after="60"/>
      </w:pPr>
      <w:r>
        <w:t xml:space="preserve">Plantilla imprimible de la Orden de Trabajo en PDF (RF-17), como parte del paquete de documentos imprimibles (factura, pre-factura, recibo de pago, orden de compra, notas de entrada/salida).</w:t>
      </w:r>
    </w:p>
    <w:p>
      <w:pPr>
        <w:pStyle w:val="ListParagraph"/>
        <w:numPr>
          <w:ilvl w:val="0"/>
          <w:numId w:val="2"/>
        </w:numPr>
        <w:spacing w:after="60"/>
      </w:pPr>
      <w:r>
        <w:t xml:space="preserve">Refinamiento del cálculo de descuentos e impuestos en totales de OT y pre-facturas (RF-16 y RF-26).</w:t>
      </w:r>
    </w:p>
    <w:p>
      <w:pPr>
        <w:pStyle w:val="ListParagraph"/>
        <w:numPr>
          <w:ilvl w:val="0"/>
          <w:numId w:val="2"/>
        </w:numPr>
        <w:spacing w:after="60"/>
      </w:pPr>
      <w:r>
        <w:t xml:space="preserve">Valores agregados del contrato: Landing Page moderna y Chatbot de servicios — por planificar su entrega.</w:t>
      </w:r>
    </w:p>
    <w:p>
      <w:pPr>
        <w:pStyle w:val="Heading2"/>
      </w:pPr>
      <w:r>
        <w:t xml:space="preserve">1.4 Valor agregado entregado (fuera del alcance contratado)</w:t>
      </w:r>
    </w:p>
    <w:p>
      <w:pPr>
        <w:pStyle w:val="ListParagraph"/>
        <w:numPr>
          <w:ilvl w:val="0"/>
          <w:numId w:val="3"/>
        </w:numPr>
        <w:spacing w:after="60"/>
      </w:pPr>
      <w:r>
        <w:rPr>
          <w:b/>
          <w:bCs/>
        </w:rPr>
        <w:t xml:space="preserve">Taller ampliado: </w:t>
      </w:r>
      <w:r>
        <w:t xml:space="preserve">citas con calendario, recepción con registro de daños y fotos, diagnósticos con checklist, control de calidad, entrega con firma y dashboard con KPIs en tiempo real.</w:t>
      </w:r>
    </w:p>
    <w:p>
      <w:pPr>
        <w:pStyle w:val="ListParagraph"/>
        <w:numPr>
          <w:ilvl w:val="0"/>
          <w:numId w:val="3"/>
        </w:numPr>
        <w:spacing w:after="60"/>
      </w:pPr>
      <w:r>
        <w:rPr>
          <w:b/>
          <w:bCs/>
        </w:rPr>
        <w:t xml:space="preserve">Inventario avanzado: </w:t>
      </w:r>
      <w:r>
        <w:t xml:space="preserve">multi-almacén, transferencias, conteos cíclicos, lotes y seriales, importación/exportación masiva y reabastecimiento sugerido.</w:t>
      </w:r>
    </w:p>
    <w:p>
      <w:pPr>
        <w:pStyle w:val="ListParagraph"/>
        <w:numPr>
          <w:ilvl w:val="0"/>
          <w:numId w:val="3"/>
        </w:numPr>
        <w:spacing w:after="60"/>
      </w:pPr>
      <w:r>
        <w:rPr>
          <w:b/>
          <w:bCs/>
        </w:rPr>
        <w:t xml:space="preserve">Ventas y CRM avanzado: </w:t>
      </w:r>
      <w:r>
        <w:t xml:space="preserve">órdenes de venta, notas de crédito, leads, oportunidades con pipeline, casos y campañas.</w:t>
      </w:r>
    </w:p>
    <w:p>
      <w:pPr>
        <w:pStyle w:val="ListParagraph"/>
        <w:numPr>
          <w:ilvl w:val="0"/>
          <w:numId w:val="3"/>
        </w:numPr>
        <w:spacing w:after="60"/>
      </w:pPr>
      <w:r>
        <w:rPr>
          <w:b/>
          <w:bCs/>
        </w:rPr>
        <w:t xml:space="preserve">Módulo de Concesionario: </w:t>
      </w:r>
      <w:r>
        <w:t xml:space="preserve">unidades, reservas, pruebas de manejo, retomas, financiamiento y entregas (12 submódulos).</w:t>
      </w:r>
    </w:p>
    <w:p>
      <w:pPr>
        <w:pStyle w:val="ListParagraph"/>
        <w:numPr>
          <w:ilvl w:val="0"/>
          <w:numId w:val="3"/>
        </w:numPr>
        <w:spacing w:after="60"/>
      </w:pPr>
      <w:r>
        <w:rPr>
          <w:b/>
          <w:bCs/>
        </w:rPr>
        <w:t xml:space="preserve">Finanzas y plataforma: </w:t>
      </w:r>
      <w:r>
        <w:t xml:space="preserve">cuentas bancarias, caja, gastos, pagos a proveedores, multi-moneda USD/VES con tasa BCV automática, notificaciones en tiempo real, multi-empresa, auditoría y respaldos de base de datos con exportación e importación.</w:t>
      </w:r>
    </w:p>
    <w:p>
      <w:pPr>
        <w:pStyle w:val="Heading2"/>
      </w:pPr>
      <w:r>
        <w:t xml:space="preserve">1.5 Pendientes de formalización (Anexo B)</w:t>
      </w:r>
    </w:p>
    <w:p>
      <w:pPr>
        <w:spacing w:after="120"/>
      </w:pPr>
      <w:r>
        <w:t xml:space="preserve">Para el cierre formal del proyecto quedan por formalizar los siguientes entregables documentales del cronograma:</w:t>
      </w:r>
    </w:p>
    <w:p>
      <w:pPr>
        <w:pStyle w:val="ListParagraph"/>
        <w:numPr>
          <w:ilvl w:val="0"/>
          <w:numId w:val="3"/>
        </w:numPr>
        <w:spacing w:after="60"/>
      </w:pPr>
      <w:r>
        <w:t xml:space="preserve">Acta de conformidad de las Pruebas de Aceptación de Usuario (UAT).</w:t>
      </w:r>
    </w:p>
    <w:p>
      <w:pPr>
        <w:pStyle w:val="ListParagraph"/>
        <w:numPr>
          <w:ilvl w:val="0"/>
          <w:numId w:val="3"/>
        </w:numPr>
        <w:spacing w:after="60"/>
      </w:pPr>
      <w:r>
        <w:t xml:space="preserve">Manuales de usuario digitales.</w:t>
      </w:r>
    </w:p>
    <w:p>
      <w:pPr>
        <w:pStyle w:val="ListParagraph"/>
        <w:numPr>
          <w:ilvl w:val="0"/>
          <w:numId w:val="3"/>
        </w:numPr>
        <w:spacing w:after="60"/>
      </w:pPr>
      <w:r>
        <w:t xml:space="preserve">Constancia de capacitación formal a usuarios clave (administradores, asesores de servicio y almacenistas).</w:t>
      </w:r>
    </w:p>
    <w:p>
      <w:pPr>
        <w:pStyle w:val="ListParagraph"/>
        <w:numPr>
          <w:ilvl w:val="0"/>
          <w:numId w:val="3"/>
        </w:numPr>
        <w:spacing w:after="60"/>
      </w:pPr>
      <w:r>
        <w:t xml:space="preserve">Acta de Entrega y Aceptación Final del Proyecto, que da inicio al período de acompañamiento y garantía de 3 meses.</w:t>
      </w:r>
    </w:p>
    <w:p>
      <w:pPr>
        <w:pStyle w:val="Heading1"/>
        <w:pageBreakBefore/>
      </w:pPr>
      <w:r>
        <w:t xml:space="preserve">II. Proyecto PSKloud — Sistema Administrativo-Contable</w:t>
      </w:r>
    </w:p>
    <w:p>
      <w:pPr>
        <w:spacing w:after="120"/>
      </w:pPr>
      <w:r>
        <w:rPr>
          <w:b/>
          <w:bCs/>
        </w:rPr>
        <w:t xml:space="preserve">Cliente: </w:t>
      </w:r>
      <w:r>
        <w:t xml:space="preserve">CAMABAR</w:t>
      </w:r>
    </w:p>
    <w:p>
      <w:pPr>
        <w:spacing w:after="120"/>
      </w:pPr>
      <w:r>
        <w:rPr>
          <w:b/>
          <w:bCs/>
        </w:rPr>
        <w:t xml:space="preserve">Atención: </w:t>
      </w:r>
      <w:r>
        <w:t xml:space="preserve">Sra. Lissette Lara</w:t>
      </w:r>
    </w:p>
    <w:p>
      <w:pPr>
        <w:spacing w:after="120"/>
      </w:pPr>
      <w:r>
        <w:rPr>
          <w:b/>
          <w:bCs/>
        </w:rPr>
        <w:t xml:space="preserve">Responsable técnico: </w:t>
      </w:r>
      <w:r>
        <w:t xml:space="preserve">Pedro Luis</w:t>
      </w:r>
    </w:p>
    <w:p>
      <w:pPr>
        <w:pStyle w:val="Heading2"/>
      </w:pPr>
      <w:r>
        <w:t xml:space="preserve">2.1 Estado de infraestructura (confirmado por 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Elemento</w:t>
            </w:r>
          </w:p>
        </w:tc>
        <w:tc>
          <w:tcPr>
            <w:tcW w:type="dxa" w:w="6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Estado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Red de internet local</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Estable y de alta velocidad. Pendiente unificar subredes/rangos de red; se coordinará en conjunto con el técnico del sitio.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Servidor definitivo</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Disponible en el área de servidores.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Talonario de facturas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 elaboración — no bloquea la instalación del sistema.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Definición de usuarios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Completada.</w:t>
            </w:r>
          </w:p>
        </w:tc>
      </w:tr>
    </w:tbl>
    <w:p>
      <w:pPr>
        <w:pStyle w:val="Heading2"/>
      </w:pPr>
      <w:r>
        <w:t xml:space="preserve">2.2 Avances realizados</w:t>
      </w:r>
    </w:p>
    <w:p>
      <w:pPr>
        <w:pStyle w:val="ListParagraph"/>
        <w:numPr>
          <w:ilvl w:val="0"/>
          <w:numId w:val="3"/>
        </w:numPr>
        <w:spacing w:after="60"/>
      </w:pPr>
      <w:r>
        <w:t xml:space="preserve">Módulo de inducción dictado en dos oportunidades; el alistamiento continúa de manera continua, planificada y coordinada.</w:t>
      </w:r>
    </w:p>
    <w:p>
      <w:pPr>
        <w:pStyle w:val="ListParagraph"/>
        <w:numPr>
          <w:ilvl w:val="0"/>
          <w:numId w:val="3"/>
        </w:numPr>
        <w:spacing w:after="60"/>
      </w:pPr>
      <w:r>
        <w:t xml:space="preserve">Roles y puestos de trabajo definidos: mostrador, caja, ventas, administración, gerencia de ventas, gerencia de servicios, repuestos, almacén y gerencia general.</w:t>
      </w:r>
    </w:p>
    <w:p>
      <w:pPr>
        <w:pStyle w:val="ListParagraph"/>
        <w:numPr>
          <w:ilvl w:val="0"/>
          <w:numId w:val="3"/>
        </w:numPr>
        <w:spacing w:after="60"/>
      </w:pPr>
      <w:r>
        <w:t xml:space="preserve">Flujo operativo explicado de punta a punta: ventas de mostrador (contado y crédito), cobranzas y retenciones en ventas; compras a proveedores, alimentación de inventario y retenciones en compras.</w:t>
      </w:r>
    </w:p>
    <w:p>
      <w:pPr>
        <w:pStyle w:val="ListParagraph"/>
        <w:numPr>
          <w:ilvl w:val="0"/>
          <w:numId w:val="3"/>
        </w:numPr>
        <w:spacing w:after="60"/>
      </w:pPr>
      <w:r>
        <w:t xml:space="preserve">Instalación inicial del módulo de contabilidad con integración al sistema administrativo para la extracción y carga automática de comprobantes de ventas y gastos.</w:t>
      </w:r>
    </w:p>
    <w:p>
      <w:pPr>
        <w:pStyle w:val="Heading2"/>
      </w:pPr>
      <w:r>
        <w:t xml:space="preserve">2.3 Instalación definitiva</w:t>
      </w:r>
    </w:p>
    <w:p>
      <w:pPr>
        <w:spacing w:after="120"/>
      </w:pPr>
      <w:r>
        <w:rPr>
          <w:b/>
          <w:bCs/>
        </w:rPr>
        <w:t xml:space="preserve">Martes 7 de julio de 2026, 9:00 a.m.: </w:t>
      </w:r>
      <w:r>
        <w:t xml:space="preserve">instalación oficial del sistema homologado directamente sobre el servidor definitivo, en el cuarto de servidores, junto con la instalación de las demás estaciones de trabajo si la red lo permite. Concluida la instalación, se continúa con el adiestramiento.</w:t>
      </w:r>
    </w:p>
    <w:p>
      <w:pPr>
        <w:pStyle w:val="Heading2"/>
      </w:pPr>
      <w:r>
        <w:t xml:space="preserve">2.4 Módulo de contabilidad</w:t>
      </w:r>
    </w:p>
    <w:p>
      <w:pPr>
        <w:spacing w:after="120"/>
      </w:pPr>
      <w:r>
        <w:t xml:space="preserve">El módulo de contabilidad </w:t>
      </w:r>
      <w:r>
        <w:rPr>
          <w:b/>
          <w:bCs/>
        </w:rPr>
        <w:t xml:space="preserve">no formaba parte del alcance inicial</w:t>
      </w:r>
      <w:r>
        <w:t xml:space="preserve"> del proyecto. Tras la reunión con la gerencia de la empresa y en vista de su necesidad, se incorporó junto con el módulo de integración con el sistema administrativo, sin que ello detuviera la implementación. Su regularización comercial podrá contemplarse en la próxima renovación de licencia.</w:t>
      </w:r>
    </w:p>
    <w:p>
      <w:pPr>
        <w:spacing w:after="120"/>
      </w:pPr>
      <w:r>
        <w:t xml:space="preserve">El alistamiento con la licenciada de contabilidad queda pendiente de forma deliberada: para un adiestramiento correcto se requiere que existan operaciones registradas en el área administrativa que puedan importarse al módulo contable. Los reportes, resúmenes y libros contables se cubrirán en esa inducción contable.</w:t>
      </w:r>
    </w:p>
    <w:p>
      <w:pPr>
        <w:pStyle w:val="Heading2"/>
      </w:pPr>
      <w:r>
        <w:t xml:space="preserve">2.5 Contabilización de operaciones previas y formatos</w:t>
      </w:r>
    </w:p>
    <w:p>
      <w:pPr>
        <w:pStyle w:val="ListParagraph"/>
        <w:numPr>
          <w:ilvl w:val="0"/>
          <w:numId w:val="3"/>
        </w:numPr>
        <w:spacing w:after="60"/>
      </w:pPr>
      <w:r>
        <w:rPr>
          <w:b/>
          <w:bCs/>
        </w:rPr>
        <w:t xml:space="preserve">Gastos: </w:t>
      </w:r>
      <w:r>
        <w:t xml:space="preserve">pueden registrarse con fechas anteriores a la instalación definitiva.</w:t>
      </w:r>
    </w:p>
    <w:p>
      <w:pPr>
        <w:pStyle w:val="ListParagraph"/>
        <w:numPr>
          <w:ilvl w:val="0"/>
          <w:numId w:val="3"/>
        </w:numPr>
        <w:spacing w:after="60"/>
      </w:pPr>
      <w:r>
        <w:rPr>
          <w:b/>
          <w:bCs/>
        </w:rPr>
        <w:t xml:space="preserve">Ventas: </w:t>
      </w:r>
      <w:r>
        <w:t xml:space="preserve">por su vínculo directo con la parte fiscal (SENIAT), solo pueden registrarse desde la puesta en marcha del sistema homologado en adelante; no se cargan ventas retroactivas.</w:t>
      </w:r>
    </w:p>
    <w:p>
      <w:pPr>
        <w:pStyle w:val="ListParagraph"/>
        <w:numPr>
          <w:ilvl w:val="0"/>
          <w:numId w:val="3"/>
        </w:numPr>
        <w:spacing w:after="60"/>
      </w:pPr>
      <w:r>
        <w:rPr>
          <w:b/>
          <w:bCs/>
        </w:rPr>
        <w:t xml:space="preserve">Adaptación del formato de factura actual y reportes: </w:t>
      </w:r>
      <w:r>
        <w:t xml:space="preserve">depende del ritmo de uso real del sistema — no es posible adecuar un formato o reporte sin operaciones registradas que lo generen. Se irá ajustando a medida que existan ventas y gastos en el sistema.</w:t>
      </w:r>
    </w:p>
    <w:p>
      <w:pPr>
        <w:pStyle w:val="Heading2"/>
      </w:pPr>
      <w:r>
        <w:t xml:space="preserve">2.6 Próximos pasos</w:t>
      </w:r>
    </w:p>
    <w:p>
      <w:pPr>
        <w:pStyle w:val="ListParagraph"/>
        <w:numPr>
          <w:ilvl w:val="0"/>
          <w:numId w:val="2"/>
        </w:numPr>
        <w:spacing w:after="60"/>
      </w:pPr>
      <w:r>
        <w:t xml:space="preserve">Instalación del sistema homologado en el servidor definitivo y estaciones de trabajo (7 de julio, 9:00 a.m.).</w:t>
      </w:r>
    </w:p>
    <w:p>
      <w:pPr>
        <w:pStyle w:val="ListParagraph"/>
        <w:numPr>
          <w:ilvl w:val="0"/>
          <w:numId w:val="2"/>
        </w:numPr>
        <w:spacing w:after="60"/>
      </w:pPr>
      <w:r>
        <w:t xml:space="preserve">Continuación del adiestramiento por puesto de trabajo, siguiendo el flujo operativo normal.</w:t>
      </w:r>
    </w:p>
    <w:p>
      <w:pPr>
        <w:pStyle w:val="ListParagraph"/>
        <w:numPr>
          <w:ilvl w:val="0"/>
          <w:numId w:val="2"/>
        </w:numPr>
        <w:spacing w:after="60"/>
      </w:pPr>
      <w:r>
        <w:t xml:space="preserve">Registro de operaciones reales (ventas y gastos) sobre el sistema homologado.</w:t>
      </w:r>
    </w:p>
    <w:p>
      <w:pPr>
        <w:pStyle w:val="ListParagraph"/>
        <w:numPr>
          <w:ilvl w:val="0"/>
          <w:numId w:val="2"/>
        </w:numPr>
        <w:spacing w:after="60"/>
      </w:pPr>
      <w:r>
        <w:t xml:space="preserve">Inducción contable con la licenciada una vez existan movimientos administrativos que importar.</w:t>
      </w:r>
    </w:p>
    <w:p>
      <w:pPr>
        <w:pStyle w:val="ListParagraph"/>
        <w:numPr>
          <w:ilvl w:val="0"/>
          <w:numId w:val="2"/>
        </w:numPr>
        <w:spacing w:after="60"/>
      </w:pPr>
      <w:r>
        <w:t xml:space="preserve">Adecuación progresiva de formatos y reportes según el uso.</w:t>
      </w:r>
    </w:p>
    <w:p>
      <w:pPr>
        <w:pBdr>
          <w:top w:val="single" w:color="BFBFBF" w:sz="4" w:space="4"/>
        </w:pBdr>
        <w:spacing w:before="300"/>
      </w:pPr>
      <w:r>
        <w:rPr>
          <w:i/>
          <w:iCs/>
          <w:color w:val="666666"/>
          <w:sz w:val="18"/>
          <w:szCs w:val="18"/>
        </w:rPr>
        <w:t xml:space="preserve">Informe elaborado por Castillo IT Systems al 6 de julio de 2026, a partir del estado real de los sistemas, el contrato y sus anexos, y el estatus reportado por el equipo de implementación.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pPr>
    <w:r>
      <w:rPr>
        <w:b/>
        <w:bCs/>
        <w:color w:val="1F4E79"/>
        <w:sz w:val="20"/>
        <w:szCs w:val="20"/>
      </w:rPr>
      <w:t xml:space="preserve">Castillo IT Systems</w:t>
    </w:r>
    <w:r>
      <w:rPr>
        <w:color w:val="666666"/>
        <w:sz w:val="20"/>
        <w:szCs w:val="20"/>
      </w:rPr>
      <w:t xml:space="preserve">	Informe de Avance de Proyectos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D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2026-07-06T13:38:07.675Z</dcterms:created>
  <dcterms:modified xsi:type="dcterms:W3CDTF">2026-07-06T13:38:07.676Z</dcterms:modified>
</cp:coreProperties>
</file>

<file path=docProps/custom.xml><?xml version="1.0" encoding="utf-8"?>
<Properties xmlns="http://schemas.openxmlformats.org/officeDocument/2006/custom-properties" xmlns:vt="http://schemas.openxmlformats.org/officeDocument/2006/docPropsVTypes"/>
</file>