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FDF335">
      <w:pPr>
        <w:spacing w:after="1640"/>
      </w:pPr>
    </w:p>
    <w:p w14:paraId="08CA7C6D">
      <w:pPr>
        <w:spacing w:after="320"/>
        <w:jc w:val="center"/>
      </w:pPr>
      <w:r>
        <w:drawing>
          <wp:inline distT="0" distB="0" distL="114300" distR="114300">
            <wp:extent cx="713105" cy="713105"/>
            <wp:effectExtent l="0" t="0" r="10795" b="10795"/>
            <wp:docPr id="1" name="Picture 1" descr="TapCollect 网页信息采集工具应用图标" title="TapCollect 图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apCollect 网页信息采集工具应用图标" title="TapCollect 图标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713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37BC5">
      <w:pPr>
        <w:spacing w:after="280"/>
        <w:jc w:val="center"/>
      </w:pPr>
      <w:r>
        <w:rPr>
          <w:rFonts w:ascii="Calibri" w:hAnsi="Calibri" w:eastAsia="微软雅黑" w:cs="Calibri"/>
          <w:b/>
          <w:color w:val="087A83"/>
          <w:sz w:val="21"/>
        </w:rPr>
        <w:t>网页信息采集工具</w:t>
      </w:r>
    </w:p>
    <w:p w14:paraId="74A5B542">
      <w:pPr>
        <w:spacing w:after="160"/>
        <w:jc w:val="center"/>
      </w:pPr>
      <w:r>
        <w:rPr>
          <w:rFonts w:ascii="Calibri" w:hAnsi="Calibri" w:eastAsia="微软雅黑" w:cs="Calibri"/>
          <w:b/>
          <w:color w:val="203748"/>
          <w:sz w:val="60"/>
        </w:rPr>
        <w:t>TapCollect</w:t>
      </w:r>
    </w:p>
    <w:p w14:paraId="1990FF7F">
      <w:pPr>
        <w:spacing w:after="100"/>
        <w:jc w:val="center"/>
      </w:pPr>
      <w:r>
        <w:rPr>
          <w:rFonts w:ascii="Calibri" w:hAnsi="Calibri" w:eastAsia="微软雅黑" w:cs="Calibri"/>
          <w:color w:val="075E68"/>
          <w:sz w:val="30"/>
        </w:rPr>
        <w:t>公开网页采集与 XML / 表格输出使用说明</w:t>
      </w:r>
    </w:p>
    <w:p w14:paraId="0A0A2D52">
      <w:pPr>
        <w:spacing w:after="1160"/>
        <w:jc w:val="center"/>
      </w:pPr>
      <w:r>
        <w:rPr>
          <w:rFonts w:ascii="Calibri" w:hAnsi="Calibri" w:eastAsia="微软雅黑" w:cs="Calibri"/>
          <w:color w:val="7A5A00"/>
          <w:sz w:val="21"/>
        </w:rPr>
        <w:t>静态 HTML / 动态渲染 DOM · XML / XLSX / XLS 模板映射 · 多任务运行 · 资源下载</w:t>
      </w:r>
    </w:p>
    <w:p w14:paraId="145AC4DC">
      <w:pPr>
        <w:spacing w:after="80"/>
        <w:jc w:val="center"/>
      </w:pPr>
      <w:r>
        <w:rPr>
          <w:rFonts w:ascii="Calibri" w:hAnsi="Calibri" w:eastAsia="微软雅黑" w:cs="Calibri"/>
          <w:b/>
          <w:color w:val="203748"/>
          <w:sz w:val="23"/>
        </w:rPr>
        <w:t>当前开发版</w:t>
      </w:r>
      <w:r>
        <w:rPr>
          <w:rFonts w:ascii="Calibri" w:hAnsi="Calibri" w:eastAsia="微软雅黑" w:cs="Calibri"/>
          <w:b w:val="0"/>
          <w:color w:val="203748"/>
          <w:sz w:val="23"/>
        </w:rPr>
        <w:t xml:space="preserve">  |  2026 年 8 月 9 日</w:t>
      </w:r>
    </w:p>
    <w:p w14:paraId="5C916D9E">
      <w:pPr>
        <w:pStyle w:val="3"/>
      </w:pPr>
      <w:r>
        <w:t>快速开始</w:t>
      </w:r>
    </w:p>
    <w:p w14:paraId="6F7BA1CB">
      <w:r>
        <w:t>TapCollect 是一个本地桌面工具，用于从公开、可直接访问的网页中提取列表与详情信息，并按用户提供的 XML、XLSX 或 XLS 模板生成文件。配置过程固定为 5 步，支持静态地址分页、点击“下一页”的动态分页和多任务并发运行，建议先测试前 3 条记录，再开始正式采集。</w:t>
      </w:r>
    </w:p>
    <w:p w14:paraId="1EC2D03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适用范围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HTTP/HTTPS GET 可访问的公开页面；静态模式读取原始 HTML，动态模式执行页面脚本并读取最终渲染的 DOM。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20"/>
        <w:gridCol w:w="2160"/>
        <w:gridCol w:w="6480"/>
      </w:tblGrid>
      <w:tr w14:paraId="23E5F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7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2D9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步骤</w:t>
            </w:r>
          </w:p>
        </w:tc>
        <w:tc>
          <w:tcPr>
            <w:tcW w:w="2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B472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界面</w:t>
            </w:r>
          </w:p>
        </w:tc>
        <w:tc>
          <w:tcPr>
            <w:tcW w:w="64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836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完成目标</w:t>
            </w:r>
          </w:p>
        </w:tc>
      </w:tr>
      <w:tr w14:paraId="1895A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AA1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1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A9EF4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基本信息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F97D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填写任务名称和列表页面 URL。</w:t>
            </w:r>
          </w:p>
        </w:tc>
      </w:tr>
      <w:tr w14:paraId="3B880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7F7E0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2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F3AA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列表与分页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654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选中列表项容器，配置固定 URL 模板或动态下一页。</w:t>
            </w:r>
          </w:p>
        </w:tc>
      </w:tr>
      <w:tr w14:paraId="7B5B8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BF98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3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8780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详情页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5C40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决定是否进入详情，并配置详情链接。</w:t>
            </w:r>
          </w:p>
        </w:tc>
      </w:tr>
      <w:tr w14:paraId="64CD1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F049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4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70B5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模板映射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0093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导入 XML、XLSX 或 XLS 模板，逐字段配置来源。</w:t>
            </w:r>
          </w:p>
        </w:tc>
      </w:tr>
      <w:tr w14:paraId="0C7B5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DC75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5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4336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输出与测试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8FF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设置资源处理、输出分批和网络参数，执行测试。</w:t>
            </w:r>
          </w:p>
        </w:tc>
      </w:tr>
    </w:tbl>
    <w:p w14:paraId="376EEFF8">
      <w:pPr>
        <w:spacing w:after="40"/>
      </w:pPr>
    </w:p>
    <w:p w14:paraId="50197506">
      <w:pPr>
        <w:pStyle w:val="4"/>
      </w:pPr>
      <w:r>
        <w:t>开始前准备</w:t>
      </w:r>
    </w:p>
    <w:p w14:paraId="41912209">
      <w:pPr>
        <w:pStyle w:val="166"/>
      </w:pPr>
      <w:r>
        <w:t>目标列表页地址；动态分页还应确认“下一页”按钮，进入详情时应确认列表项中的详情链接位置。</w:t>
      </w:r>
    </w:p>
    <w:p w14:paraId="7583FC46">
      <w:pPr>
        <w:pStyle w:val="166"/>
      </w:pPr>
      <w:r>
        <w:t>一份完整的 XML、XLSX 或 XLS 模板。XML 需要明确单条记录节点；表格模板第一个工作表第 1 行作为输出字段。</w:t>
      </w:r>
    </w:p>
    <w:p w14:paraId="099E68D9">
      <w:pPr>
        <w:pStyle w:val="166"/>
      </w:pPr>
      <w:r>
        <w:t>准备好输出目录；任务名称会直接作为最终输出子目录名称。</w:t>
      </w:r>
    </w:p>
    <w:p w14:paraId="536E4593">
      <w:pPr>
        <w:pStyle w:val="166"/>
      </w:pPr>
      <w:r>
        <w:t>如需处理图片、视频、音频或附件，提前确定仅改写地址还是下载资源，并准备本地目录与 XML 访问前缀。</w:t>
      </w:r>
    </w:p>
    <w:p w14:paraId="2CBCDD0B">
      <w:pPr>
        <w:keepLines/>
        <w:pBdr>
          <w:left w:val="single" w:color="7A5A00" w:sz="20" w:space="8"/>
        </w:pBdr>
        <w:shd w:val="clear" w:fill="FFF8E8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当前边界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不提供登录、验证码、POST、代理、原始 JSON/JSONPath 直连、定时任务、托盘后台或自动更新。</w:t>
      </w:r>
    </w:p>
    <w:p w14:paraId="4C8926CC">
      <w:pPr>
        <w:pStyle w:val="3"/>
      </w:pPr>
      <w:r>
        <w:t>1 安装与</w:t>
      </w:r>
      <w:bookmarkStart w:id="0" w:name="_GoBack"/>
      <w:r>
        <w:t>启</w:t>
      </w:r>
      <w:bookmarkEnd w:id="0"/>
      <w:r>
        <w:t>动</w:t>
      </w:r>
    </w:p>
    <w:p w14:paraId="0EE6B6C4">
      <w:r>
        <w:rPr>
          <w:rFonts w:ascii="Calibri" w:hAnsi="Calibri" w:eastAsia="微软雅黑" w:cs="Calibri"/>
          <w:color w:val="333A40"/>
          <w:sz w:val="22"/>
        </w:rPr>
        <w:t>根据系统选择对应安装包。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600"/>
        <w:gridCol w:w="1900"/>
        <w:gridCol w:w="5860"/>
      </w:tblGrid>
      <w:tr w14:paraId="058FC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DA38F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系统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9C9B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安装包</w:t>
            </w:r>
          </w:p>
        </w:tc>
        <w:tc>
          <w:tcPr>
            <w:tcW w:w="5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FFF20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说明</w:t>
            </w:r>
          </w:p>
        </w:tc>
      </w:tr>
      <w:tr w14:paraId="16C09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E4C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Windows x64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CEFC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.exe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8E4B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运行安装器，可选择安装目录，并创建桌面/开始菜单快捷方式。</w:t>
            </w:r>
          </w:p>
        </w:tc>
      </w:tr>
      <w:tr w14:paraId="440B3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1BBE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UOS / Linux ARM64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EA2F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.deb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3EB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仅适用于 ARM64 架构，建议在目标 UOS 设备上安装验证。</w:t>
            </w:r>
          </w:p>
        </w:tc>
      </w:tr>
      <w:tr w14:paraId="2F800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57A6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Intel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1F56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3F5E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Intel 芯片；当前安装包未签名、未公证。</w:t>
            </w:r>
          </w:p>
        </w:tc>
      </w:tr>
      <w:tr w14:paraId="54B64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D0BE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Apple Silicon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D3E8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0EA8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M 系列芯片；首次打开可能出现未认证开发者提示。</w:t>
            </w:r>
          </w:p>
        </w:tc>
      </w:tr>
    </w:tbl>
    <w:p w14:paraId="0C3585A5">
      <w:pPr>
        <w:spacing w:after="40"/>
      </w:pPr>
    </w:p>
    <w:p w14:paraId="3B5F0D4F">
      <w:pPr>
        <w:pStyle w:val="4"/>
      </w:pPr>
      <w:r>
        <w:t>安装步骤</w:t>
      </w:r>
    </w:p>
    <w:p w14:paraId="3087C0F2">
      <w:pPr>
        <w:pStyle w:val="167"/>
        <w:numPr>
          <w:ilvl w:val="0"/>
          <w:numId w:val="8"/>
        </w:numPr>
      </w:pPr>
      <w:r>
        <w:t>下载与操作系统、CPU 架构匹配的安装包。</w:t>
      </w:r>
    </w:p>
    <w:p w14:paraId="236B150D">
      <w:pPr>
        <w:pStyle w:val="167"/>
        <w:numPr>
          <w:ilvl w:val="0"/>
          <w:numId w:val="8"/>
        </w:numPr>
      </w:pPr>
      <w:r>
        <w:t>按系统提示安装或解压，并启动 TapCollect。</w:t>
      </w:r>
    </w:p>
    <w:p w14:paraId="69007E34">
      <w:pPr>
        <w:pStyle w:val="167"/>
        <w:numPr>
          <w:ilvl w:val="0"/>
          <w:numId w:val="8"/>
        </w:numPr>
      </w:pPr>
      <w:r>
        <w:t>首次进入后点击“新建采集任务”，开始配置。</w:t>
      </w:r>
    </w:p>
    <w:p w14:paraId="6097F095">
      <w:pPr>
        <w:pStyle w:val="4"/>
      </w:pPr>
      <w:r>
        <w:t>从源码启动（开发预览）</w:t>
      </w:r>
    </w:p>
    <w:p w14:paraId="78A7FBF0">
      <w:r>
        <w:t>需要在本地验证当前源码时，在项目目录执行：</w:t>
      </w:r>
    </w:p>
    <w:p w14:paraId="017C700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npm install</w:t>
        <w:br/>
        <w:t>npm run dev</w:t>
        <w:br/>
        <w:t># 开发页面：http://localhost:5677/</w:t>
      </w:r>
    </w:p>
    <w:p w14:paraId="5B4DBE5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本地数据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开发环境写入项目根目录 data/；正式应用写入应用同级 data/。数据只保存在本机，不会自动上传。</w:t>
      </w:r>
    </w:p>
    <w:p w14:paraId="75218257">
      <w:pPr>
        <w:pStyle w:val="3"/>
      </w:pPr>
      <w:r>
        <w:t>2 界面总览与基本信息</w:t>
      </w:r>
    </w:p>
    <w:p w14:paraId="3C452BFE">
      <w:r>
        <w:t>主窗口由任务栏、配置区和网页预览区组成。左右分隔条可用鼠标拖动调整宽度，也可点击箭头折叠；运行日志区域同样可以上下拖动调整高度。</w:t>
      </w:r>
    </w:p>
    <w:p w14:paraId="62056AD0">
      <w:pPr>
        <w:pStyle w:val="4"/>
      </w:pPr>
      <w:r>
        <w:t>填写基本信息</w:t>
      </w:r>
    </w:p>
    <w:p w14:paraId="05D9DA29">
      <w:pPr>
        <w:pStyle w:val="167"/>
        <w:numPr>
          <w:ilvl w:val="0"/>
          <w:numId w:val="9"/>
        </w:numPr>
      </w:pPr>
      <w:r>
        <w:t>填写任务名称。该名称会成为输出子目录名，也是 XML 文件名前缀。</w:t>
      </w:r>
    </w:p>
    <w:p w14:paraId="7E7843CB">
      <w:pPr>
        <w:pStyle w:val="167"/>
        <w:numPr>
          <w:ilvl w:val="0"/>
          <w:numId w:val="9"/>
        </w:numPr>
      </w:pPr>
      <w:r>
        <w:t>在“列表页面 URL”多行框中每行填写一个地址。静态模式可填写多条固定地址和最多一条 {page} 模板；动态模式只填写一个初始 URL。</w:t>
      </w:r>
    </w:p>
    <w:p w14:paraId="56B3E170">
      <w:pPr>
        <w:pStyle w:val="167"/>
        <w:numPr>
          <w:ilvl w:val="0"/>
          <w:numId w:val="9"/>
        </w:numPr>
      </w:pPr>
      <w:r>
        <w:t>点击“打开预览”或右侧“前往”，确认页面可以加载。</w:t>
      </w:r>
    </w:p>
    <w:p w14:paraId="69A3F57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https://www.example.com/ggl/node_101571.htm</w:t>
        <w:br/>
        <w:t>https://www.example.com/ggl/node_101571_{page}.htm</w:t>
      </w:r>
    </w:p>
    <w:p w14:paraId="6C6F1B7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任务名称  </w:t>
      </w:r>
      <w:r>
        <w:rPr>
          <w:rFonts w:ascii="Calibri" w:hAnsi="Calibri" w:eastAsia="微软雅黑" w:cs="Calibri"/>
          <w:color w:val="333A40"/>
          <w:sz w:val="21"/>
        </w:rPr>
        <w:t>例如任务名为“政务新闻”，结果会写入“输出根目录/政务新闻/”。</w:t>
      </w:r>
    </w:p>
    <w:p w14:paraId="72775B4F">
      <w:pPr>
        <w:pStyle w:val="4"/>
      </w:pPr>
      <w:r>
        <w:t>界面分区说明</w:t>
      </w:r>
    </w:p>
    <w:p w14:paraId="759BE146">
      <w:pPr>
        <w:pStyle w:val="166"/>
      </w:pPr>
      <w:r>
        <w:t>左侧任务栏：新建、复制、运行和删除任务，通过任务管理菜单导入/导出配置，并进入运行中心查看多个任务。</w:t>
      </w:r>
    </w:p>
    <w:p w14:paraId="48AC7ECE">
      <w:pPr>
        <w:pStyle w:val="166"/>
      </w:pPr>
      <w:r>
        <w:t>中间配置区：按 5 步完成任务配置，可保存草稿、执行测试或运行当前任务。</w:t>
      </w:r>
    </w:p>
    <w:p w14:paraId="1FAE1793">
      <w:pPr>
        <w:pStyle w:val="166"/>
      </w:pPr>
      <w:r>
        <w:t>右侧网页预览：打开目标页面，辅助点选和验证 CSS/XPath 选择器。</w:t>
      </w:r>
    </w:p>
    <w:p w14:paraId="5FF5C0F9"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89320" cy="3393948"/>
            <wp:docPr id="12" name="Picture 12" descr="任务管理配置导入导出菜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basi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39394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56811E7">
      <w:pPr>
        <w:pStyle w:val="15"/>
        <w:keepNext w:val="0"/>
        <w:keepLines/>
      </w:pPr>
      <w:r>
        <w:t>图 1  基本信息、任务列表与配置导入导出菜单</w:t>
      </w:r>
    </w:p>
    <w:p>
      <w:pPr>
        <w:pStyle w:val="4"/>
      </w:pPr>
      <w:r>
        <w:t>导入与导出任务配置</w:t>
      </w:r>
    </w:p>
    <w:p>
      <w:pPr/>
      <w:r>
        <w:t>在“任务管理”标题右侧点击省略号，可打开任务配置工具菜单；侧栏折叠时，将鼠标移到“任务管理”图标上也能访问相同入口。</w:t>
      </w:r>
    </w:p>
    <w:p>
      <w:pPr>
        <w:pStyle w:val="166"/>
      </w:pPr>
      <w:r>
        <w:t>导出全部任务配置：把当前所有已保存任务写入一个可读的 JSON 文件。</w:t>
      </w:r>
    </w:p>
    <w:p>
      <w:pPr>
        <w:pStyle w:val="166"/>
      </w:pPr>
      <w:r>
        <w:t>导出前会提示 Cookie、Authorization 等请求头可能包含敏感信息；请勿公开上传未检查的配置包。</w:t>
      </w:r>
    </w:p>
    <w:p>
      <w:pPr>
        <w:pStyle w:val="166"/>
      </w:pPr>
      <w:r>
        <w:t>导入任务配置：可在导出文件的 tasks 数组中复制、修改或新增任务对象，再一次性导入。合法任务会创建，错误项目会按序号和原因跳过。</w:t>
      </w:r>
    </w:p>
    <w:p>
      <w:pPr>
        <w:pStyle w:val="166"/>
      </w:pPr>
      <w:r>
        <w:t>每个导入成功的任务都会生成新的 ID 和时间，不会覆盖已有任务；XML、XLSX/XLS 模板、映射、请求设置、资源规则和目录配置会一并保留。</w:t>
      </w:r>
    </w:p>
    <w:p>
      <w:pPr>
        <w:pStyle w:val="166"/>
      </w:pPr>
      <w:r>
        <w:t>配置包不包含运行中心记录、检查点、日志、已下载资源或采集输出。</w:t>
      </w:r>
    </w:p>
    <w:p w14:paraId="79A2B80D">
      <w:pPr>
        <w:pStyle w:val="3"/>
      </w:pPr>
      <w:r>
        <w:t>3 配置列表与分页</w:t>
      </w:r>
    </w:p>
    <w:p w14:paraId="6D932326">
      <w:r>
        <w:t>先选择一条完整列表记录作为“列表项容器”。后续列表字段选择器都相对于这个容器执行，可避免始终只命中页面第一列或第一条记录。分页可选择固定 URL / 数字页码模板，或点击“下一页”的动态渲染模式。</w:t>
      </w:r>
    </w:p>
    <w:p w14:paraId="6BD0D549"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4709160" cy="5045529"/>
            <wp:docPr id="13" name="Picture 13" descr="固定 URL 数字分页与点击下一页动态分页对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agination-mod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504552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FC0E41F">
      <w:pPr>
        <w:pStyle w:val="15"/>
        <w:keepNext w:val="0"/>
        <w:keepLines/>
      </w:pPr>
      <w:r>
        <w:t>图 2  静态数字分页与动态点击分页</w:t>
      </w:r>
    </w:p>
    <w:p w14:paraId="00C1CA89">
      <w:pPr>
        <w:pStyle w:val="167"/>
        <w:numPr>
          <w:ilvl w:val="0"/>
          <w:numId w:val="10"/>
        </w:numPr>
      </w:pPr>
      <w:r>
        <w:t>在预览中点击一条完整记录外层区域，或手动输入列表项 CSS/XPath。</w:t>
      </w:r>
    </w:p>
    <w:p w14:paraId="5161B5B8">
      <w:pPr>
        <w:pStyle w:val="167"/>
        <w:numPr>
          <w:ilvl w:val="0"/>
          <w:numId w:val="10"/>
        </w:numPr>
      </w:pPr>
      <w:r>
        <w:t>点击放大镜验证匹配数量；数量应接近当前页实际记录数。</w:t>
      </w:r>
    </w:p>
    <w:p w14:paraId="4F8B7883">
      <w:pPr>
        <w:pStyle w:val="167"/>
        <w:numPr>
          <w:ilvl w:val="0"/>
          <w:numId w:val="10"/>
        </w:numPr>
      </w:pPr>
      <w:r>
        <w:t>配置 {page} 参数或下一页按钮，并设置最大采集页数。</w:t>
      </w:r>
    </w:p>
    <w:p w14:paraId="106055F0">
      <w:pPr>
        <w:pStyle w:val="4"/>
        <w:pageBreakBefore/>
      </w:pPr>
      <w:r>
        <w:t>列表 URL 与分页规则</w:t>
      </w:r>
    </w:p>
    <w:p w14:paraId="72BA8487">
      <w:r>
        <w:t>静态模式可以填写多条固定地址，并混合一条数字分页模板。程序按输入顺序采集：固定地址各请求一次，模板再按起始值和步长生成后续地址。</w:t>
      </w:r>
    </w:p>
    <w:p w14:paraId="007A4E50">
      <w:pPr>
        <w:pStyle w:val="5"/>
      </w:pPr>
      <w:r>
        <w:t>只有一页</w:t>
      </w:r>
    </w:p>
    <w:p w14:paraId="270D290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https://www.example.com/notice/index.html</w:t>
      </w:r>
    </w:p>
    <w:p w14:paraId="3F2C71D6">
      <w:r>
        <w:t>不填写 {page} 模板，固定地址只采集一次。</w:t>
      </w:r>
    </w:p>
    <w:p w14:paraId="49FF3169">
      <w:pPr>
        <w:pStyle w:val="5"/>
      </w:pPr>
      <w:r>
        <w:t>第一页地址特殊，第二页开始递增</w:t>
      </w:r>
    </w:p>
    <w:p w14:paraId="77E09D1E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https://www.example.com/notice/node_101571_{page}.htm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起始值：2    变化步长：1</w:t>
      </w:r>
    </w:p>
    <w:p w14:paraId="386C0A3D">
      <w:r>
        <w:t>采集顺序为固定第一页，然后生成第 2、3、4……页。</w:t>
      </w:r>
    </w:p>
    <w:p w14:paraId="16D00F6B">
      <w:pPr>
        <w:pStyle w:val="5"/>
      </w:pPr>
      <w:r>
        <w:t>分页递减或跨值变化</w:t>
      </w:r>
    </w:p>
    <w:p w14:paraId="74CAD236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https://www.example.com/archive/list_{page}.html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起始值：100    变化步长：-1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也可以设置为 -2、-10、2 或 10。</w:t>
      </w:r>
    </w:p>
    <w:p w14:paraId="07738D76">
      <w:pPr>
        <w:keepLines/>
        <w:pBdr>
          <w:left w:val="single" w:color="7A5A00" w:sz="20" w:space="8"/>
        </w:pBdr>
        <w:shd w:val="clear" w:fill="FFF8E8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必须设置模板最大采集页数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它只限制 {page} 模板生成的页数，用于防止错误规则或异常页面导致持续采集。</w:t>
      </w:r>
    </w:p>
    <w:p w14:paraId="5809D643">
      <w:r>
        <w:t>静态模板和动态点击分页遇到以下情况会自动结束：</w:t>
      </w:r>
    </w:p>
    <w:p w14:paraId="5B074151">
      <w:pPr>
        <w:pStyle w:val="166"/>
      </w:pPr>
      <w:r>
        <w:t>当前页找不到列表项，或渲染后仍没有有效记录。</w:t>
      </w:r>
    </w:p>
    <w:p w14:paraId="45587E96">
      <w:pPr>
        <w:pStyle w:val="166"/>
      </w:pPr>
      <w:r>
        <w:t>生成的 URL 与已访问地址重复，或点击后列表内容没有变化、整页记录重复。</w:t>
      </w:r>
    </w:p>
    <w:p w14:paraId="31CC2561">
      <w:pPr>
        <w:pStyle w:val="166"/>
      </w:pPr>
      <w:r>
        <w:t>静态页返回 404/410；动态页的下一页按钮缺失、禁用或无法触发新内容。</w:t>
      </w:r>
    </w:p>
    <w:p w14:paraId="36706EA6">
      <w:pPr>
        <w:pStyle w:val="166"/>
      </w:pPr>
      <w:r>
        <w:t>已达到对应模式的“最大采集页数”。</w:t>
      </w:r>
    </w:p>
    <w:p w14:paraId="4DD1D12D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动态点击分页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同一任务只允许一个初始 URL 和一个“下一页”选择器。工具等待列表 DOM 发生变化后再采集下一页；页面内部接口可返回 HTML、JSON 数组或 JSON 对象，但工具只读取最终 DOM，不提供原始 JSON 映射、JSONPath 或接口 POST 配置。</w:t>
      </w:r>
    </w:p>
    <w:p w14:paraId="20333A71">
      <w:pPr>
        <w:pStyle w:val="3"/>
      </w:pPr>
      <w:r>
        <w:t>4 配置详情页和点选</w:t>
      </w:r>
    </w:p>
    <w:p w14:paraId="558AA7F5">
      <w:r>
        <w:t>如果列表页已经包含全部字段，可关闭详情采集。启用后，需要选择列表项内的详情链接，并从 href 属性得到地址。</w:t>
      </w:r>
    </w:p>
    <w:p w14:paraId="53065654"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97880" cy="4436855"/>
            <wp:docPr id="14" name="Picture 14" descr="详情页采集、详情链接和完整 hostname 判断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tai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43685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F88530F">
      <w:pPr>
        <w:pStyle w:val="15"/>
        <w:keepNext w:val="0"/>
        <w:keepLines/>
      </w:pPr>
      <w:r>
        <w:t>图 3  详情页开关、详情链接和站内判断</w:t>
      </w:r>
    </w:p>
    <w:p w14:paraId="4476A316">
      <w:pPr>
        <w:pStyle w:val="167"/>
        <w:numPr>
          <w:ilvl w:val="0"/>
          <w:numId w:val="11"/>
        </w:numPr>
      </w:pPr>
      <w:r>
        <w:t>开启“详情页采集”。</w:t>
      </w:r>
    </w:p>
    <w:p w14:paraId="1BA01A1C">
      <w:pPr>
        <w:pStyle w:val="167"/>
        <w:numPr>
          <w:ilvl w:val="0"/>
          <w:numId w:val="11"/>
        </w:numPr>
      </w:pPr>
      <w:r>
        <w:t>在一条列表记录中选择标题链接，或输入相对于列表项的选择器。</w:t>
      </w:r>
    </w:p>
    <w:p w14:paraId="578C24E6">
      <w:pPr>
        <w:pStyle w:val="167"/>
        <w:numPr>
          <w:ilvl w:val="0"/>
          <w:numId w:val="11"/>
        </w:numPr>
      </w:pPr>
      <w:r>
        <w:t>通常将提取属性设置为 href，再打开第一条有效详情检查。</w:t>
      </w:r>
    </w:p>
    <w:p w14:paraId="303BEBA1">
      <w:pPr>
        <w:pStyle w:val="4"/>
        <w:pageBreakBefore/>
      </w:pPr>
      <w:r>
        <w:t>点选与选择器验证</w:t>
      </w:r>
    </w:p>
    <w:p w14:paraId="2342BBCE"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89320" cy="3402757"/>
            <wp:docPr id="15" name="Picture 15" descr="网页预览中点选完整列表项容器的示意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review-pick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40275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A3237FB">
      <w:pPr>
        <w:pStyle w:val="15"/>
        <w:keepNext w:val="0"/>
        <w:keepLines/>
      </w:pPr>
      <w:r>
        <w:t>图 4  网页预览中的列表项点选示意</w:t>
      </w:r>
    </w:p>
    <w:p w14:paraId="37AFF457">
      <w:pPr>
        <w:pStyle w:val="166"/>
      </w:pPr>
      <w:r>
        <w:t>先选列表项外层容器，再为标题、日期、图片等字段选择容器内的相对位置。</w:t>
      </w:r>
    </w:p>
    <w:p w14:paraId="385C8F33">
      <w:pPr>
        <w:pStyle w:val="166"/>
      </w:pPr>
      <w:r>
        <w:t>验证结果应能识别同一列中的多条记录；若只命中第一条，应检查是否选到了页面级元素。</w:t>
      </w:r>
    </w:p>
    <w:p w14:paraId="46ED586C">
      <w:pPr>
        <w:pStyle w:val="166"/>
      </w:pPr>
      <w:r>
        <w:t>点选生成的选择器仍可手工修改，并再次验证数量。</w:t>
      </w:r>
    </w:p>
    <w:p w14:paraId="268B7B3C">
      <w:pPr>
        <w:pStyle w:val="4"/>
        <w:pageBreakBefore/>
      </w:pPr>
      <w:r>
        <w:t>站内与外链处理</w:t>
      </w:r>
    </w:p>
    <w:p w14:paraId="3C725F58">
      <w:r>
        <w:t>站内判断使用完整 URL.hostname。只有 hostname 完全相同才视为站内，例如 www.example.com 与 example.com 仍是不同 hostname；协议、端口和路径不参与判断。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00"/>
        <w:gridCol w:w="3000"/>
        <w:gridCol w:w="3360"/>
      </w:tblGrid>
      <w:tr w14:paraId="6854E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BF46C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列表页 hostname</w:t>
            </w:r>
          </w:p>
        </w:tc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AAD5B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详情 hostname</w:t>
            </w:r>
          </w:p>
        </w:tc>
        <w:tc>
          <w:tcPr>
            <w:tcW w:w="3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2617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判断</w:t>
            </w:r>
          </w:p>
        </w:tc>
      </w:tr>
      <w:tr w14:paraId="4C801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9C0E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3E98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55CC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站内，允许采集详情。</w:t>
            </w:r>
          </w:p>
        </w:tc>
      </w:tr>
      <w:tr w14:paraId="0EF25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FDCF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C869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2FA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  <w:tr w14:paraId="7C0DA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70E4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32322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news.example.com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B949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</w:tbl>
    <w:p w14:paraId="0FA0CE47">
      <w:pPr>
        <w:spacing w:after="40"/>
      </w:pPr>
    </w:p>
    <w:p w14:paraId="26DFE307">
      <w:pPr>
        <w:pStyle w:val="5"/>
      </w:pPr>
      <w:r>
        <w:t>外链输出方式</w:t>
      </w:r>
    </w:p>
    <w:p w14:paraId="58B184F6">
      <w:pPr>
        <w:pStyle w:val="167"/>
        <w:numPr>
          <w:ilvl w:val="0"/>
          <w:numId w:val="12"/>
        </w:numPr>
      </w:pPr>
      <w:r>
        <w:t>在 XML 字段映射中选择“外链 URL”来源。</w:t>
      </w:r>
    </w:p>
    <w:p w14:paraId="12240327">
      <w:pPr>
        <w:pStyle w:val="167"/>
        <w:numPr>
          <w:ilvl w:val="0"/>
          <w:numId w:val="12"/>
        </w:numPr>
      </w:pPr>
      <w:r>
        <w:t>把列表中的原链接写入模板现有的链接字段，不访问外部详情页。</w:t>
      </w:r>
    </w:p>
    <w:p w14:paraId="53A18867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没有链接字段时  </w:t>
      </w:r>
      <w:r>
        <w:rPr>
          <w:rFonts w:ascii="Calibri" w:hAnsi="Calibri" w:eastAsia="微软雅黑" w:cs="Calibri"/>
          <w:color w:val="333A40"/>
          <w:sz w:val="21"/>
        </w:rPr>
        <w:t>不必为站内链接额外增加 XML 字段；只映射模板实际存在、确实需要输出的字段。</w:t>
      </w:r>
    </w:p>
    <w:p w14:paraId="6E6903A8">
      <w:pPr>
        <w:pStyle w:val="3"/>
      </w:pPr>
      <w:r>
        <w:t>5 导入 XML 或表格模板并配置输出字段</w:t>
      </w:r>
    </w:p>
    <w:p w14:paraId="5871A080">
      <w:r>
        <w:t>模板字段不会按 title、text 等名称自动猜测。XML 模式需要确认单条记录节点；表格模式读取第一个工作表的表头。两种格式都必须逐字段明确处理方式。</w:t>
      </w:r>
    </w:p>
    <w:p w14:paraId="3089F21C"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66360" cy="4867750"/>
            <wp:docPr id="16" name="Picture 16" descr="XML 模板树与字段映射总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xml-overview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8677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82502A4">
      <w:pPr>
        <w:pStyle w:val="15"/>
        <w:keepNext w:val="0"/>
        <w:keepLines/>
      </w:pPr>
      <w:r>
        <w:t>图 5  模板树与字段映射总览（图示为 XML）</w:t>
      </w:r>
    </w:p>
    <w:p w14:paraId="2557C311">
      <w:pPr>
        <w:pStyle w:val="167"/>
        <w:numPr>
          <w:ilvl w:val="0"/>
          <w:numId w:val="13"/>
        </w:numPr>
      </w:pPr>
      <w:r>
        <w:t>选择输出格式并导入完整模板。XML 会保留编码和 CDATA；XLSX/XLS 会保留原工作簿并读取第一个工作表。</w:t>
      </w:r>
    </w:p>
    <w:p w14:paraId="32784FF7">
      <w:pPr>
        <w:pStyle w:val="167"/>
        <w:numPr>
          <w:ilvl w:val="0"/>
          <w:numId w:val="13"/>
        </w:numPr>
      </w:pPr>
      <w:r>
        <w:t>XML 模式在模板树中选择单条示例记录节点，例如 /book/article；表格模式以第 1 行非空表头作为字段，重复表头按列字母区分。</w:t>
      </w:r>
    </w:p>
    <w:p w14:paraId="7D76D10D">
      <w:pPr>
        <w:pStyle w:val="167"/>
        <w:numPr>
          <w:ilvl w:val="0"/>
          <w:numId w:val="13"/>
        </w:numPr>
      </w:pPr>
      <w:r>
        <w:t>逐个展开当前模板字段，选择页面采集、合并值、外链 URL、固定值、系统值、保留示例值或输出为空。XML 会复制记录节点；表格从第 2 行开始写入字符串，并保留其他工作表和可兼容的原有结构。</w:t>
      </w:r>
    </w:p>
    <w:p w14:paraId="3D96875E">
      <w:pPr>
        <w:pStyle w:val="3"/>
        <w:pageBreakBefore w:val="0"/>
      </w:pPr>
      <w:r>
        <w:t>6 配置字段映射和合并值</w:t>
      </w:r>
    </w:p>
    <w:p w14:paraId="2E4EAFE9">
      <w:r>
        <w:t>字段编辑器用于决定数据来自列表页还是详情页、使用 CSS 还是 XPath、提取文本还是 HTML，以及多个命中值如何处理。</w:t>
      </w:r>
    </w:p>
    <w:p w14:paraId="0D0CDBD4"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4983480" cy="5267574"/>
            <wp:docPr id="17" name="Picture 17" descr="合并值字段处理方式和子值编辑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field-mer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526757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C7ADAE4">
      <w:pPr>
        <w:pStyle w:val="15"/>
        <w:keepNext w:val="0"/>
        <w:keepLines/>
      </w:pPr>
      <w:r>
        <w:t>图 6  字段映射与合并值编辑器</w:t>
      </w:r>
    </w:p>
    <w:p w14:paraId="3B8B7B9B">
      <w:pPr>
        <w:pStyle w:val="4"/>
        <w:pageBreakBefore/>
      </w:pPr>
      <w:r>
        <w:t>常用字段处理方式</w:t>
      </w:r>
    </w:p>
    <w:p w14:paraId="278A4995">
      <w:pPr>
        <w:pStyle w:val="166"/>
      </w:pPr>
      <w:r>
        <w:t>页面采集：从列表页或详情页按 CSS/XPath 读取文本、innerHTML 或指定属性。</w:t>
      </w:r>
    </w:p>
    <w:p w14:paraId="51347C8A">
      <w:pPr>
        <w:pStyle w:val="166"/>
      </w:pPr>
      <w:r>
        <w:t>外链 URL：详情链接为外链时直接输出原地址，不请求外部详情。</w:t>
      </w:r>
    </w:p>
    <w:p w14:paraId="35D1C167">
      <w:pPr>
        <w:pStyle w:val="166"/>
      </w:pPr>
      <w:r>
        <w:t>固定值：所有记录写入同一个常量。</w:t>
      </w:r>
    </w:p>
    <w:p w14:paraId="609F7659">
      <w:pPr>
        <w:pStyle w:val="166"/>
      </w:pPr>
      <w:r>
        <w:t>系统值：写入采集时间等工具提供的值。</w:t>
      </w:r>
    </w:p>
    <w:p w14:paraId="17466137">
      <w:pPr>
        <w:pStyle w:val="166"/>
      </w:pPr>
      <w:r>
        <w:t>保留示例值 / 输出为空：沿用模板示例，或明确生成空内容。</w:t>
      </w:r>
    </w:p>
    <w:p w14:paraId="5D3E69FE">
      <w:pPr>
        <w:pStyle w:val="4"/>
      </w:pPr>
      <w:r>
        <w:t>多元素与合并值</w:t>
      </w:r>
    </w:p>
    <w:p w14:paraId="48FD67DC">
      <w:r>
        <w:t>同一选择器命中多个元素时，可以只取第一个，也可以按配置顺序合并。使用“合并值”时，可添加多个页面采集、固定值、系统值或外链 URL 来源，并设置连接符；空子值会自动忽略，不产生多余分隔符。</w:t>
      </w:r>
    </w:p>
    <w:p w14:paraId="35AA9CA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来源 1：栏目名称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来源 2：新闻标题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连接符： - 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输出：通知公告 - 关于开展示例活动的通知</w:t>
      </w:r>
    </w:p>
    <w:p w14:paraId="27C6E8D7">
      <w:pPr>
        <w:pStyle w:val="4"/>
      </w:pPr>
      <w:r>
        <w:t>把附件保留在 text 正文或表格 HTML 字段中</w:t>
      </w:r>
    </w:p>
    <w:p w14:paraId="4EAC64E7">
      <w:pPr>
        <w:pStyle w:val="167"/>
        <w:numPr>
          <w:ilvl w:val="0"/>
          <w:numId w:val="14"/>
        </w:numPr>
      </w:pPr>
      <w:r>
        <w:t>将 text 字段来源设置为详情页正文容器。</w:t>
      </w:r>
    </w:p>
    <w:p w14:paraId="0DA57C87">
      <w:pPr>
        <w:pStyle w:val="167"/>
        <w:numPr>
          <w:ilvl w:val="0"/>
          <w:numId w:val="14"/>
        </w:numPr>
      </w:pPr>
      <w:r>
        <w:t>提取内容选择 innerHTML，使正文中的 a 标签和附件链接一并保留。</w:t>
      </w:r>
    </w:p>
    <w:p w14:paraId="41CC4AC9">
      <w:pPr>
        <w:pStyle w:val="167"/>
        <w:numPr>
          <w:ilvl w:val="0"/>
          <w:numId w:val="14"/>
        </w:numPr>
      </w:pPr>
      <w:r>
        <w:t>在输出设置中选择“绝对地址 + 替换规则”或“自定义前缀 + 原路径”；如需保存附件文件，再开启资源下载并配置目录与 XML 前缀。</w:t>
      </w:r>
    </w:p>
    <w:p w14:paraId="5D20B2C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附件规则  附件仍作为链接保留在 text 正文 HTML 或映射后的表格字符串中；开启下载后，站内附件会下载并改写链接，站外附件保持原地址。</w:t>
      </w:r>
    </w:p>
    <w:p w14:paraId="611AFC29">
      <w:pPr>
        <w:pStyle w:val="3"/>
      </w:pPr>
      <w:r>
        <w:t>7 输出、资源处理与下载</w:t>
      </w:r>
    </w:p>
    <w:p w14:paraId="76818AA0">
      <w:r>
        <w:t>最后一步集中设置正文清理、资源地址处理或下载、所选格式分批、覆盖策略和网络参数。资源下载只处理最终输出实际引用的站内资源。</w:t>
      </w:r>
    </w:p>
    <w:p w14:paraId="3B50D207"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5243682"/>
            <wp:docPr id="18" name="Picture 18" descr="资源下载、XML 输出和请求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output-resourc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524368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B32A0A5">
      <w:pPr>
        <w:pStyle w:val="15"/>
        <w:keepNext w:val="0"/>
        <w:keepLines/>
      </w:pPr>
      <w:r>
        <w:t>图 7  资源下载、输出分批和请求设置</w:t>
      </w:r>
    </w:p>
    <w:p w14:paraId="786AC828">
      <w:pPr>
        <w:pStyle w:val="4"/>
        <w:pageBreakBefore/>
      </w:pPr>
      <w:r>
        <w:t>资源地址处理与下载</w:t>
      </w:r>
    </w:p>
    <w:p w14:paraId="28D413A2">
      <w:pPr>
        <w:pStyle w:val="166"/>
      </w:pPr>
      <w:r>
        <w:t>绝对地址 + 替换规则：先把相对 src、href、srcset 和样式 URL 转为绝对地址，再按顺序执行字面替换。</w:t>
      </w:r>
    </w:p>
    <w:p w14:paraId="00F2C69C">
      <w:pPr>
        <w:pStyle w:val="166"/>
      </w:pPr>
      <w:r>
        <w:t>自定义前缀 + 原路径：不下载文件，把站内资源改写为“自定义前缀 + 原 URL 路径”。</w:t>
      </w:r>
    </w:p>
    <w:p w14:paraId="16487B1B">
      <w:pPr>
        <w:pStyle w:val="166"/>
      </w:pPr>
      <w:r>
        <w:t>内容清理与补充属性：删除脚本内容、事件属性和 DocView 预览，并可补充 data-src、data-file、data-url 等资源属性。</w:t>
      </w:r>
    </w:p>
    <w:p w14:paraId="36EA7962">
      <w:pPr>
        <w:pStyle w:val="166"/>
      </w:pPr>
      <w:r>
        <w:t>下载资源：支持图片、视频、音频和常见附件；只下载与资源所属页面 hostname 完全相同的地址，站外资源保持原地址。</w:t>
      </w:r>
    </w:p>
    <w:p w14:paraId="13E278F2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资源存放根目录：D:\TapCollect\资源</w:t>
        <w:br/>
        <w:t>XML 访问前缀：/resources</w:t>
        <w:br/>
        <w:t>示例结果：/resources/files/notice.pdf</w:t>
      </w:r>
    </w:p>
    <w:p w14:paraId="1BC0D64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下载细节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本地目录按原资源路径建立，查询参数会生成稳定短标识。测试采集只显示资源计划，不写文件；失败会记录日志和错误清单，不中断其他记录。</w:t>
      </w:r>
    </w:p>
    <w:p w14:paraId="08791BFB">
      <w:pPr>
        <w:pStyle w:val="4"/>
      </w:pPr>
      <w:r>
        <w:t>XML 与表格输出</w:t>
      </w:r>
    </w:p>
    <w:p w14:paraId="3D86880C">
      <w:pPr>
        <w:pStyle w:val="166"/>
      </w:pPr>
      <w:r>
        <w:t>每个 XML、XLSX 或 XLS 文件可保存 1–200 条，默认 200 条；超过上限自动新建下一个文件。</w:t>
      </w:r>
    </w:p>
    <w:p w14:paraId="64AD9B78">
      <w:pPr>
        <w:pStyle w:val="166"/>
      </w:pPr>
      <w:r>
        <w:t>“覆盖旧结果”默认开启，同时决定当前格式文件和已存在资源是否覆盖；关闭后输出文件名加入时间戳，已有资源会跳过并计入“资源已存在”。</w:t>
      </w:r>
    </w:p>
    <w:p w14:paraId="7D03E86B">
      <w:pPr>
        <w:pStyle w:val="166"/>
      </w:pPr>
      <w:r>
        <w:t>输出先写入临时文件并完成格式校验，再原子重命名，降低运行中断导致半个文件或内容截断的风险。</w:t>
      </w:r>
    </w:p>
    <w:p>
      <w:pPr>
        <w:pStyle w:val="166"/>
      </w:pPr>
      <w:r>
        <w:t>XLSX/XLS 模板只读取第一个工作表的表头；输出扩展名与导入模板一致，每一批都从原模板生成。</w:t>
      </w:r>
    </w:p>
    <w:p>
      <w:pPr>
        <w:pStyle w:val="166"/>
      </w:pPr>
      <w:r>
        <w:t>表格单元格按普通字符串写入：HTML 会原样保存，不转换为富文本；以 =、+、-、@ 开头的值也按文本处理，避免被当作公式。</w:t>
      </w:r>
    </w:p>
    <w:p w14:paraId="55079372">
      <w:pPr>
        <w:pStyle w:val="4"/>
      </w:pPr>
      <w:r>
        <w:t>请求与并发</w:t>
      </w:r>
    </w:p>
    <w:p w14:paraId="73981B07">
      <w:pPr>
        <w:pStyle w:val="166"/>
      </w:pPr>
      <w:r>
        <w:t>列表页按顺序请求；详情页并发范围 1–5，最终仍按列表顺序写入。</w:t>
      </w:r>
    </w:p>
    <w:p>
      <w:pPr>
        <w:pStyle w:val="166"/>
      </w:pPr>
      <w:r>
        <w:t>运行中心的正式任务并发数可设置为 1–5，默认 3；它与单个任务内部的详情页并发是两个独立设置。</w:t>
      </w:r>
    </w:p>
    <w:p w14:paraId="60756C63">
      <w:pPr>
        <w:pStyle w:val="166"/>
      </w:pPr>
      <w:r>
        <w:t>可配置超时、请求延迟、编码覆盖、User-Agent 和自定义请求头。</w:t>
      </w:r>
    </w:p>
    <w:p w14:paraId="5A31A5F6">
      <w:pPr>
        <w:pStyle w:val="166"/>
      </w:pPr>
      <w:r>
        <w:t>遇到乱码时优先尝试编码覆盖；遇到限速时提高请求延迟并降低详情并发。</w:t>
      </w:r>
    </w:p>
    <w:p w14:paraId="06D263AE">
      <w:pPr>
        <w:pStyle w:val="3"/>
        <w:pageBreakBefore w:val="0"/>
      </w:pPr>
      <w:r>
        <w:t>8 先测试再正式采集</w:t>
      </w:r>
    </w:p>
    <w:p w14:paraId="3F2AEB04">
      <w:r>
        <w:t>“执行测试”只读取当前列表页，并处理前 3 条记录，适合在正式运行前检查选择器、字段映射、当前输出模板和资源计划。测试使用独立测试槽，不占用正式任务并发数量；即使开启资源下载，也不会写入文件。</w:t>
      </w:r>
    </w:p>
    <w:p w14:paraId="2D85AB4C"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310085"/>
            <wp:docPr id="19" name="Picture 19" descr="测试采集结果、字段匹配和资源计划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test-resul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1008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9DA189F">
      <w:pPr>
        <w:pStyle w:val="15"/>
        <w:keepNext w:val="0"/>
        <w:keepLines/>
      </w:pPr>
      <w:r>
        <w:t>图 8  测试结果、字段匹配与资源计划</w:t>
      </w:r>
    </w:p>
    <w:p w14:paraId="3763678B">
      <w:pPr>
        <w:pStyle w:val="167"/>
        <w:numPr>
          <w:ilvl w:val="0"/>
          <w:numId w:val="15"/>
        </w:numPr>
      </w:pPr>
      <w:r>
        <w:t>确认“列表项匹配”数量与页面实际记录数接近。</w:t>
      </w:r>
    </w:p>
    <w:p w14:paraId="4A581397">
      <w:pPr>
        <w:pStyle w:val="167"/>
        <w:numPr>
          <w:ilvl w:val="0"/>
          <w:numId w:val="15"/>
        </w:numPr>
      </w:pPr>
      <w:r>
        <w:t>查看每个 XML 字段在 3 条记录中的匹配次数；必填字段不应出现缺失。</w:t>
      </w:r>
    </w:p>
    <w:p w14:paraId="5E415468">
      <w:pPr>
        <w:pStyle w:val="167"/>
        <w:numPr>
          <w:ilvl w:val="0"/>
          <w:numId w:val="15"/>
        </w:numPr>
      </w:pPr>
      <w:r>
        <w:t>核对测试结果中的标题、日期、正文、图片和外链是否来自预期位置；开启下载时，展开“资源计划”确认来源、目标目录和输出访问地址。</w:t>
      </w:r>
    </w:p>
    <w:p w14:paraId="47FB858D">
      <w:pPr>
        <w:pStyle w:val="167"/>
        <w:numPr>
          <w:ilvl w:val="0"/>
          <w:numId w:val="15"/>
        </w:numPr>
      </w:pPr>
      <w:r>
        <w:t>XML 模式展开 XML 预览，确认节点、CDATA 和编码；表格模式核对各列字符串，确认 HTML、附件链接和资源改写结果正确。</w:t>
      </w:r>
    </w:p>
    <w:p w14:paraId="18679EC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测试通过标准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列表项、详情链接、必填字段、资源计划和当前格式预览均符合预期后，再点击“开始正式采集”。</w:t>
      </w:r>
    </w:p>
    <w:p w14:paraId="74B5DE26">
      <w:pPr>
        <w:pStyle w:val="3"/>
        <w:pageBreakBefore w:val="0"/>
      </w:pPr>
      <w:r>
        <w:t>9 运行中心、暂停与取消</w:t>
      </w:r>
    </w:p>
    <w:p w14:paraId="669C622F">
      <w:r>
        <w:t>正式任务进入运行中心统一调度。最大并发任务数可设置为 1–5，默认 3；超过上限的任务进入等待队列。每个任务保留独立进度、日志和结果，测试采集使用独立测试槽，不占用正式任务并发数量。</w:t>
      </w:r>
    </w:p>
    <w:p w14:paraId="7F7B11B4"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89320" cy="3926647"/>
            <wp:docPr id="20" name="Picture 20" descr="运行中心并发任务与队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un-draw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2664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2DB07D7">
      <w:pPr>
        <w:pStyle w:val="15"/>
        <w:keepNext w:val="0"/>
        <w:keepLines/>
      </w:pPr>
      <w:r>
        <w:t>图 9  运行中心的并发、队列、任务指标与实时日志</w:t>
      </w:r>
    </w:p>
    <w:p w14:paraId="115781B4"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89320" cy="1112724"/>
            <wp:docPr id="21" name="Picture 21" descr="详细实时运行日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un-log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11272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3F590A3">
      <w:pPr>
        <w:pStyle w:val="15"/>
        <w:keepNext w:val="0"/>
        <w:keepLines/>
      </w:pPr>
      <w:r>
        <w:t>图 10  可拖动高度的详细实时日志</w:t>
      </w:r>
    </w:p>
    <w:p w14:paraId="448DB571">
      <w:pPr>
        <w:pStyle w:val="166"/>
      </w:pPr>
      <w:r>
        <w:t>暂停任务：当前页面安全提交并保存检查点后释放并发槽。</w:t>
      </w:r>
    </w:p>
    <w:p w14:paraId="61A9639B">
      <w:pPr>
        <w:pStyle w:val="166"/>
      </w:pPr>
      <w:r>
        <w:t>继续任务：从检查点恢复并进入等待队列末尾，已完成记录不会重复写入。</w:t>
      </w:r>
    </w:p>
    <w:p w14:paraId="70FAE14A">
      <w:pPr>
        <w:pStyle w:val="166"/>
      </w:pPr>
      <w:r>
        <w:t>取消任务：停止等待或运行；已经写入完成的输出文件会保留。</w:t>
      </w:r>
    </w:p>
    <w:p w14:paraId="32AE5549">
      <w:pPr>
        <w:pStyle w:val="166"/>
      </w:pPr>
      <w:r>
        <w:t>运行中心支持全部暂停、全部继续和全部取消；完成后可直接打开输出目录，或查看请求、解析、必填字段和资源下载的 CSV 错误日志。</w:t>
      </w:r>
    </w:p>
    <w:p>
      <w:pPr>
        <w:pStyle w:val="166"/>
      </w:pPr>
      <w:r>
        <w:t>删除任务：运行、等待、暂停或测试中的任务不可删除；删除空闲或已结束任务会同步移除运行中心记录，但不会删除已经生成的输出文件和资源。</w:t>
      </w:r>
    </w:p>
    <w:p w14:paraId="2E74FB19">
      <w:pPr>
        <w:pStyle w:val="3"/>
        <w:pageBreakBefore w:val="0"/>
      </w:pPr>
      <w:r>
        <w:t>10 查看输出文件和本地数据</w:t>
      </w:r>
    </w:p>
    <w:p w14:paraId="4423DAE8">
      <w:r>
        <w:t>任务名称决定输出目录和文件名前缀。XML、XLSX、XLS 都默认每 200 条拆分一次，编号从 001 开始；下载资源写入单独选择的资源根目录。</w:t>
      </w:r>
    </w:p>
    <w:p w14:paraId="5CABE5D3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输出根目录/</w:t>
        <w:br/>
        <w:t>└─ 政务新闻/</w:t>
        <w:br/>
        <w:t xml:space="preserve">   ├─ 政务新闻_001.xml</w:t>
        <w:br/>
        <w:t xml:space="preserve">   ├─ 政务新闻_001.xlsx</w:t>
        <w:br/>
        <w:t xml:space="preserve">   ├─ 政务新闻_001.xls</w:t>
        <w:br/>
        <w:t xml:space="preserve">   └─ 政务新闻_错误日志.csv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6860"/>
      </w:tblGrid>
      <w:tr w14:paraId="78BA5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0E474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文件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CF40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用途</w:t>
            </w:r>
          </w:p>
        </w:tc>
      </w:tr>
      <w:tr w14:paraId="0BA84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1FBD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任务名称_001.xml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F9BA2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按当前模板格式写入的第一批记录；一个任务每次只使用一种格式。</w:t>
            </w:r>
          </w:p>
        </w:tc>
      </w:tr>
      <w:tr w14:paraId="16B82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5A80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任务名称_002.xml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E4A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超过单文件上限后自动创建的下一批。</w:t>
            </w:r>
          </w:p>
        </w:tc>
      </w:tr>
      <w:tr w14:paraId="04991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A45A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任务名称_错误日志.csv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B8A24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记录请求失败、解析失败和必填字段缺失等问题。</w:t>
            </w:r>
          </w:p>
        </w:tc>
      </w:tr>
      <w:tr w14:paraId="7E2B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06E3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带时间戳文件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5A87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关闭覆盖开关时，用于保留多次运行结果。</w:t>
            </w:r>
          </w:p>
        </w:tc>
      </w:tr>
    </w:tbl>
    <w:p w14:paraId="75D70773">
      <w:pPr>
        <w:spacing w:after="40"/>
      </w:pPr>
    </w:p>
    <w:p w14:paraId="20601C53">
      <w:pPr>
        <w:pStyle w:val="4"/>
      </w:pPr>
      <w:r>
        <w:t>任务配置和检查点</w:t>
      </w:r>
    </w:p>
    <w:p w14:paraId="234050E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data/</w:t>
        <w:br/>
        <w:t>├─ settings.json</w:t>
        <w:br/>
        <w:t>├─ tasks/&lt;task-id&gt;/task.json</w:t>
        <w:br/>
        <w:t>├─ checkpoints/&lt;task-id&gt;/checkpoint.json</w:t>
        <w:br/>
        <w:t>├─ checkpoints/&lt;task-id&gt;/pending.ndjson</w:t>
        <w:br/>
        <w:t>└─ manifests/&lt;task-id&gt;.json</w:t>
      </w:r>
    </w:p>
    <w:p w14:paraId="21561D1B">
      <w:pPr>
        <w:pStyle w:val="166"/>
      </w:pPr>
      <w:r>
        <w:t>开发环境：项目根目录 data/。</w:t>
      </w:r>
    </w:p>
    <w:p w14:paraId="3317D6A9">
      <w:pPr>
        <w:pStyle w:val="166"/>
      </w:pPr>
      <w:r>
        <w:t>Windows / Linux / UOS 正式应用：可执行文件同级 data/。</w:t>
      </w:r>
    </w:p>
    <w:p w14:paraId="4DB66FE6">
      <w:pPr>
        <w:pStyle w:val="166"/>
      </w:pPr>
      <w:r>
        <w:t>macOS 正式应用：TapCollect.app 同级 data/。</w:t>
      </w:r>
    </w:p>
    <w:p w14:paraId="164FB5EB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旧数据迁移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首次使用新目录且 data/ 为空时，会自动复制原 userData/collector-data 内容，旧目录保留；若应用同级目录不可写，则回退到原目录并显示警告。删除任务会删除配置、检查点和对应运行中心记录，但不会删除已生成的 XML、XLSX/XLS、资源和错误日志。</w:t>
      </w:r>
    </w:p>
    <w:p w14:paraId="629F7D68">
      <w:pPr>
        <w:pStyle w:val="3"/>
        <w:pageBreakBefore w:val="0"/>
      </w:pPr>
      <w:r>
        <w:t>11 常见问题</w:t>
      </w:r>
    </w:p>
    <w:p w14:paraId="2BAD0A59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预览打不开，或正式采集没有数据</w:t>
        <w:br/>
      </w:r>
      <w:r>
        <w:rPr>
          <w:rFonts w:ascii="Calibri" w:hAnsi="Calibri" w:eastAsia="微软雅黑" w:cs="Calibri"/>
          <w:b w:val="0"/>
          <w:color w:val="333A40"/>
          <w:sz w:val="22"/>
        </w:rPr>
        <w:t>先确认网页公开可访问。静态页面使用固定 URL；需要点击翻页或异步渲染时改用动态分页并选择下一页按钮。工具不直接解析 API JSON、JSONPath、POST、登录或验证码。</w:t>
      </w:r>
    </w:p>
    <w:p w14:paraId="5A072EC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点选后总是识别第一条，或验证不到其他列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先把“列表项容器”选到一整条记录的外层节点，再在字段映射里选择该记录内部的标题、日期或图片。字段选择器应相对于列表项执行。</w:t>
      </w:r>
    </w:p>
    <w:p w14:paraId="5425675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页面只有一页，没有分页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只填写固定 URL，不添加 {page} 模板；程序会采集一次后结束。</w:t>
      </w:r>
    </w:p>
    <w:p w14:paraId="106B6E38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分页地址不是查询参数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只要数字位置可替换，就可使用 {page}，例如 node_101571_{page}.htm；第一页特殊时，把第一页作为固定地址单独放在前面。</w:t>
      </w:r>
    </w:p>
    <w:p w14:paraId="516DA2B1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担心分页无限循环</w:t>
        <w:br/>
      </w:r>
      <w:r>
        <w:rPr>
          <w:rFonts w:ascii="Calibri" w:hAnsi="Calibri" w:eastAsia="微软雅黑" w:cs="Calibri"/>
          <w:b w:val="0"/>
          <w:color w:val="333A40"/>
          <w:sz w:val="22"/>
        </w:rPr>
        <w:t>静态模板和动态点击模式都必须设置最大采集页数。找不到列表项、URL 重复、列表不变、下一页缺失/禁用、404/410 或达到最大页数时会自动结束。</w:t>
      </w:r>
    </w:p>
    <w:p w14:paraId="2BC241A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中文乱码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先保持“自动识别”；若结果仍乱码，在请求设置中选择目标页面实际编码后重新测试。</w:t>
      </w:r>
    </w:p>
    <w:p w14:paraId="03629CB7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图片、视频或附件没有下载</w:t>
        <w:br/>
      </w:r>
      <w:r>
        <w:rPr>
          <w:rFonts w:ascii="Calibri" w:hAnsi="Calibri" w:eastAsia="微软雅黑" w:cs="Calibri"/>
          <w:b w:val="0"/>
          <w:color w:val="333A40"/>
          <w:sz w:val="22"/>
        </w:rPr>
        <w:t>确认已开启“下载资源”，并设置资源存放根目录和 XML 访问前缀。只下载与资源所属页面 hostname 完全相同的地址；站外资源保持原地址，失败原因会写入运行日志和错误清单。</w:t>
      </w:r>
    </w:p>
    <w:p w14:paraId="39461270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外链为什么没有进入详情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工具按完整 hostname 判断站内。hostname 不同即视为外链，不发起详情请求，可把原链接映射到 XML 的外链字段。</w:t>
      </w:r>
    </w:p>
    <w:p w14:paraId="382072EB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macOS 提示无法验证开发者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当前 macOS 包未签名、未公证，首次打开可能触发 Gatekeeper 提示。正式对外分发前应配置 Apple Developer 签名和公证。</w:t>
      </w:r>
    </w:p>
    <w:p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如何导出或批量导入任务配置</w:t>
      </w:r>
      <w:r>
        <w:rPr>
          <w:rFonts w:ascii="Calibri" w:hAnsi="Calibri" w:eastAsia="微软雅黑" w:cs="Calibri"/>
          <w:color w:val="333A40"/>
          <w:sz w:val="22"/>
        </w:rPr>
        <w:br/>
      </w:r>
      <w:r>
        <w:rPr>
          <w:rFonts w:ascii="Calibri" w:hAnsi="Calibri" w:eastAsia="微软雅黑" w:cs="Calibri"/>
          <w:color w:val="333A40"/>
          <w:sz w:val="22"/>
        </w:rPr>
        <w:t>点击“任务管理”标题右侧的省略号。导出会生成包含全部已保存任务的 JSON；可编辑 tasks 数组后再导入。导入任务始终创建新 ID，不覆盖本地任务。</w:t>
      </w:r>
    </w:p>
    <w:p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为什么任务显示“等待中”</w:t>
      </w:r>
      <w:r>
        <w:rPr>
          <w:rFonts w:ascii="Calibri" w:hAnsi="Calibri" w:eastAsia="微软雅黑" w:cs="Calibri"/>
          <w:color w:val="333A40"/>
          <w:sz w:val="22"/>
        </w:rPr>
        <w:br/>
      </w:r>
      <w:r>
        <w:rPr>
          <w:rFonts w:ascii="Calibri" w:hAnsi="Calibri" w:eastAsia="微软雅黑" w:cs="Calibri"/>
          <w:color w:val="333A40"/>
          <w:sz w:val="22"/>
        </w:rPr>
        <w:t>正式运行数量已达到运行中心设置的最大并发数时，新任务进入等待队列；前面的任务完成、取消或暂停释放槽位后会自动开始。测试采集不占用这个数量。</w:t>
      </w:r>
    </w:p>
    <w:p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表格中的 HTML 会如何写入</w:t>
      </w:r>
      <w:r>
        <w:rPr>
          <w:rFonts w:ascii="Calibri" w:hAnsi="Calibri" w:eastAsia="微软雅黑" w:cs="Calibri"/>
          <w:color w:val="333A40"/>
          <w:sz w:val="22"/>
        </w:rPr>
        <w:br/>
      </w:r>
      <w:r>
        <w:rPr>
          <w:rFonts w:ascii="Calibri" w:hAnsi="Calibri" w:eastAsia="微软雅黑" w:cs="Calibri"/>
          <w:color w:val="333A40"/>
          <w:sz w:val="22"/>
        </w:rPr>
        <w:t>XLSX/XLS 单元格按普通字符串写入，HTML 标签会原样保留，不转换为富文本。输出后工具会重新读取并校验单元格，避免长文本被截断。</w:t>
      </w:r>
    </w:p>
    <w:p w14:paraId="14E56D5E">
      <w:pPr>
        <w:pStyle w:val="3"/>
        <w:pageBreakBefore w:val="0"/>
      </w:pPr>
      <w:r>
        <w:t>12 当前限制与运行前检查</w:t>
      </w:r>
    </w:p>
    <w:p w14:paraId="05590EBF">
      <w:r>
        <w:t>TapCollect 当前开发版仍定位为简单、可配置的公开网页采集工具，以下能力暂不提供：</w:t>
      </w:r>
    </w:p>
    <w:p w14:paraId="0014C50D">
      <w:pPr>
        <w:pStyle w:val="166"/>
      </w:pPr>
      <w:r>
        <w:t>登录、验证码、POST、代理、Cookie/登录态维护。</w:t>
      </w:r>
    </w:p>
    <w:p w14:paraId="362733E9">
      <w:pPr>
        <w:pStyle w:val="166"/>
      </w:pPr>
      <w:r>
        <w:t>直接把接口地址作为数据源、原始 JSON 字段映射、JSONPath 或通用 API 请求配置。</w:t>
      </w:r>
    </w:p>
    <w:p w14:paraId="502394BF">
      <w:pPr>
        <w:pStyle w:val="166"/>
      </w:pPr>
      <w:r>
        <w:t>多条 {page} 模板、多个分页变量、游标分页；动态模式仅支持一个初始 URL 和一个下一页按钮。</w:t>
      </w:r>
    </w:p>
    <w:p w14:paraId="5BC24BF5">
      <w:pPr>
        <w:pStyle w:val="166"/>
      </w:pPr>
      <w:r>
        <w:t>正则、用户脚本、复杂日期转换、动态重复 XML 子结构。</w:t>
      </w:r>
    </w:p>
    <w:p w14:paraId="3CC35442">
      <w:pPr>
        <w:pStyle w:val="166"/>
      </w:pPr>
      <w:r>
        <w:t>定时任务、托盘后台、自动更新，以及关闭应用后长期保留运行中心日志。</w:t>
      </w:r>
    </w:p>
    <w:p w14:paraId="2B0EF6DB">
      <w:pPr>
        <w:pStyle w:val="166"/>
      </w:pPr>
      <w:r>
        <w:t>XSD/业务 DTD 校验，以及任务配置包加密、压缩、云同步或按 ID 覆盖导入。</w:t>
      </w:r>
    </w:p>
    <w:p w14:paraId="19C70B5D">
      <w:pPr>
        <w:pStyle w:val="4"/>
      </w:pPr>
      <w:r>
        <w:t>运行前检查</w:t>
      </w:r>
    </w:p>
    <w:p w14:paraId="0B447037">
      <w:pPr>
        <w:pStyle w:val="167"/>
        <w:numPr>
          <w:ilvl w:val="0"/>
          <w:numId w:val="16"/>
        </w:numPr>
      </w:pPr>
      <w:r>
        <w:t>列表 URL 可以直接访问；已正确选择静态或动态模式，列表项容器匹配数量正确。</w:t>
      </w:r>
    </w:p>
    <w:p w14:paraId="2C01E0E8">
      <w:pPr>
        <w:pStyle w:val="167"/>
        <w:numPr>
          <w:ilvl w:val="0"/>
          <w:numId w:val="16"/>
        </w:numPr>
      </w:pPr>
      <w:r>
        <w:t>静态模式最多一条 {page} 模板；动态模式只有一个初始 URL 和下一页按钮；两种模式都已设置最大采集页数。</w:t>
      </w:r>
    </w:p>
    <w:p w14:paraId="5781AD55">
      <w:pPr>
        <w:pStyle w:val="167"/>
        <w:numPr>
          <w:ilvl w:val="0"/>
          <w:numId w:val="16"/>
        </w:numPr>
      </w:pPr>
      <w:r>
        <w:t>详情链接和 hostname 规则符合预期，外链字段已按模板映射。</w:t>
      </w:r>
    </w:p>
    <w:p w14:paraId="3BC85D4D">
      <w:pPr>
        <w:pStyle w:val="167"/>
        <w:numPr>
          <w:ilvl w:val="0"/>
          <w:numId w:val="16"/>
        </w:numPr>
      </w:pPr>
      <w:r>
        <w:t>XML 记录节点/CDATA，或表格第一个工作表的表头，以及每个字段处理方式已确认。</w:t>
      </w:r>
    </w:p>
    <w:p w14:paraId="54DB66EF">
      <w:pPr>
        <w:pStyle w:val="167"/>
        <w:numPr>
          <w:ilvl w:val="0"/>
          <w:numId w:val="16"/>
        </w:numPr>
      </w:pPr>
      <w:r>
        <w:t>text 正文使用 innerHTML，附件链接可以在 XML 预览中看到；如需下载，资源计划中的地址和目录符合预期。</w:t>
      </w:r>
    </w:p>
    <w:p w14:paraId="0E12F98E">
      <w:pPr>
        <w:pStyle w:val="167"/>
        <w:numPr>
          <w:ilvl w:val="0"/>
          <w:numId w:val="16"/>
        </w:numPr>
      </w:pPr>
      <w:r>
        <w:t>当前输出格式、资源地址模式或下载目录/前缀、输出目录、每文件条数和覆盖开关已确认。</w:t>
      </w:r>
    </w:p>
    <w:p w14:paraId="4E6405B4">
      <w:pPr>
        <w:pStyle w:val="167"/>
        <w:numPr>
          <w:ilvl w:val="0"/>
          <w:numId w:val="16"/>
        </w:numPr>
      </w:pPr>
      <w:r>
        <w:t>测试前 3 条记录、字段匹配、资源计划和当前格式预览通过，再开始正式运行。</w:t>
      </w:r>
    </w:p>
    <w:p w14:paraId="6BBBC4A6">
      <w:pPr>
        <w:keepLines/>
        <w:pBdr>
          <w:left w:val="single" w:color="7A5A00" w:sz="20" w:space="8"/>
        </w:pBdr>
        <w:shd w:val="clear" w:fill="FFF8E8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 xml:space="preserve">使用提醒  </w:t>
      </w:r>
      <w:r>
        <w:rPr>
          <w:rFonts w:ascii="Calibri" w:hAnsi="Calibri" w:eastAsia="微软雅黑" w:cs="Calibri"/>
          <w:color w:val="333A40"/>
          <w:sz w:val="21"/>
        </w:rPr>
        <w:t>请仅采集有权访问和使用的公开信息，并遵守目标网站的使用规则。</w:t>
      </w:r>
    </w:p>
    <w:sectPr>
      <w:footerReference r:id="rId7" w:type="first"/>
      <w:headerReference r:id="rId5" w:type="default"/>
      <w:footerReference r:id="rId6" w:type="default"/>
      <w:pgSz w:w="12240" w:h="15840"/>
      <w:pgMar w:top="1440" w:right="1440" w:bottom="1440" w:left="1440" w:header="708" w:footer="708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D1C464">
    <w:pPr>
      <w:pStyle w:val="24"/>
      <w:spacing w:before="0"/>
      <w:jc w:val="right"/>
    </w:pPr>
    <w:r>
      <w:rPr>
        <w:rFonts w:ascii="Calibri" w:hAnsi="Calibri" w:eastAsia="微软雅黑" w:cs="Calibri"/>
        <w:color w:val="68767A"/>
        <w:sz w:val="18"/>
      </w:rPr>
      <w:t xml:space="preserve">当前开发版  ·  第 </w:t>
    </w:r>
    <w:r>
      <w:rPr>
        <w:rFonts w:ascii="Calibri" w:hAnsi="Calibri" w:eastAsia="微软雅黑" w:cs="Calibri"/>
        <w:color w:val="68767A"/>
        <w:sz w:val="18"/>
      </w:rPr>
      <w:fldChar w:fldCharType="begin"/>
    </w:r>
    <w:r>
      <w:rPr>
        <w:rFonts w:ascii="Calibri" w:hAnsi="Calibri" w:eastAsia="微软雅黑" w:cs="Calibri"/>
        <w:color w:val="68767A"/>
        <w:sz w:val="18"/>
      </w:rPr>
      <w:instrText xml:space="preserve"> PAGE </w:instrText>
    </w:r>
    <w:r>
      <w:rPr>
        <w:rFonts w:ascii="Calibri" w:hAnsi="Calibri" w:eastAsia="微软雅黑" w:cs="Calibri"/>
        <w:color w:val="68767A"/>
        <w:sz w:val="18"/>
      </w:rPr>
      <w:fldChar w:fldCharType="separate"/>
    </w:r>
    <w:r>
      <w:rPr>
        <w:rFonts w:ascii="Calibri" w:hAnsi="Calibri" w:eastAsia="微软雅黑" w:cs="Calibri"/>
        <w:color w:val="68767A"/>
        <w:sz w:val="18"/>
      </w:rPr>
      <w:t>1</w:t>
    </w:r>
    <w:r>
      <w:rPr>
        <w:rFonts w:ascii="Calibri" w:hAnsi="Calibri" w:eastAsia="微软雅黑" w:cs="Calibri"/>
        <w:color w:val="68767A"/>
        <w:sz w:val="18"/>
      </w:rPr>
      <w:fldChar w:fldCharType="end"/>
    </w:r>
    <w:r>
      <w:rPr>
        <w:rFonts w:ascii="Calibri" w:hAnsi="Calibri" w:eastAsia="微软雅黑" w:cs="Calibri"/>
        <w:color w:val="68767A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6284E7">
    <w:pPr>
      <w:pStyle w:val="24"/>
      <w:jc w:val="center"/>
    </w:pPr>
    <w:r>
      <w:rPr>
        <w:rFonts w:ascii="Calibri" w:hAnsi="Calibri" w:eastAsia="微软雅黑" w:cs="Calibri"/>
        <w:color w:val="68767A"/>
        <w:sz w:val="18"/>
      </w:rPr>
      <w:t>TapCollect 当前开发版  |  2026 年 8 月 9 日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F97BC4">
    <w:pPr>
      <w:pStyle w:val="25"/>
      <w:spacing w:after="0"/>
      <w:jc w:val="right"/>
    </w:pPr>
    <w:r>
      <w:rPr>
        <w:rFonts w:ascii="Calibri" w:hAnsi="Calibri" w:eastAsia="微软雅黑" w:cs="Calibri"/>
        <w:color w:val="68767A"/>
        <w:sz w:val="18"/>
      </w:rPr>
      <w:t>TapCollect  |  网页信息采集工具使用说明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singleLevel"/>
    <w:tmpl w:val="9239341B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">
    <w:nsid w:val="B5E306ED"/>
    <w:multiLevelType w:val="singleLevel"/>
    <w:tmpl w:val="B5E306ED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2">
    <w:nsid w:val="BF205925"/>
    <w:multiLevelType w:val="singleLevel"/>
    <w:tmpl w:val="BF205925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3">
    <w:nsid w:val="CF092B84"/>
    <w:multiLevelType w:val="singleLevel"/>
    <w:tmpl w:val="CF092B84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0">
    <w:nsid w:val="0053208E"/>
    <w:multiLevelType w:val="singleLevel"/>
    <w:tmpl w:val="0053208E"/>
    <w:lvl w:ilvl="0" w:tentative="0">
      <w:start w:val="1"/>
      <w:numFmt w:val="bullet"/>
      <w:pStyle w:val="166"/>
      <w:lvlText w:val="•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1">
    <w:nsid w:val="0248C179"/>
    <w:multiLevelType w:val="singleLevel"/>
    <w:tmpl w:val="0248C17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2">
    <w:nsid w:val="03D62ECE"/>
    <w:multiLevelType w:val="singleLevel"/>
    <w:tmpl w:val="03D62ECE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3">
    <w:nsid w:val="25B654F3"/>
    <w:multiLevelType w:val="singleLevel"/>
    <w:tmpl w:val="25B654F3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4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5">
    <w:nsid w:val="72183CF9"/>
    <w:multiLevelType w:val="singleLevel"/>
    <w:tmpl w:val="72183CF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6"/>
  </w:num>
  <w:num w:numId="5">
    <w:abstractNumId w:val="4"/>
  </w:num>
  <w:num w:numId="6">
    <w:abstractNumId w:val="7"/>
  </w:num>
  <w:num w:numId="7">
    <w:abstractNumId w:val="10"/>
  </w:num>
  <w:num w:numId="8">
    <w:abstractNumId w:val="3"/>
  </w:num>
  <w:num w:numId="9">
    <w:abstractNumId w:val="14"/>
  </w:num>
  <w:num w:numId="10">
    <w:abstractNumId w:val="2"/>
  </w:num>
  <w:num w:numId="11">
    <w:abstractNumId w:val="1"/>
  </w:num>
  <w:num w:numId="12">
    <w:abstractNumId w:val="12"/>
  </w:num>
  <w:num w:numId="13">
    <w:abstractNumId w:val="13"/>
  </w:num>
  <w:num w:numId="14">
    <w:abstractNumId w:val="15"/>
  </w:num>
  <w:num w:numId="15">
    <w:abstractNumId w:val="11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9431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before="0" w:after="120" w:line="300" w:lineRule="auto"/>
    </w:pPr>
    <w:rPr>
      <w:rFonts w:ascii="Calibri" w:hAnsi="Calibri" w:eastAsia="微软雅黑" w:cs="Calibri"/>
      <w:color w:val="333A4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pageBreakBefore/>
      <w:spacing w:before="360" w:after="200" w:line="240" w:lineRule="auto"/>
      <w:outlineLvl w:val="0"/>
    </w:pPr>
    <w:rPr>
      <w:rFonts w:asciiTheme="majorHAnsi" w:hAnsiTheme="majorHAnsi" w:eastAsiaTheme="majorEastAsia" w:cstheme="majorBidi"/>
      <w:b/>
      <w:bCs/>
      <w:color w:val="087A83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80" w:after="140" w:line="240" w:lineRule="auto"/>
      <w:outlineLvl w:val="1"/>
    </w:pPr>
    <w:rPr>
      <w:rFonts w:asciiTheme="majorHAnsi" w:hAnsiTheme="majorHAnsi" w:eastAsiaTheme="majorEastAsia" w:cstheme="majorBidi"/>
      <w:b/>
      <w:bCs/>
      <w:color w:val="075E68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00" w:line="240" w:lineRule="auto"/>
      <w:outlineLvl w:val="2"/>
    </w:pPr>
    <w:rPr>
      <w:rFonts w:asciiTheme="majorHAnsi" w:hAnsiTheme="majorHAnsi" w:eastAsiaTheme="majorEastAsia" w:cstheme="majorBidi"/>
      <w:b/>
      <w:bCs/>
      <w:color w:val="1F4D78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before="60" w:after="160" w:line="240" w:lineRule="auto"/>
      <w:jc w:val="center"/>
    </w:pPr>
    <w:rPr>
      <w:rFonts w:ascii="Calibri" w:hAnsi="Calibri" w:eastAsia="微软雅黑" w:cs="Calibri"/>
      <w:b/>
      <w:bCs/>
      <w:color w:val="68767A"/>
      <w:sz w:val="19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TC Code"/>
    <w:qFormat/>
    <w:uiPriority w:val="0"/>
    <w:pPr>
      <w:keepLines/>
      <w:spacing w:before="80" w:after="160" w:line="252" w:lineRule="auto"/>
      <w:ind w:left="230" w:right="230"/>
    </w:pPr>
    <w:rPr>
      <w:rFonts w:ascii="Consolas" w:hAnsi="Consolas" w:eastAsia="微软雅黑" w:cs="Consolas"/>
      <w:color w:val="203748"/>
      <w:sz w:val="19"/>
      <w:szCs w:val="22"/>
      <w:lang w:val="en-US" w:eastAsia="en-US" w:bidi="ar-SA"/>
    </w:rPr>
  </w:style>
  <w:style w:type="paragraph" w:customStyle="1" w:styleId="165">
    <w:name w:val="TC Small"/>
    <w:qFormat/>
    <w:uiPriority w:val="0"/>
    <w:pPr>
      <w:spacing w:after="80" w:line="276" w:lineRule="auto"/>
    </w:pPr>
    <w:rPr>
      <w:rFonts w:ascii="Calibri" w:hAnsi="Calibri" w:eastAsia="微软雅黑" w:cs="Calibri"/>
      <w:color w:val="68767A"/>
      <w:sz w:val="19"/>
      <w:szCs w:val="22"/>
      <w:lang w:val="en-US" w:eastAsia="en-US" w:bidi="ar-SA"/>
    </w:rPr>
  </w:style>
  <w:style w:type="paragraph" w:customStyle="1" w:styleId="166">
    <w:name w:val="TC Bullet"/>
    <w:basedOn w:val="1"/>
    <w:qFormat/>
    <w:uiPriority w:val="0"/>
    <w:pPr>
      <w:numPr>
        <w:ilvl w:val="0"/>
        <w:numId w:val="7"/>
      </w:num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  <w:style w:type="paragraph" w:customStyle="1" w:styleId="167">
    <w:name w:val="TC Number"/>
    <w:basedOn w:val="1"/>
    <w:qFormat/>
    <w:uiPriority w:val="0"/>
    <w:p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1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737</Words>
  <Characters>918</Characters>
  <Lines>0</Lines>
  <Paragraphs>0</Paragraphs>
  <TotalTime>1</TotalTime>
  <ScaleCrop>false</ScaleCrop>
  <LinksUpToDate>false</LinksUpToDate>
  <CharactersWithSpaces>991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风雨阳光</dc:creator>
  <dc:description>generated by python-docx</dc:description>
  <cp:keywords>TapCollect, 网页采集, XML, 使用说明</cp:keywords>
  <cp:lastModifiedBy>风雨阳光</cp:lastModifiedBy>
  <dcterms:modified xsi:type="dcterms:W3CDTF">2026-08-08T12:00:00Z</dcterms:modified>
  <dc:subject>当前开发版：XML、XLSX/XLS 输出，多任务运行与任务配置导入导出</dc:subject>
  <dc:title>TapCollect 使用说明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eyJoZGlkIjoiMDljYzUzMWQ4OWI0YzBkYjYzMDRhZTY5ZjZkYmFmYTgiLCJ1c2VySWQiOiIyNTE2NTA1NTYifQ==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21CB4F90DF6B4891ABB19FEFB2A8F012_12</vt:lpwstr>
  </property>
</Properties>
</file>