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DF335">
      <w:pPr>
        <w:spacing w:after="1640"/>
      </w:pPr>
    </w:p>
    <w:p w14:paraId="08CA7C6D">
      <w:pPr>
        <w:spacing w:after="320"/>
        <w:jc w:val="center"/>
      </w:pPr>
      <w:r>
        <w:drawing>
          <wp:inline distT="0" distB="0" distL="114300" distR="114300">
            <wp:extent cx="713105" cy="713105"/>
            <wp:effectExtent l="0" t="0" r="10795" b="10795"/>
            <wp:docPr id="1" name="Picture 1" descr="TapCollect 网页信息采集工具应用图标" title="TapCollect 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pCollect 网页信息采集工具应用图标" title="TapCollect 图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7BC5">
      <w:pPr>
        <w:spacing w:after="280"/>
        <w:jc w:val="center"/>
      </w:pPr>
      <w:r>
        <w:rPr>
          <w:rFonts w:ascii="Calibri" w:hAnsi="Calibri" w:eastAsia="微软雅黑" w:cs="Calibri"/>
          <w:b/>
          <w:color w:val="087A83"/>
          <w:sz w:val="21"/>
        </w:rPr>
        <w:t>网页信息采集工具</w:t>
      </w:r>
    </w:p>
    <w:p w14:paraId="74A5B542">
      <w:pPr>
        <w:spacing w:after="160"/>
        <w:jc w:val="center"/>
      </w:pPr>
      <w:r>
        <w:rPr>
          <w:rFonts w:ascii="Calibri" w:hAnsi="Calibri" w:eastAsia="微软雅黑" w:cs="Calibri"/>
          <w:b/>
          <w:color w:val="203748"/>
          <w:sz w:val="60"/>
        </w:rPr>
        <w:t>TapCollect</w:t>
      </w:r>
    </w:p>
    <w:p w14:paraId="1990FF7F">
      <w:pPr>
        <w:spacing w:after="100"/>
        <w:jc w:val="center"/>
      </w:pPr>
      <w:r>
        <w:rPr>
          <w:rFonts w:ascii="Calibri" w:hAnsi="Calibri" w:eastAsia="微软雅黑" w:cs="Calibri"/>
          <w:color w:val="075E68"/>
          <w:sz w:val="30"/>
        </w:rPr>
        <w:t>静态网页采集与 XML 输出使用说明</w:t>
      </w:r>
    </w:p>
    <w:p w14:paraId="0A0A2D52">
      <w:pPr>
        <w:spacing w:after="1160"/>
        <w:jc w:val="center"/>
      </w:pPr>
      <w:r>
        <w:rPr>
          <w:rFonts w:ascii="Calibri" w:hAnsi="Calibri" w:eastAsia="微软雅黑" w:cs="Calibri"/>
          <w:color w:val="7A5A00"/>
          <w:sz w:val="21"/>
        </w:rPr>
        <w:t>列表 / 详情采集 · XML 模板映射 · 分批文件输出</w:t>
      </w:r>
    </w:p>
    <w:p w14:paraId="145AC4DC">
      <w:pPr>
        <w:spacing w:after="80"/>
        <w:jc w:val="center"/>
      </w:pPr>
      <w:r>
        <w:rPr>
          <w:rFonts w:ascii="Calibri" w:hAnsi="Calibri" w:eastAsia="微软雅黑" w:cs="Calibri"/>
          <w:b/>
          <w:color w:val="203748"/>
          <w:sz w:val="23"/>
        </w:rPr>
        <w:t>版本 0.1.0  |  2026 年 8 月 7 日</w:t>
      </w:r>
    </w:p>
    <w:p w14:paraId="5C916D9E">
      <w:pPr>
        <w:pStyle w:val="3"/>
      </w:pPr>
      <w:r>
        <w:t>快速开始</w:t>
      </w:r>
    </w:p>
    <w:p w14:paraId="6F7BA1CB">
      <w:r>
        <w:t>TapCollect 是一个本地桌面工具，用于从公开、可直接访问的静态 HTML 页面中提取列表与详情信息，并按用户提供的 XML 模板生成文件。配置过程固定为 5 步，建议先测试前 3 条记录，再开始正式采集。</w:t>
      </w:r>
    </w:p>
    <w:p w14:paraId="1EC2D034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适用范围  </w:t>
      </w:r>
      <w:r>
        <w:rPr>
          <w:rFonts w:ascii="Calibri" w:hAnsi="Calibri" w:eastAsia="微软雅黑" w:cs="Calibri"/>
          <w:color w:val="333A40"/>
          <w:sz w:val="21"/>
        </w:rPr>
        <w:t>HTTP GET 可访问的静态页面；无需登录、验证码或 JavaScript 执行即可获得目标数据。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20"/>
        <w:gridCol w:w="2160"/>
        <w:gridCol w:w="6480"/>
      </w:tblGrid>
      <w:tr w14:paraId="23E5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D96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步骤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472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界面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366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完成目标</w:t>
            </w:r>
          </w:p>
        </w:tc>
      </w:tr>
      <w:tr w14:paraId="1895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A118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9EF4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基本信息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97D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填写任务名称和列表页面 URL。</w:t>
            </w:r>
          </w:p>
        </w:tc>
      </w:tr>
      <w:tr w14:paraId="3B88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F7E0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3AAD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列表与分页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5429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选中列表项容器，设置数字分页规则。</w:t>
            </w:r>
          </w:p>
        </w:tc>
      </w:tr>
      <w:tr w14:paraId="7B5B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F98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780B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详情页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C40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决定是否进入详情，并配置详情链接。</w:t>
            </w:r>
          </w:p>
        </w:tc>
      </w:tr>
      <w:tr w14:paraId="64CD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0493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0B5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XML 映射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093B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导入模板，选择记录节点，逐字段配置来源。</w:t>
            </w:r>
          </w:p>
        </w:tc>
      </w:tr>
      <w:tr w14:paraId="0C7B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C75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336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输出与测试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FF18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设置资源替换、输出目录和请求参数，执行测试。</w:t>
            </w:r>
          </w:p>
        </w:tc>
      </w:tr>
    </w:tbl>
    <w:p w14:paraId="376EEFF8">
      <w:pPr>
        <w:spacing w:after="40"/>
      </w:pPr>
    </w:p>
    <w:p w14:paraId="50197506">
      <w:pPr>
        <w:pStyle w:val="4"/>
      </w:pPr>
      <w:r>
        <w:t>开始前准备</w:t>
      </w:r>
    </w:p>
    <w:p w14:paraId="41912209">
      <w:pPr>
        <w:pStyle w:val="166"/>
      </w:pPr>
      <w:r>
        <w:t>目标列表页地址；若需要进入详情，还应确认列表项中的详情链接位置。</w:t>
      </w:r>
    </w:p>
    <w:p w14:paraId="7583FC46">
      <w:pPr>
        <w:pStyle w:val="166"/>
      </w:pPr>
      <w:r>
        <w:t>一份完整 XML 模板，并明确模板中哪一个节点代表单条记录。</w:t>
      </w:r>
    </w:p>
    <w:p w14:paraId="099E68D9">
      <w:pPr>
        <w:pStyle w:val="166"/>
      </w:pPr>
      <w:r>
        <w:t>准备好输出目录；任务名称会直接作为最终输出子目录名称。</w:t>
      </w:r>
    </w:p>
    <w:p w14:paraId="536E4593">
      <w:pPr>
        <w:pStyle w:val="166"/>
      </w:pPr>
      <w:r>
        <w:t>如需替换图片或附件路径，提前整理原字符串与新字符串。</w:t>
      </w:r>
    </w:p>
    <w:p w14:paraId="2CBCDD0B">
      <w:pPr>
        <w:keepLines/>
        <w:pBdr>
          <w:left w:val="single" w:color="7A5A00" w:sz="20" w:space="8"/>
        </w:pBdr>
        <w:shd w:val="clear" w:fill="FFF8E8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7A5A00"/>
          <w:sz w:val="21"/>
        </w:rPr>
        <w:t xml:space="preserve">首版限制  </w:t>
      </w:r>
      <w:r>
        <w:rPr>
          <w:rFonts w:ascii="Calibri" w:hAnsi="Calibri" w:eastAsia="微软雅黑" w:cs="Calibri"/>
          <w:color w:val="333A40"/>
          <w:sz w:val="21"/>
        </w:rPr>
        <w:t>不支持 JavaScript 动态数据、登录、验证码、POST、代理、定时任务或多任务并行。</w:t>
      </w:r>
    </w:p>
    <w:p w14:paraId="4C8926CC">
      <w:pPr>
        <w:pStyle w:val="3"/>
      </w:pPr>
      <w:r>
        <w:t>1 安装与</w:t>
      </w:r>
      <w:bookmarkStart w:id="0" w:name="_GoBack"/>
      <w:r>
        <w:t>启</w:t>
      </w:r>
      <w:bookmarkEnd w:id="0"/>
      <w:r>
        <w:t>动</w:t>
      </w:r>
    </w:p>
    <w:p w14:paraId="0EE6B6C4">
      <w:r>
        <w:rPr>
          <w:rFonts w:ascii="Calibri" w:hAnsi="Calibri" w:eastAsia="微软雅黑" w:cs="Calibri"/>
          <w:color w:val="333A40"/>
          <w:sz w:val="22"/>
        </w:rPr>
        <w:t>根据系统选择对应安装包。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860"/>
      </w:tblGrid>
      <w:tr w14:paraId="058F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A38F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系统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C9BA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安装包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FF20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说明</w:t>
            </w:r>
          </w:p>
        </w:tc>
      </w:tr>
      <w:tr w14:paraId="16C0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4C7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Windows x64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FC5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.exe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E4B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运行安装器，可选择安装目录，并创建桌面/开始菜单快捷方式。</w:t>
            </w:r>
          </w:p>
        </w:tc>
      </w:tr>
      <w:tr w14:paraId="440B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BBE1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UOS / Linux ARM64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A2F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.deb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EB29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仅适用于 ARM64 架构，建议在目标 UOS 设备上安装验证。</w:t>
            </w:r>
          </w:p>
        </w:tc>
      </w:tr>
      <w:tr w14:paraId="2F800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7A6C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macOS Intel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F56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.dmg / .zip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F5EA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适用于 Intel 芯片；当前安装包未签名、未公证。</w:t>
            </w:r>
          </w:p>
        </w:tc>
      </w:tr>
      <w:tr w14:paraId="54B6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0BEB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macOS Apple Silicon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3E8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.dmg / .zip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EA8C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适用于 M 系列芯片；首次打开可能出现未认证开发者提示。</w:t>
            </w:r>
          </w:p>
        </w:tc>
      </w:tr>
    </w:tbl>
    <w:p w14:paraId="0C3585A5">
      <w:pPr>
        <w:spacing w:after="40"/>
      </w:pPr>
    </w:p>
    <w:p w14:paraId="3B5F0D4F">
      <w:pPr>
        <w:pStyle w:val="4"/>
      </w:pPr>
      <w:r>
        <w:t>安装步骤</w:t>
      </w:r>
    </w:p>
    <w:p w14:paraId="3087C0F2">
      <w:pPr>
        <w:pStyle w:val="167"/>
        <w:numPr>
          <w:ilvl w:val="0"/>
          <w:numId w:val="8"/>
        </w:numPr>
      </w:pPr>
      <w:r>
        <w:t>下载与操作系统、CPU 架构匹配的安装包。</w:t>
      </w:r>
    </w:p>
    <w:p w14:paraId="236B150D">
      <w:pPr>
        <w:pStyle w:val="167"/>
        <w:numPr>
          <w:ilvl w:val="0"/>
          <w:numId w:val="8"/>
        </w:numPr>
      </w:pPr>
      <w:r>
        <w:t>按系统提示安装或解压，并启动 TapCollect。</w:t>
      </w:r>
    </w:p>
    <w:p w14:paraId="69007E34">
      <w:pPr>
        <w:pStyle w:val="167"/>
        <w:numPr>
          <w:ilvl w:val="0"/>
          <w:numId w:val="8"/>
        </w:numPr>
      </w:pPr>
      <w:r>
        <w:t>首次进入后点击“新建采集任务”，开始配置。</w:t>
      </w:r>
    </w:p>
    <w:p w14:paraId="6097F095">
      <w:pPr>
        <w:pStyle w:val="4"/>
      </w:pPr>
      <w:r>
        <w:t>从源码启动（开发预览）</w:t>
      </w:r>
    </w:p>
    <w:p w14:paraId="78A7FBF0">
      <w:r>
        <w:t>需要在本地验证当前源码时，在项目目录执行：</w:t>
      </w:r>
    </w:p>
    <w:p w14:paraId="017C700B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npm install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npm run dev</w:t>
      </w:r>
    </w:p>
    <w:p w14:paraId="5B4DBE54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本地数据  </w:t>
      </w:r>
      <w:r>
        <w:rPr>
          <w:rFonts w:ascii="Calibri" w:hAnsi="Calibri" w:eastAsia="微软雅黑" w:cs="Calibri"/>
          <w:color w:val="333A40"/>
          <w:sz w:val="21"/>
        </w:rPr>
        <w:t>任务配置、检查点和运行清单均保存在 Electron 的 userData/collector-data 目录，不会自动上传。</w:t>
      </w:r>
    </w:p>
    <w:p w14:paraId="75218257">
      <w:pPr>
        <w:pStyle w:val="3"/>
      </w:pPr>
      <w:r>
        <w:t>2 界面总览与基本信息</w:t>
      </w:r>
    </w:p>
    <w:p w14:paraId="3C452BFE">
      <w:r>
        <w:t>主窗口由任务栏、配置区和网页预览区组成。左右分隔条可用鼠标拖动调整宽度，也可点击箭头折叠，为预览或配置腾出空间。</w:t>
      </w:r>
    </w:p>
    <w:p w14:paraId="62056AD0">
      <w:pPr>
        <w:pStyle w:val="4"/>
      </w:pPr>
      <w:r>
        <w:t>填写基本信息</w:t>
      </w:r>
    </w:p>
    <w:p w14:paraId="05D9DA29">
      <w:pPr>
        <w:pStyle w:val="167"/>
        <w:numPr>
          <w:ilvl w:val="0"/>
          <w:numId w:val="9"/>
        </w:numPr>
      </w:pPr>
      <w:r>
        <w:t>填写任务名称。该名称会成为输出子目录名，也是 XML 文件名前缀。</w:t>
      </w:r>
    </w:p>
    <w:p w14:paraId="7E7843CB">
      <w:pPr>
        <w:pStyle w:val="167"/>
        <w:numPr>
          <w:ilvl w:val="0"/>
          <w:numId w:val="9"/>
        </w:numPr>
      </w:pPr>
      <w:r>
        <w:t>在“列表页面 URL”多行框中每行填写一个地址。固定地址可有多条，分页模板最多一条。</w:t>
      </w:r>
    </w:p>
    <w:p w14:paraId="56B3E170">
      <w:pPr>
        <w:pStyle w:val="167"/>
        <w:numPr>
          <w:ilvl w:val="0"/>
          <w:numId w:val="9"/>
        </w:numPr>
      </w:pPr>
      <w:r>
        <w:t>点击“打开预览”或右侧“前往”，确认页面可以加载。</w:t>
      </w:r>
    </w:p>
    <w:p w14:paraId="69A3F57B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https://www.example.com/news/index.html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https://www.example.com/news/list_{page}.html</w:t>
      </w:r>
    </w:p>
    <w:p w14:paraId="6C6F1B70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任务名称  </w:t>
      </w:r>
      <w:r>
        <w:rPr>
          <w:rFonts w:ascii="Calibri" w:hAnsi="Calibri" w:eastAsia="微软雅黑" w:cs="Calibri"/>
          <w:color w:val="333A40"/>
          <w:sz w:val="21"/>
        </w:rPr>
        <w:t>例如任务名为“政务新闻”，结果会写入“输出根目录/政务新闻/”。</w:t>
      </w:r>
    </w:p>
    <w:p w14:paraId="72775B4F">
      <w:pPr>
        <w:pStyle w:val="4"/>
      </w:pPr>
      <w:r>
        <w:t>界面分区说明</w:t>
      </w:r>
    </w:p>
    <w:p w14:paraId="759BE146">
      <w:pPr>
        <w:pStyle w:val="166"/>
      </w:pPr>
      <w:r>
        <w:t>左侧任务栏：新建、复制、运行和删除任务；当前仅允许一个任务运行。</w:t>
      </w:r>
    </w:p>
    <w:p w14:paraId="48AC7ECE">
      <w:pPr>
        <w:pStyle w:val="166"/>
      </w:pPr>
      <w:r>
        <w:t>中间配置区：按 5 步完成任务配置，可保存草稿或运行任务。</w:t>
      </w:r>
    </w:p>
    <w:p w14:paraId="1FAE1793">
      <w:pPr>
        <w:pStyle w:val="166"/>
      </w:pPr>
      <w:r>
        <w:t>右侧网页预览：打开目标页面，辅助点选和验证 CSS/XPath 选择器。</w:t>
      </w:r>
    </w:p>
    <w:p w14:paraId="5FF5C0F9">
      <w:pPr>
        <w:keepNext/>
        <w:spacing w:before="80" w:after="0"/>
        <w:jc w:val="center"/>
      </w:pPr>
      <w:r>
        <w:drawing>
          <wp:inline distT="0" distB="0" distL="114300" distR="114300">
            <wp:extent cx="5669280" cy="5102225"/>
            <wp:effectExtent l="0" t="0" r="7620" b="3175"/>
            <wp:docPr id="2" name="Picture 2" descr="TapCollect 最新版基本信息界面，左侧为任务列表，中间为任务名称和多行列表 URL 配置。" title="图 1  基本信息与任务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pCollect 最新版基本信息界面，左侧为任务列表，中间为任务名称和多行列表 URL 配置。" title="图 1  基本信息与任务列表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1E7">
      <w:pPr>
        <w:pStyle w:val="15"/>
        <w:keepNext w:val="0"/>
      </w:pPr>
      <w:r>
        <w:t>图 1  基本信息与任务列表</w:t>
      </w:r>
    </w:p>
    <w:p w14:paraId="79A2B80D">
      <w:pPr>
        <w:pStyle w:val="3"/>
      </w:pPr>
      <w:r>
        <w:t>3 配置列表与分页</w:t>
      </w:r>
    </w:p>
    <w:p w14:paraId="6D932326">
      <w:r>
        <w:t>先选择一条完整列表记录作为“列表项容器”。后续列表字段选择器都相对于这个容器执行，可避免始终只命中页面第一列或第一条记录。</w:t>
      </w:r>
    </w:p>
    <w:p w14:paraId="6BD0D549">
      <w:pPr>
        <w:keepNext/>
        <w:spacing w:before="80" w:after="0"/>
        <w:jc w:val="center"/>
      </w:pPr>
      <w:r>
        <w:drawing>
          <wp:inline distT="0" distB="0" distL="114300" distR="114300">
            <wp:extent cx="5669280" cy="4692650"/>
            <wp:effectExtent l="0" t="0" r="7620" b="6350"/>
            <wp:docPr id="3" name="Picture 3" descr="TapCollect 最新版列表与分页界面，展示列表项 CSS 选择器、分页模板、起始值、变化步长和最大采集页数。" title="图 2  列表项容器与数字分页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pCollect 最新版列表与分页界面，展示列表项 CSS 选择器、分页模板、起始值、变化步长和最大采集页数。" title="图 2  列表项容器与数字分页规则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E41F">
      <w:pPr>
        <w:pStyle w:val="15"/>
        <w:keepNext w:val="0"/>
      </w:pPr>
      <w:r>
        <w:t>图 2  列表项容器与数字分页规则</w:t>
      </w:r>
    </w:p>
    <w:p w14:paraId="00C1CA89">
      <w:pPr>
        <w:pStyle w:val="167"/>
        <w:numPr>
          <w:ilvl w:val="0"/>
          <w:numId w:val="10"/>
        </w:numPr>
      </w:pPr>
      <w:r>
        <w:t>在预览中点击一条完整记录外层区域，或手动输入列表项 CSS/XPath。</w:t>
      </w:r>
    </w:p>
    <w:p w14:paraId="5161B5B8">
      <w:pPr>
        <w:pStyle w:val="167"/>
        <w:numPr>
          <w:ilvl w:val="0"/>
          <w:numId w:val="10"/>
        </w:numPr>
      </w:pPr>
      <w:r>
        <w:t>点击放大镜验证匹配数量；数量应接近当前页实际记录数。</w:t>
      </w:r>
    </w:p>
    <w:p w14:paraId="4F8B7883">
      <w:pPr>
        <w:pStyle w:val="167"/>
        <w:numPr>
          <w:ilvl w:val="0"/>
          <w:numId w:val="10"/>
        </w:numPr>
      </w:pPr>
      <w:r>
        <w:t>若 URL 中有 {page}，配置起始值、非零变化步长和模板最大采集页数。</w:t>
      </w:r>
    </w:p>
    <w:p w14:paraId="106055F0">
      <w:pPr>
        <w:pStyle w:val="4"/>
        <w:pageBreakBefore/>
      </w:pPr>
      <w:r>
        <w:t>列表 URL 与分页规则</w:t>
      </w:r>
    </w:p>
    <w:p w14:paraId="72BA8487">
      <w:r>
        <w:t>同一任务可以填写多条固定地址，并混合一条数字分页模板。程序会先按输入顺序采集所有固定地址，再根据模板生成后续地址。</w:t>
      </w:r>
    </w:p>
    <w:p w14:paraId="007A4E50">
      <w:pPr>
        <w:pStyle w:val="5"/>
      </w:pPr>
      <w:r>
        <w:t>只有一页</w:t>
      </w:r>
    </w:p>
    <w:p w14:paraId="270D290D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https://www.example.com/notice/index.html</w:t>
      </w:r>
    </w:p>
    <w:p w14:paraId="3F2C71D6">
      <w:r>
        <w:t>不填写 {page} 模板，固定地址只采集一次。</w:t>
      </w:r>
    </w:p>
    <w:p w14:paraId="49FF3169">
      <w:pPr>
        <w:pStyle w:val="5"/>
      </w:pPr>
      <w:r>
        <w:t>第一页地址特殊，第二页开始递增</w:t>
      </w:r>
    </w:p>
    <w:p w14:paraId="77E09D1E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https://www.example.com/notice/node_101571.htm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https://www.example.com/notice/node_101571_{page}.htm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起始值：2    变化步长：1</w:t>
      </w:r>
    </w:p>
    <w:p w14:paraId="386C0A3D">
      <w:r>
        <w:t>采集顺序为固定第一页，然后生成第 2、3、4……页。</w:t>
      </w:r>
    </w:p>
    <w:p w14:paraId="16D00F6B">
      <w:pPr>
        <w:pStyle w:val="5"/>
      </w:pPr>
      <w:r>
        <w:t>分页递减或跨值变化</w:t>
      </w:r>
    </w:p>
    <w:p w14:paraId="74CAD236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https://www.example.com/archive/list_{page}.html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起始值：100    变化步长：-1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也可以设置为 -2、-10、2 或 10。</w:t>
      </w:r>
    </w:p>
    <w:p w14:paraId="07738D76">
      <w:pPr>
        <w:keepLines/>
        <w:pBdr>
          <w:left w:val="single" w:color="7A5A00" w:sz="20" w:space="8"/>
        </w:pBdr>
        <w:shd w:val="clear" w:fill="FFF8E8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7A5A00"/>
          <w:sz w:val="21"/>
        </w:rPr>
        <w:t xml:space="preserve">必须设置最大采集页数  </w:t>
      </w:r>
      <w:r>
        <w:rPr>
          <w:rFonts w:ascii="Calibri" w:hAnsi="Calibri" w:eastAsia="微软雅黑" w:cs="Calibri"/>
          <w:color w:val="333A40"/>
          <w:sz w:val="21"/>
        </w:rPr>
        <w:t>它只限制分页模板生成的页数，用于防止错误选择器或异常页面导致持续采集。</w:t>
      </w:r>
    </w:p>
    <w:p w14:paraId="5809D643">
      <w:r>
        <w:t>遇到以下情况会自动结束分页模板：</w:t>
      </w:r>
    </w:p>
    <w:p w14:paraId="5B074151">
      <w:pPr>
        <w:pStyle w:val="166"/>
      </w:pPr>
      <w:r>
        <w:t>当前页找不到列表项。</w:t>
      </w:r>
    </w:p>
    <w:p w14:paraId="45587E96">
      <w:pPr>
        <w:pStyle w:val="166"/>
      </w:pPr>
      <w:r>
        <w:t>生成的 URL 与已访问地址重复。</w:t>
      </w:r>
    </w:p>
    <w:p w14:paraId="31CC2561">
      <w:pPr>
        <w:pStyle w:val="166"/>
      </w:pPr>
      <w:r>
        <w:t>页面返回 404/410，或满足程序定义的空页结束条件。</w:t>
      </w:r>
    </w:p>
    <w:p w14:paraId="36706EA6">
      <w:pPr>
        <w:pStyle w:val="166"/>
      </w:pPr>
      <w:r>
        <w:t>已达到“模板最大采集页数”。</w:t>
      </w:r>
    </w:p>
    <w:p w14:paraId="4DD1D12D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分页范围  </w:t>
      </w:r>
      <w:r>
        <w:rPr>
          <w:rFonts w:ascii="Calibri" w:hAnsi="Calibri" w:eastAsia="微软雅黑" w:cs="Calibri"/>
          <w:color w:val="333A40"/>
          <w:sz w:val="21"/>
        </w:rPr>
        <w:t>同一任务最多一条含 {page} 的模板；首版不支持点选“下一页”、游标分页或多个分页变量。</w:t>
      </w:r>
    </w:p>
    <w:p w14:paraId="20333A71">
      <w:pPr>
        <w:pStyle w:val="3"/>
      </w:pPr>
      <w:r>
        <w:t>4 配置详情页和点选</w:t>
      </w:r>
    </w:p>
    <w:p w14:paraId="558AA7F5">
      <w:r>
        <w:t>如果列表页已经包含全部字段，可关闭详情采集。启用后，需要选择列表项内的详情链接，并从 href 属性得到地址。</w:t>
      </w:r>
    </w:p>
    <w:p w14:paraId="53065654">
      <w:pPr>
        <w:keepNext/>
        <w:spacing w:before="80" w:after="0"/>
        <w:jc w:val="center"/>
      </w:pPr>
      <w:r>
        <w:drawing>
          <wp:inline distT="0" distB="0" distL="114300" distR="114300">
            <wp:extent cx="5669280" cy="4129405"/>
            <wp:effectExtent l="0" t="0" r="7620" b="10795"/>
            <wp:docPr id="4" name="Picture 4" descr="TapCollect 最新版详情页配置界面，展示详情采集开关、链接选择器、href 属性和 hostname 站内判断。" title="图 3  详情页开关、详情链接和站内判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pCollect 最新版详情页配置界面，展示详情采集开关、链接选择器、href 属性和 hostname 站内判断。" title="图 3  详情页开关、详情链接和站内判断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530F">
      <w:pPr>
        <w:pStyle w:val="15"/>
        <w:keepNext w:val="0"/>
      </w:pPr>
      <w:r>
        <w:t>图 3  详情页开关、详情链接和站内判断</w:t>
      </w:r>
    </w:p>
    <w:p w14:paraId="4476A316">
      <w:pPr>
        <w:pStyle w:val="167"/>
        <w:numPr>
          <w:ilvl w:val="0"/>
          <w:numId w:val="11"/>
        </w:numPr>
      </w:pPr>
      <w:r>
        <w:t>开启“详情页采集”。</w:t>
      </w:r>
    </w:p>
    <w:p w14:paraId="1BA01A1C">
      <w:pPr>
        <w:pStyle w:val="167"/>
        <w:numPr>
          <w:ilvl w:val="0"/>
          <w:numId w:val="11"/>
        </w:numPr>
      </w:pPr>
      <w:r>
        <w:t>在一条列表记录中选择标题链接，或输入相对于列表项的选择器。</w:t>
      </w:r>
    </w:p>
    <w:p w14:paraId="578C24E6">
      <w:pPr>
        <w:pStyle w:val="167"/>
        <w:numPr>
          <w:ilvl w:val="0"/>
          <w:numId w:val="11"/>
        </w:numPr>
      </w:pPr>
      <w:r>
        <w:t>通常将提取属性设置为 href，再打开第一条有效详情检查。</w:t>
      </w:r>
    </w:p>
    <w:p w14:paraId="303BEBA1">
      <w:pPr>
        <w:pStyle w:val="4"/>
        <w:pageBreakBefore/>
      </w:pPr>
      <w:r>
        <w:t>点选与选择器验证</w:t>
      </w:r>
    </w:p>
    <w:p w14:paraId="2342BBCE">
      <w:pPr>
        <w:keepNext/>
        <w:spacing w:before="80" w:after="0"/>
        <w:jc w:val="center"/>
      </w:pPr>
      <w:r>
        <w:drawing>
          <wp:inline distT="0" distB="0" distL="114300" distR="114300">
            <wp:extent cx="5303520" cy="4330700"/>
            <wp:effectExtent l="0" t="0" r="5080" b="0"/>
            <wp:docPr id="5" name="Picture 5" descr="TapCollect 最新版网页预览，展示被点选的第二条列表记录、匹配数量标签和分页区域。" title="图 4  网页预览中的列表项点选与匹配高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pCollect 最新版网页预览，展示被点选的第二条列表记录、匹配数量标签和分页区域。" title="图 4  网页预览中的列表项点选与匹配高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37FB">
      <w:pPr>
        <w:pStyle w:val="15"/>
        <w:keepNext w:val="0"/>
      </w:pPr>
      <w:r>
        <w:t>图 4  网页预览中的列表项点选与匹配高亮</w:t>
      </w:r>
    </w:p>
    <w:p w14:paraId="37AFF457">
      <w:pPr>
        <w:pStyle w:val="166"/>
      </w:pPr>
      <w:r>
        <w:t>先选列表项外层容器，再为标题、日期、图片等字段选择容器内的相对位置。</w:t>
      </w:r>
    </w:p>
    <w:p w14:paraId="385C8F33">
      <w:pPr>
        <w:pStyle w:val="166"/>
      </w:pPr>
      <w:r>
        <w:t>验证结果应能识别同一列中的多条记录；若只命中第一条，应检查是否选到了页面级元素。</w:t>
      </w:r>
    </w:p>
    <w:p w14:paraId="46ED586C">
      <w:pPr>
        <w:pStyle w:val="166"/>
      </w:pPr>
      <w:r>
        <w:t>点选生成的选择器仍可手工修改，并再次验证数量。</w:t>
      </w:r>
    </w:p>
    <w:p w14:paraId="268B7B3C">
      <w:pPr>
        <w:pStyle w:val="4"/>
        <w:pageBreakBefore/>
      </w:pPr>
      <w:r>
        <w:t>站内与外链处理</w:t>
      </w:r>
    </w:p>
    <w:p w14:paraId="3C725F58">
      <w:r>
        <w:t>站内判断使用完整 URL.hostname。只有 hostname 完全相同才视为站内；协议、端口和路径不影响该判断。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00"/>
        <w:gridCol w:w="3360"/>
      </w:tblGrid>
      <w:tr w14:paraId="6854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F46C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列表页 hostname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AD5B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详情 hostname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617A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判断</w:t>
            </w:r>
          </w:p>
        </w:tc>
      </w:tr>
      <w:tr w14:paraId="4C80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C0ED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E98D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5CC1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站内，允许采集详情。</w:t>
            </w:r>
          </w:p>
        </w:tc>
      </w:tr>
      <w:tr w14:paraId="0EF2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DCF5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example.com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869E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FA7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外链，不请求详情。</w:t>
            </w:r>
          </w:p>
        </w:tc>
      </w:tr>
      <w:tr w14:paraId="7C0D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0E43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2322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news.example.com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949A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外链，不请求详情。</w:t>
            </w:r>
          </w:p>
        </w:tc>
      </w:tr>
    </w:tbl>
    <w:p w14:paraId="0FA0CE47">
      <w:pPr>
        <w:spacing w:after="40"/>
      </w:pPr>
    </w:p>
    <w:p w14:paraId="26DFE307">
      <w:pPr>
        <w:pStyle w:val="5"/>
      </w:pPr>
      <w:r>
        <w:t>外链输出方式</w:t>
      </w:r>
    </w:p>
    <w:p w14:paraId="58B184F6">
      <w:pPr>
        <w:pStyle w:val="167"/>
        <w:numPr>
          <w:ilvl w:val="0"/>
          <w:numId w:val="12"/>
        </w:numPr>
      </w:pPr>
      <w:r>
        <w:t>在 XML 字段映射中选择“外链 URL”来源。</w:t>
      </w:r>
    </w:p>
    <w:p w14:paraId="12240327">
      <w:pPr>
        <w:pStyle w:val="167"/>
        <w:numPr>
          <w:ilvl w:val="0"/>
          <w:numId w:val="12"/>
        </w:numPr>
      </w:pPr>
      <w:r>
        <w:t>把列表中的原链接写入模板现有的链接字段，不访问外部详情页。</w:t>
      </w:r>
    </w:p>
    <w:p w14:paraId="53A18867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没有链接字段时  </w:t>
      </w:r>
      <w:r>
        <w:rPr>
          <w:rFonts w:ascii="Calibri" w:hAnsi="Calibri" w:eastAsia="微软雅黑" w:cs="Calibri"/>
          <w:color w:val="333A40"/>
          <w:sz w:val="21"/>
        </w:rPr>
        <w:t>不必为站内链接额外增加 XML 字段；只映射模板实际存在、确实需要输出的字段。</w:t>
      </w:r>
    </w:p>
    <w:p w14:paraId="6E6903A8">
      <w:pPr>
        <w:pStyle w:val="3"/>
      </w:pPr>
      <w:r>
        <w:t>5 导入 XML 模板并选择记录节点</w:t>
      </w:r>
    </w:p>
    <w:p w14:paraId="5871A080">
      <w:r>
        <w:t>XML 字段不会按 title、text 等名称自动猜测。导入模板后，应先确认哪个节点代表单条记录，再逐字段明确处理方式。</w:t>
      </w:r>
    </w:p>
    <w:p w14:paraId="3089F21C">
      <w:pPr>
        <w:keepNext/>
        <w:spacing w:before="80" w:after="0"/>
        <w:jc w:val="center"/>
      </w:pPr>
      <w:r>
        <w:drawing>
          <wp:inline distT="0" distB="0" distL="114300" distR="114300">
            <wp:extent cx="5303520" cy="5022215"/>
            <wp:effectExtent l="0" t="0" r="5080" b="6985"/>
            <wp:docPr id="6" name="Picture 6" descr="TapCollect 最新版 XML 映射界面，左侧为 XML 树，右侧为每个字段的显式处理方式。" title="图 5  XML 模板树与字段映射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pCollect 最新版 XML 映射界面，左侧为 XML 树，右侧为每个字段的显式处理方式。" title="图 5  XML 模板树与字段映射总览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2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02A4">
      <w:pPr>
        <w:pStyle w:val="15"/>
        <w:keepNext w:val="0"/>
      </w:pPr>
      <w:r>
        <w:t>图 5  XML 模板树与字段映射总览</w:t>
      </w:r>
    </w:p>
    <w:p w14:paraId="2557C311">
      <w:pPr>
        <w:pStyle w:val="167"/>
        <w:numPr>
          <w:ilvl w:val="0"/>
          <w:numId w:val="13"/>
        </w:numPr>
      </w:pPr>
      <w:r>
        <w:t>导入完整 XML 模板。工具会保留模板编码和 CDATA 信息。</w:t>
      </w:r>
    </w:p>
    <w:p w14:paraId="32784FF7">
      <w:pPr>
        <w:pStyle w:val="167"/>
        <w:numPr>
          <w:ilvl w:val="0"/>
          <w:numId w:val="13"/>
        </w:numPr>
      </w:pPr>
      <w:r>
        <w:t>在左侧 XML 树中选择单条示例记录节点，例如 /book/article。</w:t>
      </w:r>
    </w:p>
    <w:p w14:paraId="7D76D10D">
      <w:pPr>
        <w:pStyle w:val="167"/>
        <w:numPr>
          <w:ilvl w:val="0"/>
          <w:numId w:val="13"/>
        </w:numPr>
      </w:pPr>
      <w:r>
        <w:t>逐个展开字段，选择页面采集、外链 URL、固定值、系统值、保留示例值或输出为空。每采集到一条记录，工具会复制该记录节点并写入映射结果，模板中的其他固定结构会保留。</w:t>
      </w:r>
    </w:p>
    <w:p w14:paraId="3D96875E">
      <w:pPr>
        <w:pStyle w:val="3"/>
      </w:pPr>
      <w:r>
        <w:t>6 配置字段映射和合并值</w:t>
      </w:r>
    </w:p>
    <w:p w14:paraId="2E4EAFE9">
      <w:r>
        <w:t>字段编辑器用于决定数据来自列表页还是详情页、使用 CSS 还是 XPath、提取文本还是 HTML，以及多个命中值如何处理。</w:t>
      </w:r>
    </w:p>
    <w:p w14:paraId="0D0CDBD4">
      <w:pPr>
        <w:keepNext/>
        <w:spacing w:before="80" w:after="0"/>
        <w:jc w:val="center"/>
      </w:pPr>
      <w:r>
        <w:drawing>
          <wp:inline distT="0" distB="0" distL="114300" distR="114300">
            <wp:extent cx="5303520" cy="5513705"/>
            <wp:effectExtent l="0" t="0" r="5080" b="10795"/>
            <wp:docPr id="7" name="Picture 7" descr="TapCollect 最新版字段映射编辑器，展示页面来源、选择器类型、选择器验证、提取内容和多元素处理。" title="图 6  字段映射编辑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pCollect 最新版字段映射编辑器，展示页面来源、选择器类型、选择器验证、提取内容和多元素处理。" title="图 6  字段映射编辑器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1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DAE4">
      <w:pPr>
        <w:pStyle w:val="15"/>
        <w:keepNext w:val="0"/>
      </w:pPr>
      <w:r>
        <w:t>图 6  字段映射编辑器</w:t>
      </w:r>
    </w:p>
    <w:p w14:paraId="3B8B7B9B">
      <w:pPr>
        <w:pStyle w:val="4"/>
        <w:pageBreakBefore/>
      </w:pPr>
      <w:r>
        <w:t>常用字段处理方式</w:t>
      </w:r>
    </w:p>
    <w:p w14:paraId="278A4995">
      <w:pPr>
        <w:pStyle w:val="166"/>
      </w:pPr>
      <w:r>
        <w:t>页面采集：从列表页或详情页按 CSS/XPath 读取文本、innerHTML 或指定属性。</w:t>
      </w:r>
    </w:p>
    <w:p w14:paraId="51347C8A">
      <w:pPr>
        <w:pStyle w:val="166"/>
      </w:pPr>
      <w:r>
        <w:t>外链 URL：详情链接为外链时直接输出原地址，不请求外部详情。</w:t>
      </w:r>
    </w:p>
    <w:p w14:paraId="35D1C167">
      <w:pPr>
        <w:pStyle w:val="166"/>
      </w:pPr>
      <w:r>
        <w:t>固定值：所有记录写入同一个常量。</w:t>
      </w:r>
    </w:p>
    <w:p w14:paraId="609F7659">
      <w:pPr>
        <w:pStyle w:val="166"/>
      </w:pPr>
      <w:r>
        <w:t>系统值：写入采集时间等工具提供的值。</w:t>
      </w:r>
    </w:p>
    <w:p w14:paraId="17466137">
      <w:pPr>
        <w:pStyle w:val="166"/>
      </w:pPr>
      <w:r>
        <w:t>保留示例值 / 输出为空：沿用模板示例，或明确生成空内容。</w:t>
      </w:r>
    </w:p>
    <w:p w14:paraId="5D3E69FE">
      <w:pPr>
        <w:pStyle w:val="4"/>
      </w:pPr>
      <w:r>
        <w:t>多元素与合并值</w:t>
      </w:r>
    </w:p>
    <w:p w14:paraId="48FD67DC">
      <w:r>
        <w:t>同一选择器命中多个元素时，可以只取第一个，也可以按配置顺序合并。使用“合并值”时，可添加多个来源，并设置连接符，将标题前缀、栏目、日期等内容拼接到同一个 XML 字段。</w:t>
      </w:r>
    </w:p>
    <w:p w14:paraId="35AA9CAD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来源 1：栏目名称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来源 2：新闻标题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连接符： - 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输出：通知公告 - 关于开展示例活动的通知</w:t>
      </w:r>
    </w:p>
    <w:p w14:paraId="27C6E8D7">
      <w:pPr>
        <w:pStyle w:val="4"/>
      </w:pPr>
      <w:r>
        <w:t>把附件保留在 text 正文中</w:t>
      </w:r>
    </w:p>
    <w:p w14:paraId="4EAC64E7">
      <w:pPr>
        <w:pStyle w:val="167"/>
        <w:numPr>
          <w:ilvl w:val="0"/>
          <w:numId w:val="14"/>
        </w:numPr>
      </w:pPr>
      <w:r>
        <w:t>将 text 字段来源设置为详情页正文容器。</w:t>
      </w:r>
    </w:p>
    <w:p w14:paraId="0DA57C87">
      <w:pPr>
        <w:pStyle w:val="167"/>
        <w:numPr>
          <w:ilvl w:val="0"/>
          <w:numId w:val="14"/>
        </w:numPr>
      </w:pPr>
      <w:r>
        <w:t>提取内容选择 innerHTML，使正文中的 a 标签和附件链接一并保留。</w:t>
      </w:r>
    </w:p>
    <w:p w14:paraId="41CC4AC9">
      <w:pPr>
        <w:pStyle w:val="167"/>
        <w:numPr>
          <w:ilvl w:val="0"/>
          <w:numId w:val="14"/>
        </w:numPr>
      </w:pPr>
      <w:r>
        <w:t>在输出设置中启用资源地址绝对化，并按需要配置 href 等路径替换。</w:t>
      </w:r>
    </w:p>
    <w:p w14:paraId="5D20B2C4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附件规则  </w:t>
      </w:r>
      <w:r>
        <w:rPr>
          <w:rFonts w:ascii="Calibri" w:hAnsi="Calibri" w:eastAsia="微软雅黑" w:cs="Calibri"/>
          <w:color w:val="333A40"/>
          <w:sz w:val="21"/>
        </w:rPr>
        <w:t>附件不单独下载，也不拆到独立字段；正文中的附件链接会随 HTML 一起写入 text 字段。</w:t>
      </w:r>
    </w:p>
    <w:p w14:paraId="611AFC29">
      <w:pPr>
        <w:pStyle w:val="3"/>
      </w:pPr>
      <w:r>
        <w:t>7 输出、资源路径与请求设置</w:t>
      </w:r>
    </w:p>
    <w:p w14:paraId="76818AA0">
      <w:r>
        <w:t>最后一步集中设置正文资源处理、XML 分批、覆盖策略和网络参数。路径替换仅修改 XML 内容中的地址，不会下载图片、附件或媒体文件。</w:t>
      </w:r>
    </w:p>
    <w:p w14:paraId="3B50D207">
      <w:pPr>
        <w:keepNext/>
        <w:spacing w:before="80" w:after="0"/>
        <w:jc w:val="center"/>
      </w:pPr>
      <w:r>
        <w:drawing>
          <wp:inline distT="0" distB="0" distL="114300" distR="114300">
            <wp:extent cx="5303520" cy="5513705"/>
            <wp:effectExtent l="0" t="0" r="5080" b="10795"/>
            <wp:docPr id="8" name="Picture 8" descr="TapCollect 最新版输出设置界面，展示资源绝对化、有序路径替换、输出目录、每文件条数、覆盖开关和请求参数。" title="图 7  输出、资源路径和请求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pCollect 最新版输出设置界面，展示资源绝对化、有序路径替换、输出目录、每文件条数、覆盖开关和请求参数。" title="图 7  输出、资源路径和请求设置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1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0A5">
      <w:pPr>
        <w:pStyle w:val="15"/>
        <w:keepNext w:val="0"/>
      </w:pPr>
      <w:r>
        <w:t>图 7  输出、资源路径和请求设置</w:t>
      </w:r>
    </w:p>
    <w:p w14:paraId="786AC828">
      <w:pPr>
        <w:pStyle w:val="4"/>
        <w:pageBreakBefore/>
      </w:pPr>
      <w:r>
        <w:t>资源路径处理</w:t>
      </w:r>
    </w:p>
    <w:p w14:paraId="28D413A2">
      <w:pPr>
        <w:pStyle w:val="166"/>
      </w:pPr>
      <w:r>
        <w:t>资源地址绝对化：把相对 src、href 等地址转换为完整地址。</w:t>
      </w:r>
    </w:p>
    <w:p w14:paraId="00F2C69C">
      <w:pPr>
        <w:pStyle w:val="166"/>
      </w:pPr>
      <w:r>
        <w:t>清理脚本、事件和 DocView 预览：删除不需要的脚本、事件属性及预览 iframe。</w:t>
      </w:r>
    </w:p>
    <w:p w14:paraId="16487B1B">
      <w:pPr>
        <w:pStyle w:val="166"/>
      </w:pPr>
      <w:r>
        <w:t>补充资源属性：指定 data-src、data-file、data-url 等自定义资源属性。</w:t>
      </w:r>
    </w:p>
    <w:p w14:paraId="36EA7962">
      <w:pPr>
        <w:pStyle w:val="166"/>
      </w:pPr>
      <w:r>
        <w:t>有序路径替换：按界面顺序执行字面字符串替换。</w:t>
      </w:r>
    </w:p>
    <w:p w14:paraId="13E278F2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原字符串：https://www.example.com/uploads/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新字符串：/static/news/</w:t>
      </w:r>
    </w:p>
    <w:p w14:paraId="1BC0D640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替换顺序  </w:t>
      </w:r>
      <w:r>
        <w:rPr>
          <w:rFonts w:ascii="Calibri" w:hAnsi="Calibri" w:eastAsia="微软雅黑" w:cs="Calibri"/>
          <w:color w:val="333A40"/>
          <w:sz w:val="21"/>
        </w:rPr>
        <w:t>多条规则会依次执行，前一条的结果可能继续被后一条匹配。</w:t>
      </w:r>
    </w:p>
    <w:p w14:paraId="08791BFB">
      <w:pPr>
        <w:pStyle w:val="4"/>
      </w:pPr>
      <w:r>
        <w:t>XML 输出</w:t>
      </w:r>
    </w:p>
    <w:p w14:paraId="3D86880C">
      <w:pPr>
        <w:pStyle w:val="166"/>
      </w:pPr>
      <w:r>
        <w:t>每个 XML 文件可保存 1–200 条，默认 200 条；超过上限自动新建下一个文件。</w:t>
      </w:r>
    </w:p>
    <w:p w14:paraId="64AD9B78">
      <w:pPr>
        <w:pStyle w:val="166"/>
      </w:pPr>
      <w:r>
        <w:t>“覆盖旧结果”默认开启；关闭后，文件名会加入时间戳，避免覆盖历史结果。</w:t>
      </w:r>
    </w:p>
    <w:p w14:paraId="7D03E86B">
      <w:pPr>
        <w:pStyle w:val="166"/>
      </w:pPr>
      <w:r>
        <w:t>输出先写入临时文件，再原子重命名，降低运行中断导致半个 XML 文件的风险。</w:t>
      </w:r>
    </w:p>
    <w:p w14:paraId="55079372">
      <w:pPr>
        <w:pStyle w:val="4"/>
      </w:pPr>
      <w:r>
        <w:t>请求与并发</w:t>
      </w:r>
    </w:p>
    <w:p w14:paraId="73981B07">
      <w:pPr>
        <w:pStyle w:val="166"/>
      </w:pPr>
      <w:r>
        <w:t>列表页按顺序请求；详情页并发范围 1–5，最终仍按列表顺序写入。</w:t>
      </w:r>
    </w:p>
    <w:p w14:paraId="60756C63">
      <w:pPr>
        <w:pStyle w:val="166"/>
      </w:pPr>
      <w:r>
        <w:t>可配置超时、请求延迟、编码覆盖、User-Agent 和自定义请求头。</w:t>
      </w:r>
    </w:p>
    <w:p w14:paraId="5A31A5F6">
      <w:pPr>
        <w:pStyle w:val="166"/>
      </w:pPr>
      <w:r>
        <w:t>遇到乱码时优先尝试编码覆盖；遇到限速时提高请求延迟并降低详情并发。</w:t>
      </w:r>
    </w:p>
    <w:p w14:paraId="06D263AE">
      <w:pPr>
        <w:pStyle w:val="3"/>
      </w:pPr>
      <w:r>
        <w:t>8 先测试再正式采集</w:t>
      </w:r>
    </w:p>
    <w:p w14:paraId="3F2AEB04">
      <w:r>
        <w:t>“执行测试”只读取当前列表页，并处理前 3 条记录，适合在正式运行前检查选择器、字段映射和 XML 结构。</w:t>
      </w:r>
    </w:p>
    <w:p w14:paraId="2D85AB4C">
      <w:pPr>
        <w:keepNext/>
        <w:spacing w:before="80" w:after="0"/>
        <w:jc w:val="center"/>
      </w:pPr>
      <w:r>
        <w:drawing>
          <wp:inline distT="0" distB="0" distL="114300" distR="114300">
            <wp:extent cx="5669280" cy="3190875"/>
            <wp:effectExtent l="0" t="0" r="7620" b="9525"/>
            <wp:docPr id="9" name="Picture 9" descr="TapCollect 最新版测试结果区域，展示列表项数量、字段匹配次数、前三条数据表和 XML 预览入口。" title="图 8  测试采集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pCollect 最新版测试结果区域，展示列表项数量、字段匹配次数、前三条数据表和 XML 预览入口。" title="图 8  测试采集结果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189F">
      <w:pPr>
        <w:pStyle w:val="15"/>
        <w:keepNext w:val="0"/>
      </w:pPr>
      <w:r>
        <w:t>图 8  测试采集结果</w:t>
      </w:r>
    </w:p>
    <w:p w14:paraId="3763678B">
      <w:pPr>
        <w:pStyle w:val="167"/>
        <w:numPr>
          <w:ilvl w:val="0"/>
          <w:numId w:val="15"/>
        </w:numPr>
      </w:pPr>
      <w:r>
        <w:t>确认“列表项匹配”数量与页面实际记录数接近。</w:t>
      </w:r>
    </w:p>
    <w:p w14:paraId="4A581397">
      <w:pPr>
        <w:pStyle w:val="167"/>
        <w:numPr>
          <w:ilvl w:val="0"/>
          <w:numId w:val="15"/>
        </w:numPr>
      </w:pPr>
      <w:r>
        <w:t>查看每个 XML 字段在 3 条记录中的匹配次数；必填字段不应出现缺失。</w:t>
      </w:r>
    </w:p>
    <w:p w14:paraId="5E415468">
      <w:pPr>
        <w:pStyle w:val="167"/>
        <w:numPr>
          <w:ilvl w:val="0"/>
          <w:numId w:val="15"/>
        </w:numPr>
      </w:pPr>
      <w:r>
        <w:t>核对表格中的标题、日期、正文、图片和外链是否来自预期位置。</w:t>
      </w:r>
    </w:p>
    <w:p w14:paraId="47FB858D">
      <w:pPr>
        <w:pStyle w:val="167"/>
        <w:numPr>
          <w:ilvl w:val="0"/>
          <w:numId w:val="15"/>
        </w:numPr>
      </w:pPr>
      <w:r>
        <w:t>展开 XML 预览，确认节点、CDATA、编码和内容格式正确。</w:t>
      </w:r>
    </w:p>
    <w:p w14:paraId="18679EC0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测试通过标准  </w:t>
      </w:r>
      <w:r>
        <w:rPr>
          <w:rFonts w:ascii="Calibri" w:hAnsi="Calibri" w:eastAsia="微软雅黑" w:cs="Calibri"/>
          <w:color w:val="333A40"/>
          <w:sz w:val="21"/>
        </w:rPr>
        <w:t>列表项、详情链接、必填字段和 XML 预览均符合预期后，再点击“开始正式采集”。</w:t>
      </w:r>
    </w:p>
    <w:p w14:paraId="74B5DE26">
      <w:pPr>
        <w:pStyle w:val="3"/>
      </w:pPr>
      <w:r>
        <w:t>9 正式运行、暂停与取消</w:t>
      </w:r>
    </w:p>
    <w:p w14:paraId="669C622F">
      <w:r>
        <w:t>运行抽屉会显示当前页、发现数量、成功数量、重复、跳过/失败和实时日志。工具同一时间只运行一个任务。</w:t>
      </w:r>
    </w:p>
    <w:p w14:paraId="7F7B11B4">
      <w:pPr>
        <w:keepNext/>
        <w:spacing w:before="80" w:after="0"/>
        <w:jc w:val="center"/>
      </w:pPr>
      <w:r>
        <w:drawing>
          <wp:inline distT="0" distB="0" distL="114300" distR="114300">
            <wp:extent cx="4389120" cy="2005965"/>
            <wp:effectExtent l="0" t="0" r="5080" b="635"/>
            <wp:docPr id="10" name="Picture 10" descr="TapCollect 最新版运行抽屉左侧，显示当前页、发现、成功、重复和跳过或失败数量。" title="图 9  正式采集的运行指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pCollect 最新版运行抽屉左侧，显示当前页、发现、成功、重复和跳过或失败数量。" title="图 9  正式采集的运行指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0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07D7">
      <w:pPr>
        <w:pStyle w:val="15"/>
        <w:keepNext w:val="0"/>
      </w:pPr>
      <w:r>
        <w:t>图 9  正式采集的运行指标</w:t>
      </w:r>
    </w:p>
    <w:p w14:paraId="115781B4">
      <w:pPr>
        <w:keepNext/>
        <w:spacing w:before="80" w:after="0"/>
        <w:jc w:val="center"/>
      </w:pPr>
      <w:r>
        <w:drawing>
          <wp:inline distT="0" distB="0" distL="114300" distR="114300">
            <wp:extent cx="5760720" cy="912495"/>
            <wp:effectExtent l="0" t="0" r="5080" b="1905"/>
            <wp:docPr id="11" name="Picture 11" descr="TapCollect 最新版运行抽屉右侧，显示当前 URL、实时日志以及暂停和取消按钮。" title="图 10  实时日志与暂停、取消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pCollect 最新版运行抽屉右侧，显示当前 URL、实时日志以及暂停和取消按钮。" title="图 10  实时日志与暂停、取消控制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90A3">
      <w:pPr>
        <w:pStyle w:val="15"/>
        <w:keepNext w:val="0"/>
      </w:pPr>
      <w:r>
        <w:t>图 10  实时日志与暂停、取消控制</w:t>
      </w:r>
    </w:p>
    <w:p w14:paraId="448DB571">
      <w:pPr>
        <w:pStyle w:val="166"/>
      </w:pPr>
      <w:r>
        <w:t>暂停：保存当前检查点，稍后可继续。</w:t>
      </w:r>
    </w:p>
    <w:p w14:paraId="61A9639B">
      <w:pPr>
        <w:pStyle w:val="166"/>
      </w:pPr>
      <w:r>
        <w:t>继续：从已保存的检查点恢复，避免重复处理已完成记录。</w:t>
      </w:r>
    </w:p>
    <w:p w14:paraId="70FAE14A">
      <w:pPr>
        <w:pStyle w:val="166"/>
      </w:pPr>
      <w:r>
        <w:t>取消：停止当前运行；已经写入完成的输出文件会保留。</w:t>
      </w:r>
    </w:p>
    <w:p w14:paraId="32AE5549">
      <w:pPr>
        <w:pStyle w:val="166"/>
      </w:pPr>
      <w:r>
        <w:t>完成后可直接打开输出目录；若存在失败记录，可打开 CSV 错误日志。</w:t>
      </w:r>
    </w:p>
    <w:p w14:paraId="2E74FB19">
      <w:pPr>
        <w:pStyle w:val="3"/>
      </w:pPr>
      <w:r>
        <w:t>10 查看输出文件和本地数据</w:t>
      </w:r>
    </w:p>
    <w:p w14:paraId="4423DAE8">
      <w:r>
        <w:t>任务名称决定输出目录和文件名前缀。默认每 200 条拆分一次，编号从 001 开始。</w:t>
      </w:r>
    </w:p>
    <w:p w14:paraId="5CABE5D3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输出根目录/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└─ 政务新闻/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├─ 政务新闻_001.xml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├─ 政务新闻_002.xml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└─ 政务新闻_错误日志.csv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 w14:paraId="78BA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E474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文件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F40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用途</w:t>
            </w:r>
          </w:p>
        </w:tc>
      </w:tr>
      <w:tr w14:paraId="0BA8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FBD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任务名称_001.xml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9BA2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按 XML 模板写入的第一批记录。</w:t>
            </w:r>
          </w:p>
        </w:tc>
      </w:tr>
      <w:tr w14:paraId="16B8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A80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任务名称_002.xml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4A7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超过单文件上限后自动创建的下一批。</w:t>
            </w:r>
          </w:p>
        </w:tc>
      </w:tr>
      <w:tr w14:paraId="0499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45A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任务名称_错误日志.csv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8A24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记录请求失败、解析失败和必填字段缺失等问题。</w:t>
            </w:r>
          </w:p>
        </w:tc>
      </w:tr>
      <w:tr w14:paraId="7E2B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6E38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带时间戳文件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A87E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关闭覆盖开关时，用于保留多次运行结果。</w:t>
            </w:r>
          </w:p>
        </w:tc>
      </w:tr>
    </w:tbl>
    <w:p w14:paraId="75D70773">
      <w:pPr>
        <w:spacing w:after="40"/>
      </w:pPr>
    </w:p>
    <w:p w14:paraId="20601C53">
      <w:pPr>
        <w:pStyle w:val="4"/>
      </w:pPr>
      <w:r>
        <w:t>任务配置和检查点</w:t>
      </w:r>
    </w:p>
    <w:p w14:paraId="234050ED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collector-data/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├─ settings.json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├─ tasks/&lt;task-id&gt;/task.json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├─ checkpoints/&lt;task-id&gt;/checkpoint.json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├─ checkpoints/&lt;task-id&gt;/pending.ndjson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└─ manifests/&lt;task-id&gt;.json</w:t>
      </w:r>
    </w:p>
    <w:p w14:paraId="21561D1B">
      <w:pPr>
        <w:pStyle w:val="166"/>
      </w:pPr>
      <w:r>
        <w:t>Windows 通常位于 %APPDATA%/TapCollect/collector-data。</w:t>
      </w:r>
    </w:p>
    <w:p w14:paraId="3317D6A9">
      <w:pPr>
        <w:pStyle w:val="166"/>
      </w:pPr>
      <w:r>
        <w:t>Linux/UOS 通常位于 ~/.config/TapCollect/collector-data。</w:t>
      </w:r>
    </w:p>
    <w:p w14:paraId="4DB66FE6">
      <w:pPr>
        <w:pStyle w:val="166"/>
      </w:pPr>
      <w:r>
        <w:t>macOS 通常位于 ~/Library/Application Support/TapCollect/collector-data。</w:t>
      </w:r>
    </w:p>
    <w:p w14:paraId="164FB5EB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删除任务  </w:t>
      </w:r>
      <w:r>
        <w:rPr>
          <w:rFonts w:ascii="Calibri" w:hAnsi="Calibri" w:eastAsia="微软雅黑" w:cs="Calibri"/>
          <w:color w:val="333A40"/>
          <w:sz w:val="21"/>
        </w:rPr>
        <w:t>只删除本地任务配置和检查点，不删除已经生成的 XML 与错误日志。</w:t>
      </w:r>
    </w:p>
    <w:p w14:paraId="629F7D68">
      <w:pPr>
        <w:pStyle w:val="3"/>
      </w:pPr>
      <w:r>
        <w:t>11 常见问题</w:t>
      </w:r>
    </w:p>
    <w:p w14:paraId="2BAD0A59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预览打不开，或正式采集没有数据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确认目标页面可以通过 HTTP GET 直接返回完整 HTML。需要 JavaScript 执行、登录、验证码、POST 或特殊登录态的页面不在首版支持范围内。</w:t>
      </w:r>
    </w:p>
    <w:p w14:paraId="5A072ECD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点选后总是识别第一条，或验证不到其他列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先把“列表项容器”选到一整条记录的外层节点，再在字段映射里选择该记录内部的标题、日期或图片。字段选择器应相对于列表项执行。</w:t>
      </w:r>
    </w:p>
    <w:p w14:paraId="54256755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页面只有一页，没有分页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只填写固定 URL，不添加 {page} 模板；程序会采集一次后结束。</w:t>
      </w:r>
    </w:p>
    <w:p w14:paraId="106B6E38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分页地址不是查询参数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只要数字位置可替换，就可使用 {page}，例如 node_101571_{page}.htm；第一页特殊时，把第一页作为固定地址单独放在前面。</w:t>
      </w:r>
    </w:p>
    <w:p w14:paraId="516DA2B1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担心分页无限循环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设置模板最大采集页数。找不到列表项、URL 重复、404/410 或达到最大页数时会自动结束。</w:t>
      </w:r>
    </w:p>
    <w:p w14:paraId="2BC241AD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中文乱码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先保持“自动识别”；若结果仍乱码，在请求设置中选择目标页面实际编码后重新测试。</w:t>
      </w:r>
    </w:p>
    <w:p w14:paraId="03629CB7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图片或附件没有下载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这是首版的正常行为。工具只把资源地址绝对化或替换为新路径，不下载资源文件。附件链接应保留在 text 正文 HTML 中。</w:t>
      </w:r>
    </w:p>
    <w:p w14:paraId="39461270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外链为什么没有进入详情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工具按完整 hostname 判断站内。hostname 不同即视为外链，不发起详情请求，可把原链接映射到 XML 的外链字段。</w:t>
      </w:r>
    </w:p>
    <w:p w14:paraId="382072EB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macOS 提示无法验证开发者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当前 macOS 包未签名、未公证，首次打开可能触发 Gatekeeper 提示。正式对外分发前应配置 Apple Developer 签名和公证。</w:t>
      </w:r>
    </w:p>
    <w:p w14:paraId="14E56D5E">
      <w:pPr>
        <w:pStyle w:val="3"/>
      </w:pPr>
      <w:r>
        <w:t>12 首版限制与运行前检查</w:t>
      </w:r>
    </w:p>
    <w:p w14:paraId="05590EBF">
      <w:r>
        <w:t>TapCollect 0.1.0 定位为简单、可配置的静态网页采集工具，以下能力暂不提供：</w:t>
      </w:r>
    </w:p>
    <w:p w14:paraId="0014C50D">
      <w:pPr>
        <w:pStyle w:val="166"/>
      </w:pPr>
      <w:r>
        <w:t>JavaScript 动态数据、登录、验证码、POST、代理或登录态维护。</w:t>
      </w:r>
    </w:p>
    <w:p w14:paraId="362733E9">
      <w:pPr>
        <w:pStyle w:val="166"/>
      </w:pPr>
      <w:r>
        <w:t>点选下一页、游标分页、多条分页模板、多个分页变量。</w:t>
      </w:r>
    </w:p>
    <w:p w14:paraId="502394BF">
      <w:pPr>
        <w:pStyle w:val="166"/>
      </w:pPr>
      <w:r>
        <w:t>正则、用户脚本、复杂日期转换、动态重复 XML 子结构。</w:t>
      </w:r>
    </w:p>
    <w:p w14:paraId="5BC24BF5">
      <w:pPr>
        <w:pStyle w:val="166"/>
      </w:pPr>
      <w:r>
        <w:t>图片、附件和媒体下载。</w:t>
      </w:r>
    </w:p>
    <w:p w14:paraId="3CC35442">
      <w:pPr>
        <w:pStyle w:val="166"/>
      </w:pPr>
      <w:r>
        <w:t>定时任务、多任务并行、托盘后台、自动更新。</w:t>
      </w:r>
    </w:p>
    <w:p w14:paraId="2B0EF6DB">
      <w:pPr>
        <w:pStyle w:val="166"/>
      </w:pPr>
      <w:r>
        <w:t>XSD/业务 DTD 校验，以及任务配置跨机器导入导出。</w:t>
      </w:r>
    </w:p>
    <w:p w14:paraId="19C70B5D">
      <w:pPr>
        <w:pStyle w:val="4"/>
      </w:pPr>
      <w:r>
        <w:t>运行前检查</w:t>
      </w:r>
    </w:p>
    <w:p w14:paraId="0B447037">
      <w:pPr>
        <w:pStyle w:val="167"/>
        <w:numPr>
          <w:ilvl w:val="0"/>
          <w:numId w:val="16"/>
        </w:numPr>
      </w:pPr>
      <w:r>
        <w:t>列表 URL 可以直接访问，列表项容器匹配数量正确。</w:t>
      </w:r>
    </w:p>
    <w:p w14:paraId="2C01E0E8">
      <w:pPr>
        <w:pStyle w:val="167"/>
        <w:numPr>
          <w:ilvl w:val="0"/>
          <w:numId w:val="16"/>
        </w:numPr>
      </w:pPr>
      <w:r>
        <w:t>分页模板最多一条，起始值与步长正确，已设置最大采集页数。</w:t>
      </w:r>
    </w:p>
    <w:p w14:paraId="5781AD55">
      <w:pPr>
        <w:pStyle w:val="167"/>
        <w:numPr>
          <w:ilvl w:val="0"/>
          <w:numId w:val="16"/>
        </w:numPr>
      </w:pPr>
      <w:r>
        <w:t>详情链接和 hostname 规则符合预期，外链字段已按模板映射。</w:t>
      </w:r>
    </w:p>
    <w:p w14:paraId="3BC85D4D">
      <w:pPr>
        <w:pStyle w:val="167"/>
        <w:numPr>
          <w:ilvl w:val="0"/>
          <w:numId w:val="16"/>
        </w:numPr>
      </w:pPr>
      <w:r>
        <w:t>XML 记录节点、CDATA 和每个字段处理方式已确认。</w:t>
      </w:r>
    </w:p>
    <w:p w14:paraId="54DB66EF">
      <w:pPr>
        <w:pStyle w:val="167"/>
        <w:numPr>
          <w:ilvl w:val="0"/>
          <w:numId w:val="16"/>
        </w:numPr>
      </w:pPr>
      <w:r>
        <w:t>text 正文使用 innerHTML，附件链接可以在 XML 预览中看到。</w:t>
      </w:r>
    </w:p>
    <w:p w14:paraId="0E12F98E">
      <w:pPr>
        <w:pStyle w:val="167"/>
        <w:numPr>
          <w:ilvl w:val="0"/>
          <w:numId w:val="16"/>
        </w:numPr>
      </w:pPr>
      <w:r>
        <w:t>资源替换顺序、输出目录、每文件条数和覆盖开关已确认。</w:t>
      </w:r>
    </w:p>
    <w:p w14:paraId="4E6405B4">
      <w:pPr>
        <w:pStyle w:val="167"/>
        <w:numPr>
          <w:ilvl w:val="0"/>
          <w:numId w:val="16"/>
        </w:numPr>
      </w:pPr>
      <w:r>
        <w:t>测试前 3 条记录通过，再开始正式运行。</w:t>
      </w:r>
    </w:p>
    <w:p w14:paraId="6BBBC4A6">
      <w:pPr>
        <w:keepLines/>
        <w:pBdr>
          <w:left w:val="single" w:color="7A5A00" w:sz="20" w:space="8"/>
        </w:pBdr>
        <w:shd w:val="clear" w:fill="FFF8E8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7A5A00"/>
          <w:sz w:val="21"/>
        </w:rPr>
        <w:t xml:space="preserve">使用提醒  </w:t>
      </w:r>
      <w:r>
        <w:rPr>
          <w:rFonts w:ascii="Calibri" w:hAnsi="Calibri" w:eastAsia="微软雅黑" w:cs="Calibri"/>
          <w:color w:val="333A40"/>
          <w:sz w:val="21"/>
        </w:rPr>
        <w:t>请仅采集有权访问和使用的公开信息，并遵守目标网站的使用规则。</w:t>
      </w:r>
    </w:p>
    <w:sectPr>
      <w:footerReference r:id="rId7" w:type="first"/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1C464">
    <w:pPr>
      <w:pStyle w:val="24"/>
      <w:spacing w:before="0"/>
      <w:jc w:val="right"/>
    </w:pPr>
    <w:r>
      <w:rPr>
        <w:rFonts w:ascii="Calibri" w:hAnsi="Calibri" w:eastAsia="微软雅黑" w:cs="Calibri"/>
        <w:color w:val="68767A"/>
        <w:sz w:val="18"/>
      </w:rPr>
      <w:t xml:space="preserve">版本 0.1.0  ·  第 </w:t>
    </w:r>
    <w:r>
      <w:rPr>
        <w:rFonts w:ascii="Calibri" w:hAnsi="Calibri" w:eastAsia="微软雅黑" w:cs="Calibri"/>
        <w:color w:val="68767A"/>
        <w:sz w:val="18"/>
      </w:rPr>
      <w:fldChar w:fldCharType="begin"/>
    </w:r>
    <w:r>
      <w:rPr>
        <w:rFonts w:ascii="Calibri" w:hAnsi="Calibri" w:eastAsia="微软雅黑" w:cs="Calibri"/>
        <w:color w:val="68767A"/>
        <w:sz w:val="18"/>
      </w:rPr>
      <w:instrText xml:space="preserve"> PAGE </w:instrText>
    </w:r>
    <w:r>
      <w:rPr>
        <w:rFonts w:ascii="Calibri" w:hAnsi="Calibri" w:eastAsia="微软雅黑" w:cs="Calibri"/>
        <w:color w:val="68767A"/>
        <w:sz w:val="18"/>
      </w:rPr>
      <w:fldChar w:fldCharType="separate"/>
    </w:r>
    <w:r>
      <w:rPr>
        <w:rFonts w:ascii="Calibri" w:hAnsi="Calibri" w:eastAsia="微软雅黑" w:cs="Calibri"/>
        <w:color w:val="68767A"/>
        <w:sz w:val="18"/>
      </w:rPr>
      <w:t>1</w:t>
    </w:r>
    <w:r>
      <w:rPr>
        <w:rFonts w:ascii="Calibri" w:hAnsi="Calibri" w:eastAsia="微软雅黑" w:cs="Calibri"/>
        <w:color w:val="68767A"/>
        <w:sz w:val="18"/>
      </w:rPr>
      <w:fldChar w:fldCharType="end"/>
    </w:r>
    <w:r>
      <w:rPr>
        <w:rFonts w:ascii="Calibri" w:hAnsi="Calibri" w:eastAsia="微软雅黑" w:cs="Calibri"/>
        <w:color w:val="68767A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284E7">
    <w:pPr>
      <w:pStyle w:val="24"/>
      <w:jc w:val="center"/>
    </w:pPr>
    <w:r>
      <w:rPr>
        <w:rFonts w:ascii="Calibri" w:hAnsi="Calibri" w:eastAsia="微软雅黑" w:cs="Calibri"/>
        <w:color w:val="68767A"/>
        <w:sz w:val="18"/>
      </w:rPr>
      <w:t>TapCollect 0.1.0  |  2026 年 8 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97BC4">
    <w:pPr>
      <w:pStyle w:val="25"/>
      <w:spacing w:after="0"/>
      <w:jc w:val="right"/>
    </w:pPr>
    <w:r>
      <w:rPr>
        <w:rFonts w:ascii="Calibri" w:hAnsi="Calibri" w:eastAsia="微软雅黑" w:cs="Calibri"/>
        <w:color w:val="68767A"/>
        <w:sz w:val="18"/>
      </w:rPr>
      <w:t>TapCollect  |  网页信息采集工具使用说明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bullet"/>
      <w:pStyle w:val="166"/>
      <w:lvlText w:val="•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5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0"/>
  </w:num>
  <w:num w:numId="8">
    <w:abstractNumId w:val="3"/>
  </w:num>
  <w:num w:numId="9">
    <w:abstractNumId w:val="14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43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="Calibri"/>
      <w:color w:val="333A4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087A8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075E6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60" w:after="160" w:line="240" w:lineRule="auto"/>
      <w:jc w:val="center"/>
    </w:pPr>
    <w:rPr>
      <w:rFonts w:ascii="Calibri" w:hAnsi="Calibri" w:eastAsia="微软雅黑" w:cs="Calibri"/>
      <w:b/>
      <w:bCs/>
      <w:color w:val="68767A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C Code"/>
    <w:qFormat/>
    <w:uiPriority w:val="0"/>
    <w:pPr>
      <w:keepLines/>
      <w:spacing w:before="80" w:after="160" w:line="252" w:lineRule="auto"/>
      <w:ind w:left="230" w:right="230"/>
    </w:pPr>
    <w:rPr>
      <w:rFonts w:ascii="Consolas" w:hAnsi="Consolas" w:eastAsia="微软雅黑" w:cs="Consolas"/>
      <w:color w:val="203748"/>
      <w:sz w:val="19"/>
      <w:szCs w:val="22"/>
      <w:lang w:val="en-US" w:eastAsia="en-US" w:bidi="ar-SA"/>
    </w:rPr>
  </w:style>
  <w:style w:type="paragraph" w:customStyle="1" w:styleId="165">
    <w:name w:val="TC Small"/>
    <w:qFormat/>
    <w:uiPriority w:val="0"/>
    <w:pPr>
      <w:spacing w:after="80" w:line="276" w:lineRule="auto"/>
    </w:pPr>
    <w:rPr>
      <w:rFonts w:ascii="Calibri" w:hAnsi="Calibri" w:eastAsia="微软雅黑" w:cs="Calibri"/>
      <w:color w:val="68767A"/>
      <w:sz w:val="19"/>
      <w:szCs w:val="22"/>
      <w:lang w:val="en-US" w:eastAsia="en-US" w:bidi="ar-SA"/>
    </w:rPr>
  </w:style>
  <w:style w:type="paragraph" w:customStyle="1" w:styleId="166">
    <w:name w:val="TC Bullet"/>
    <w:basedOn w:val="1"/>
    <w:qFormat/>
    <w:uiPriority w:val="0"/>
    <w:pPr>
      <w:numPr>
        <w:ilvl w:val="0"/>
        <w:numId w:val="7"/>
      </w:numPr>
      <w:spacing w:before="0" w:after="80" w:line="300" w:lineRule="auto"/>
    </w:pPr>
    <w:rPr>
      <w:rFonts w:ascii="Calibri" w:hAnsi="Calibri" w:eastAsia="微软雅黑" w:cs="Calibri"/>
      <w:color w:val="333A40"/>
      <w:sz w:val="22"/>
    </w:rPr>
  </w:style>
  <w:style w:type="paragraph" w:customStyle="1" w:styleId="167">
    <w:name w:val="TC Number"/>
    <w:basedOn w:val="1"/>
    <w:qFormat/>
    <w:uiPriority w:val="0"/>
    <w:pPr>
      <w:spacing w:before="0" w:after="80" w:line="300" w:lineRule="auto"/>
    </w:pPr>
    <w:rPr>
      <w:rFonts w:ascii="Calibri" w:hAnsi="Calibri" w:eastAsia="微软雅黑" w:cs="Calibri"/>
      <w:color w:val="333A4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737</Words>
  <Characters>918</Characters>
  <Lines>0</Lines>
  <Paragraphs>0</Paragraphs>
  <TotalTime>1</TotalTime>
  <ScaleCrop>false</ScaleCrop>
  <LinksUpToDate>false</LinksUpToDate>
  <CharactersWithSpaces>991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风雨阳光</dc:creator>
  <dc:description>generated by python-docx</dc:description>
  <cp:keywords>TapCollect, 网页采集, XML, 使用说明</cp:keywords>
  <cp:lastModifiedBy>风雨阳光</cp:lastModifiedBy>
  <dcterms:modified xsi:type="dcterms:W3CDTF">2026-08-07T06:39:41Z</dcterms:modified>
  <dc:subject>静态网页采集、XML 模板映射与分批输出</dc:subject>
  <dc:title>TapCollect 网页信息采集工具使用说明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eyJoZGlkIjoiMDljYzUzMWQ4OWI0YzBkYjYzMDRhZTY5ZjZkYmFmYTgiLCJ1c2VySWQiOiIyNTE2NTA1NTYifQ==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21CB4F90DF6B4891ABB19FEFB2A8F012_12</vt:lpwstr>
  </property>
</Properties>
</file>