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DF335">
      <w:pPr>
        <w:spacing w:after="1640"/>
      </w:pPr>
    </w:p>
    <w:p w14:paraId="08CA7C6D">
      <w:pPr>
        <w:spacing w:after="320"/>
        <w:jc w:val="center"/>
      </w:pPr>
      <w:r>
        <w:drawing>
          <wp:inline distT="0" distB="0" distL="114300" distR="114300">
            <wp:extent cx="713105" cy="713105"/>
            <wp:effectExtent l="0" t="0" r="10795" b="10795"/>
            <wp:docPr id="1" name="Picture 1" descr="TapCollect 网页信息采集工具应用图标" title="TapCollect 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pCollect 网页信息采集工具应用图标" title="TapCollect 图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7BC5">
      <w:pPr>
        <w:spacing w:after="280"/>
        <w:jc w:val="center"/>
      </w:pPr>
      <w:r>
        <w:rPr>
          <w:rFonts w:ascii="Calibri" w:hAnsi="Calibri" w:eastAsia="微软雅黑" w:cs="Calibri"/>
          <w:b/>
          <w:color w:val="087A83"/>
          <w:sz w:val="21"/>
        </w:rPr>
        <w:t>网页信息采集工具</w:t>
      </w:r>
    </w:p>
    <w:p w14:paraId="74A5B542">
      <w:pPr>
        <w:pStyle w:val="31"/>
        <w:spacing w:after="160"/>
        <w:jc w:val="center"/>
      </w:pPr>
      <w:r>
        <w:rPr>
          <w:rFonts w:ascii="Calibri" w:hAnsi="Calibri" w:eastAsia="微软雅黑" w:cs="Calibri"/>
          <w:b/>
          <w:color w:val="000000"/>
          <w:sz w:val="60"/>
          <w:u w:val="none"/>
        </w:rPr>
        <w:t>TapCollect</w:t>
      </w:r>
    </w:p>
    <w:p w14:paraId="1990FF7F">
      <w:pPr>
        <w:spacing w:after="100"/>
        <w:jc w:val="center"/>
      </w:pPr>
      <w:r>
        <w:rPr>
          <w:rFonts w:ascii="Calibri" w:hAnsi="Calibri" w:eastAsia="微软雅黑" w:cs="Calibri"/>
          <w:color w:val="075E68"/>
          <w:sz w:val="30"/>
        </w:rPr>
        <w:t>网页采集与 XML 表格输出使用说明</w:t>
      </w:r>
    </w:p>
    <w:p w14:paraId="0A0A2D52">
      <w:pPr>
        <w:spacing w:after="1160"/>
        <w:jc w:val="center"/>
      </w:pPr>
      <w:r>
        <w:rPr>
          <w:rFonts w:ascii="Calibri" w:hAnsi="Calibri" w:eastAsia="微软雅黑" w:cs="Calibri"/>
          <w:color w:val="7A5A00"/>
          <w:sz w:val="21"/>
        </w:rPr>
        <w:t>静态 HTML / 动态渲染 DOM · XML / XLSX / XLS 模板映射 · 多任务运行 · 资源下载</w:t>
      </w:r>
    </w:p>
    <w:p w14:paraId="145AC4DC">
      <w:pPr>
        <w:spacing w:after="80"/>
        <w:jc w:val="center"/>
      </w:pPr>
      <w:r>
        <w:rPr>
          <w:rFonts w:ascii="Calibri" w:hAnsi="Calibri" w:eastAsia="微软雅黑" w:cs="Calibri"/>
          <w:b/>
          <w:color w:val="203748"/>
          <w:sz w:val="23"/>
        </w:rPr>
        <w:t>当前开发版 基于 v0.5.3  |  文档更新 2026 年 9 月 10 日</w:t>
      </w:r>
    </w:p>
    <w:p>
      <w:pPr>
        <w:pStyle w:val="4"/>
      </w:pPr>
      <w:r>
        <w:t>当前开发版本更新</w:t>
      </w:r>
    </w:p>
    <w:p>
      <w:pPr>
        <w:pStyle w:val="166"/>
      </w:pPr>
      <w:r>
        <w:t>新增可选的单层任务分组，支持新建、重命名、折叠和任务数量；旧任务升级后保持原位置，不自动创建默认分组。</w:t>
      </w:r>
    </w:p>
    <w:p>
      <w:pPr>
        <w:pStyle w:val="166"/>
      </w:pPr>
      <w:r>
        <w:t>支持单个移动和“批量整理”。任务菜单保留运行、复制和删除，配置区顶部仍可运行任务；分组不改变草稿、采集进度或输出目录。</w:t>
      </w:r>
    </w:p>
    <w:p>
      <w:pPr>
        <w:pStyle w:val="166"/>
      </w:pPr>
      <w:r>
        <w:t>配置包升级为版本 2，包含分组和任务归属，仍可导入版本 1 的旧包。本文包含当前源码新增功能，已发布安装包请以对应版本说明为准。</w:t>
      </w:r>
    </w:p>
    <w:p w14:paraId="5C916D9E">
      <w:pPr>
        <w:pStyle w:val="3"/>
        <w:pageBreakBefore/>
      </w:pPr>
      <w:r>
        <w:rPr>
          <w:color w:val="000000"/>
        </w:rPr>
        <w:t>快速开始</w:t>
      </w:r>
    </w:p>
    <w:p w14:paraId="6F7BA1CB">
      <w:r>
        <w:t>TapCollect 是一个本地桌面工具，用于提取网页列表与详情信息，并按用户提供的 XML、XLSX 或 XLS 模板生成文件。配置过程固定为 5 步，支持静态地址分页、动态点击分页和多任务并发运行。需要登录时，可为任务绑定访问配置，在预览中登录后复用 Cookie。建议先测试前 3 条记录并导出测试文件，再开始正式采集。</w:t>
      </w:r>
    </w:p>
    <w:p w14:paraId="1EC2D034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>适用范围  HTTP/HTTPS GET 可读取的页面；静态模式读取原始 HTML，动态模式执行脚本并读取渲染后的 DOM。访问配置可复用用户在内置预览中获得或手动导入的 Cookie。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20"/>
        <w:gridCol w:w="2160"/>
        <w:gridCol w:w="6480"/>
      </w:tblGrid>
      <w:tr w14:paraId="23E5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D963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步骤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4723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界面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3663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完成目标</w:t>
            </w:r>
          </w:p>
        </w:tc>
      </w:tr>
      <w:tr w14:paraId="1895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A118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9EF4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基本信息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97D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填写任务名称和列表页面 URL。</w:t>
            </w:r>
          </w:p>
        </w:tc>
      </w:tr>
      <w:tr w14:paraId="3B88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F7E0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2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3AAD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列表与分页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5429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选中列表项容器，配置固定 URL 模板或动态下一页。</w:t>
            </w:r>
          </w:p>
        </w:tc>
      </w:tr>
      <w:tr w14:paraId="7B5B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F98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3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780B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详情页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C407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配置详情进入方式；按需识别附件并选择回填字段。</w:t>
            </w:r>
          </w:p>
        </w:tc>
      </w:tr>
      <w:tr w14:paraId="64CD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0493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0B57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模板映射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093B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导入模板，批量留空后配置需要的字段。</w:t>
            </w:r>
          </w:p>
        </w:tc>
      </w:tr>
      <w:tr w14:paraId="0C7B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C75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3366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输出与测试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FF18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设置资源与分批输出，测试并可导出测试文件。</w:t>
            </w:r>
          </w:p>
        </w:tc>
      </w:tr>
    </w:tbl>
    <w:p w14:paraId="376EEFF8">
      <w:pPr>
        <w:spacing w:after="40"/>
      </w:pPr>
    </w:p>
    <w:p w14:paraId="50197506">
      <w:pPr>
        <w:pStyle w:val="4"/>
        <w:pageBreakBefore w:val="0"/>
        <w:spacing w:before="120"/>
      </w:pPr>
      <w:r>
        <w:rPr>
          <w:color w:val="000000"/>
        </w:rPr>
        <w:t>开始前准备</w:t>
      </w:r>
    </w:p>
    <w:p w14:paraId="41912209">
      <w:pPr>
        <w:pStyle w:val="166"/>
        <w:spacing w:after="60"/>
      </w:pPr>
      <w:r>
        <w:t>目标列表页地址；动态分页还应确认“下一页”按钮，进入详情时应确认列表项中的详情链接位置。</w:t>
      </w:r>
    </w:p>
    <w:p w14:paraId="7583FC46">
      <w:pPr>
        <w:pStyle w:val="166"/>
        <w:spacing w:after="60"/>
      </w:pPr>
      <w:r>
        <w:t>一份完整的 XML、XLSX 或 XLS 模板。XML 需要明确单条记录节点；表格模板第一个工作表第 1 行作为输出字段。</w:t>
      </w:r>
    </w:p>
    <w:p w14:paraId="099E68D9">
      <w:pPr>
        <w:pStyle w:val="166"/>
        <w:spacing w:after="60"/>
      </w:pPr>
      <w:r>
        <w:t>准备好输出目录；任务名称会直接作为最终输出子目录名称。</w:t>
      </w:r>
    </w:p>
    <w:p w14:paraId="536E4593">
      <w:pPr>
        <w:pStyle w:val="166"/>
        <w:spacing w:after="60"/>
      </w:pPr>
      <w:r>
        <w:t>如需处理图片、视频、音频或附件，提前确定仅改写地址还是下载资源，并准备本地目录与 输出内容中的资源访问前缀。</w:t>
      </w:r>
    </w:p>
    <w:p w14:paraId="2CBCDD0B">
      <w:pPr>
        <w:keepLines/>
        <w:pBdr>
          <w:left w:val="single" w:color="7A5A00" w:sz="20" w:space="8"/>
        </w:pBdr>
        <w:shd w:val="clear" w:fill="FFF8E8"/>
        <w:spacing w:before="40" w:after="60" w:line="288" w:lineRule="auto"/>
        <w:ind w:left="173" w:right="115"/>
      </w:pPr>
      <w:r>
        <w:rPr>
          <w:rFonts w:ascii="Calibri" w:hAnsi="Calibri" w:eastAsia="微软雅黑" w:cs="Calibri"/>
          <w:b/>
          <w:color w:val="7A5A00"/>
          <w:sz w:val="21"/>
        </w:rPr>
        <w:t>当前边界  支持访问配置、Cookie 复用、限速、冷却与验证页识别；不提供人工验证窗口、自动解验证码、POST 采集、代理、原始 JSON/JSONPath 直连、定时任务或托盘后台。</w:t>
      </w:r>
    </w:p>
    <w:p w14:paraId="4C8926CC">
      <w:pPr>
        <w:pStyle w:val="3"/>
        <w:pageBreakBefore w:val="0"/>
      </w:pPr>
      <w:r>
        <w:rPr>
          <w:color w:val="000000"/>
        </w:rPr>
        <w:t>1 安装与启动</w:t>
      </w:r>
    </w:p>
    <w:p w14:paraId="0EE6B6C4">
      <w:r>
        <w:rPr>
          <w:rFonts w:ascii="Calibri" w:hAnsi="Calibri" w:eastAsia="微软雅黑" w:cs="Calibri"/>
          <w:color w:val="333A40"/>
          <w:sz w:val="22"/>
        </w:rPr>
        <w:t>根据系统选择对应安装包。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900"/>
        <w:gridCol w:w="5860"/>
      </w:tblGrid>
      <w:tr w14:paraId="058F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A38F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系统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C9BA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安装包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FF20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说明</w:t>
            </w:r>
          </w:p>
        </w:tc>
      </w:tr>
      <w:tr w14:paraId="16C0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4C7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Windows x64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EFC5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.exe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E4B6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运行安装器，可选择安装目录，并创建桌面/开始菜单快捷方式。</w:t>
            </w:r>
          </w:p>
        </w:tc>
      </w:tr>
      <w:tr w14:paraId="440B3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BBE1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UOS / Linux ARM64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A2F6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.deb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EB29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仅适用于 ARM64 架构，建议在目标 UOS 设备上安装验证。</w:t>
            </w:r>
          </w:p>
        </w:tc>
      </w:tr>
      <w:tr w14:paraId="2F800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7A6C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macOS Intel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F567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.dmg / .zip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F5EA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适用于 Intel 芯片；当前安装包未签名、未公证。</w:t>
            </w:r>
          </w:p>
        </w:tc>
      </w:tr>
      <w:tr w14:paraId="54B64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0BEB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macOS Apple Silicon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3E87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.dmg / .zip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EA8C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适用于 M 系列芯片；首次打开可能出现未认证开发者提示。</w:t>
            </w:r>
          </w:p>
        </w:tc>
      </w:tr>
    </w:tbl>
    <w:p w14:paraId="0C3585A5">
      <w:pPr>
        <w:spacing w:after="40"/>
      </w:pPr>
    </w:p>
    <w:p w14:paraId="3B5F0D4F">
      <w:pPr>
        <w:pStyle w:val="4"/>
        <w:pageBreakBefore w:val="0"/>
      </w:pPr>
      <w:r>
        <w:rPr>
          <w:color w:val="000000"/>
        </w:rPr>
        <w:t>安装步骤</w:t>
      </w:r>
    </w:p>
    <w:p w14:paraId="3087C0F2">
      <w:pPr>
        <w:pStyle w:val="167"/>
        <w:numPr>
          <w:ilvl w:val="0"/>
          <w:numId w:val="8"/>
        </w:numPr>
      </w:pPr>
      <w:r>
        <w:t>下载与操作系统、CPU 架构匹配的安装包。</w:t>
      </w:r>
    </w:p>
    <w:p w14:paraId="236B150D">
      <w:pPr>
        <w:pStyle w:val="167"/>
        <w:numPr>
          <w:ilvl w:val="0"/>
          <w:numId w:val="8"/>
        </w:numPr>
      </w:pPr>
      <w:r>
        <w:t>按系统提示安装或解压，并启动 TapCollect。</w:t>
      </w:r>
    </w:p>
    <w:p w14:paraId="69007E34">
      <w:pPr>
        <w:pStyle w:val="167"/>
        <w:numPr>
          <w:ilvl w:val="0"/>
          <w:numId w:val="8"/>
        </w:numPr>
      </w:pPr>
      <w:r>
        <w:t>首次进入后点击“新建采集任务”，填写任务名称并选择“所属分组”或“不分组”，点击“创建任务”进入配置向导，配置后点击“保存草稿”。</w:t>
      </w:r>
    </w:p>
    <w:p w14:paraId="6097F095">
      <w:pPr>
        <w:pStyle w:val="4"/>
        <w:pageBreakBefore w:val="0"/>
      </w:pPr>
      <w:r>
        <w:rPr>
          <w:color w:val="000000"/>
        </w:rPr>
        <w:t>从源码启动（开发预览）</w:t>
      </w:r>
    </w:p>
    <w:p w14:paraId="78A7FBF0">
      <w:r>
        <w:t>需要在本地验证当前源码时，在项目目录执行：</w:t>
      </w:r>
    </w:p>
    <w:p w14:paraId="017C700B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npm install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npm run dev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# 开发页面：http://127.0.0.1:5677/</w:t>
      </w:r>
    </w:p>
    <w:p w14:paraId="5B4DBE54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>本地数据</w:t>
      </w:r>
      <w:r>
        <w:rPr>
          <w:rFonts w:ascii="Calibri" w:hAnsi="Calibri" w:eastAsia="微软雅黑" w:cs="Calibri"/>
          <w:b w:val="0"/>
          <w:color w:val="333A40"/>
          <w:sz w:val="21"/>
        </w:rPr>
        <w:t xml:space="preserve">  任务配置统一写入 Electron 用户数据目录下的 collector-data，与安装目录分离；覆盖安装或升级不会删除这些配置。数据只保存在本机，不会自动上传。</w:t>
      </w:r>
    </w:p>
    <w:p w14:paraId="4875042B">
      <w:pPr>
        <w:pStyle w:val="4"/>
        <w:pageBreakBefore w:val="0"/>
      </w:pPr>
      <w:r>
        <w:rPr>
          <w:color w:val="000000"/>
        </w:rPr>
        <w:t>关于与更新</w:t>
      </w:r>
    </w:p>
    <w:p w14:paraId="6ECBC3A3">
      <w:r>
        <w:t>从左下角“设置”进入，在分类导航或常规页打开“关于与更新”弹窗，查看 TapCollect 版本、操作系统和 CPU 架构，以及手动检查更新和可选的启动检查。</w:t>
      </w:r>
    </w:p>
    <w:p w14:paraId="57DA6230">
      <w:pPr>
        <w:pStyle w:val="166"/>
      </w:pPr>
      <w:r>
        <w:t>自动检查默认关闭；开启后每次启动会在后台检查一次。发现适用于当前平台的新版本时，顶部会显示与其他提示一致的紧凑白底提示，“发现新版本”和“查看更新”保持同一行并垂直居中；点击“查看更新”即可进入更新弹窗。检查失败不会影响离线使用。</w:t>
      </w:r>
    </w:p>
    <w:p w14:paraId="61CAC1E6">
      <w:pPr>
        <w:pStyle w:val="166"/>
      </w:pPr>
      <w:r>
        <w:t>更新弹窗显示标题、发布时间、安装包大小和“更新简述”（取自 GitHub Release 正文）。正式版可下载对应架构安装包，校验大小及 SHA-256（如有）后安装。</w:t>
      </w:r>
    </w:p>
    <w:p w14:paraId="76ECBE4B">
      <w:pPr>
        <w:pStyle w:val="166"/>
      </w:pPr>
      <w:r>
        <w:t>本地开发预览只检查版本，不下载或启动安装包。</w:t>
      </w:r>
    </w:p>
    <w:p w14:paraId="75218257">
      <w:pPr>
        <w:pStyle w:val="3"/>
        <w:pageBreakBefore w:val="0"/>
      </w:pPr>
      <w:r>
        <w:rPr>
          <w:color w:val="000000"/>
        </w:rPr>
        <w:t>2 界面总览与基本信息</w:t>
      </w:r>
    </w:p>
    <w:p w14:paraId="3C452BFE">
      <w:r>
        <w:t>任务工作区由任务栏、配置区和网页预览区组成，分隔条可拖动或折叠。左下角常驻“运行中心”和“设置”；这两个页面隐藏网页预览。返回任务后可继续使用预览、前进后退和点选功能。</w:t>
      </w:r>
    </w:p>
    <w:p w14:paraId="62056AD0">
      <w:pPr>
        <w:pStyle w:val="4"/>
        <w:pageBreakBefore w:val="0"/>
      </w:pPr>
      <w:r>
        <w:rPr>
          <w:color w:val="000000"/>
        </w:rPr>
        <w:t>填写基本信息</w:t>
      </w:r>
    </w:p>
    <w:p w14:paraId="05D9DA29">
      <w:pPr>
        <w:pStyle w:val="167"/>
        <w:numPr>
          <w:ilvl w:val="0"/>
          <w:numId w:val="9"/>
        </w:numPr>
      </w:pPr>
      <w:r>
        <w:t>填写任务名称。该名称会成为输出子目录名，也是 XML 文件名前缀。</w:t>
      </w:r>
    </w:p>
    <w:p w14:paraId="7E7843CB">
      <w:pPr>
        <w:pStyle w:val="167"/>
        <w:numPr>
          <w:ilvl w:val="0"/>
          <w:numId w:val="9"/>
        </w:numPr>
      </w:pPr>
      <w:r>
        <w:t>在“列表页面 URL”多行框中每行填写一个地址。静态模式可填写多条固定地址和最多一条 {page} 模板；动态模式只填写一个初始 URL。</w:t>
      </w:r>
    </w:p>
    <w:p w14:paraId="56B3E170">
      <w:pPr>
        <w:pStyle w:val="167"/>
        <w:numPr>
          <w:ilvl w:val="0"/>
          <w:numId w:val="9"/>
        </w:numPr>
      </w:pPr>
      <w:r>
        <w:t>需要复用登录时，在“访问配置”中选择已创建的配置并保存草稿。点击“打开预览”或右侧“前往”，在该配置的来源内完成登录；预览工具栏提供后退、前进与点选操作。</w:t>
      </w:r>
    </w:p>
    <w:p w14:paraId="69A3F57B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https://www.example.com/ggl/node_101571.htm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https://www.example.com/ggl/node_101571_{page}.htm</w:t>
      </w:r>
    </w:p>
    <w:p w14:paraId="6C6F1B70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任务名称  </w:t>
      </w:r>
      <w:r>
        <w:rPr>
          <w:rFonts w:ascii="Calibri" w:hAnsi="Calibri" w:eastAsia="微软雅黑" w:cs="Calibri"/>
          <w:color w:val="333A40"/>
          <w:sz w:val="21"/>
        </w:rPr>
        <w:t>例如任务名为“政务新闻”，结果会写入“输出根目录/政务新闻/”。</w:t>
      </w:r>
    </w:p>
    <w:p w14:paraId="72775B4F">
      <w:pPr>
        <w:pStyle w:val="4"/>
        <w:pageBreakBefore w:val="0"/>
      </w:pPr>
      <w:r>
        <w:rPr>
          <w:color w:val="000000"/>
        </w:rPr>
        <w:t>界面分区说明</w:t>
      </w:r>
    </w:p>
    <w:p w14:paraId="759BE146">
      <w:pPr>
        <w:pStyle w:val="166"/>
      </w:pPr>
      <w:r>
        <w:t>左侧任务栏：新建任务、自建分组、单个移动或批量整理；任务省略号菜单提供移动、运行、复制和删除，任务管理菜单保留配置导入与导出。底部进入运行中心或设置。</w:t>
      </w:r>
    </w:p>
    <w:p w14:paraId="48AC7ECE">
      <w:pPr>
        <w:pStyle w:val="166"/>
      </w:pPr>
      <w:r>
        <w:t>中间配置区：按 5 步完成配置，可保存草稿、测试或运行当前任务。分组只显示在顶部“任务配置 &gt; 分组名称”；不分组时仅显示“任务配置”，不显示分隔符或“不分组”。</w:t>
      </w:r>
    </w:p>
    <w:p w14:paraId="1FAE1793">
      <w:pPr>
        <w:pStyle w:val="166"/>
      </w:pPr>
      <w:r>
        <w:t>右侧网页预览：打开目标页面，辅助点选和验证 CSS/XPath 选择器，并提供前进、后退及加载蒙层。</w:t>
      </w:r>
    </w:p>
    <w:p w14:paraId="5FF5C0F9">
      <w:pPr>
        <w:keepNext/>
        <w:spacing w:before="80" w:after="60"/>
        <w:jc w:val="center"/>
      </w:pPr>
      <w:r>
        <w:drawing>
          <wp:inline distT="0" distB="0" distL="114300" distR="114300">
            <wp:extent cx="5303520" cy="3252826"/>
            <wp:effectExtent l="0" t="0" r="5080" b="10160"/>
            <wp:docPr id="12" name="Picture 12" descr="任务分组、配置区面包屑及移动、运行、复制、删除任务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任务分组、配置区面包屑及移动、运行、复制、删除任务菜单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1E7">
      <w:pPr>
        <w:pStyle w:val="15"/>
        <w:keepNext w:val="0"/>
        <w:keepLines/>
      </w:pPr>
      <w:r>
        <w:t>图 1  任务分组与保留完整操作的任务菜单</w:t>
      </w:r>
    </w:p>
    <w:p>
      <w:pPr>
        <w:pStyle w:val="4"/>
      </w:pPr>
      <w:r>
        <w:t>按分组整理任务</w:t>
      </w:r>
    </w:p>
    <w:p>
      <w:pPr/>
      <w:r>
        <w:t>分组按需创建，可以没有分组。升级时不自动创建默认分组，也不移动旧任务；未分组的任务直接显示在“任务管理”下。分组和任务归属会在下次启动时恢复，删除的分组不会自动重建。</w:t>
      </w:r>
    </w:p>
    <w:p>
      <w:pPr>
        <w:pStyle w:val="167"/>
      </w:pPr>
      <w:r>
        <w:t>点击“任务管理”右侧的“新建分组”图标，或在省略号菜单中选择“新建分组”。名称去除首尾空白后不能为空，最多 40 个字符；全角半角与大小写等价的名称不能重复。</w:t>
      </w:r>
    </w:p>
    <w:p>
      <w:pPr>
        <w:pStyle w:val="167"/>
      </w:pPr>
      <w:r>
        <w:t>点击分组行折叠或展开，右侧显示任务数量。分组菜单提供“在此组新建任务”“重命名分组”“删除分组”。空分组继续保留。</w:t>
      </w:r>
    </w:p>
    <w:p>
      <w:pPr>
        <w:pStyle w:val="167"/>
      </w:pPr>
      <w:r>
        <w:t>全局“新建采集任务”可选择“所属分组”或“不分组”；“在此组新建任务”预选当前组。创建后进入草稿，点击“保存草稿”才保存到任务列表；“复制任务”继承原任务分组。</w:t>
      </w:r>
    </w:p>
    <w:p>
      <w:pPr>
        <w:pStyle w:val="167"/>
      </w:pPr>
      <w:r>
        <w:t>任务行省略号菜单依次为“移动到分组”“运行任务”“复制任务”“删除任务”。暂停任务显示“继续任务”，顶部运行按钮也保留。运行、暂停、排队或测试中的任务不能删除，正式运行前仍须保存草稿。</w:t>
      </w:r>
    </w:p>
    <w:p>
      <w:pPr>
        <w:pStyle w:val="167"/>
      </w:pPr>
      <w:r>
        <w:t>单个移动：在任务菜单选择“移动到分组”，选择目标后点击“确认移动”。选择“不分组”可将任务移回“任务管理”下。</w:t>
      </w:r>
    </w:p>
    <w:p>
      <w:pPr>
        <w:pStyle w:val="167"/>
      </w:pPr>
      <w:r>
        <w:t>批量移动：在任务管理省略号菜单选择“批量整理”，勾选任务后点击“移动到分组”，选定目标并“确认移动”；整理后点击“完成”。</w:t>
      </w:r>
    </w:p>
    <w:p>
      <w:pPr>
        <w:pStyle w:val="167"/>
      </w:pPr>
      <w:r>
        <w:t>删除有任务的分组时，在“任务移至”中选择其他组或“不分组”，再确认“删除分组”。组内任务及已有输出保留；删除最后一个分组后也不会创建默认组。</w:t>
      </w:r>
    </w:p>
    <w:p>
      <w:pPr/>
      <w:r>
        <w:t>任务行显示名称和地址，悬停任务名称可查看更新时间。移动任务、重命名或删除分组不会改写配置、ID、更新时间或输出路径，也不会重置未保存草稿、预览、运行状态或检查点。组内继续按原有更新时间排序，面包屑即时反映当前归属。</w:t>
      </w:r>
    </w:p>
    <w:p>
      <w:pPr/>
      <w:r>
        <w:t>若新草稿的分组已删除，或任务保存成功但归属写入失败，任务保留在不分组位置并显示提示。其他分组操作写入失败时保留之前的归属。</w:t>
      </w:r>
    </w:p>
    <w:p w14:paraId="6A561D00">
      <w:pPr>
        <w:pStyle w:val="4"/>
        <w:pageBreakBefore w:val="0"/>
      </w:pPr>
      <w:r>
        <w:rPr>
          <w:color w:val="000000"/>
        </w:rPr>
        <w:t>导入与导出任务配置</w:t>
      </w:r>
    </w:p>
    <w:p w14:paraId="306316F2">
      <w:r>
        <w:t>在“任务管理”标题右侧点击省略号，可打开任务配置工具菜单；侧栏折叠时，将鼠标移到“任务管理”图标上也能访问相同入口。</w:t>
      </w:r>
    </w:p>
    <w:p w14:paraId="290A0485">
      <w:pPr>
        <w:pStyle w:val="166"/>
      </w:pPr>
      <w:r>
        <w:t>导出全部任务配置：将全部已保存任务、用户分组（含空组）及任务归属写入版本 2 JSON 配置包。未保存修改不参与导出，至少保存一个任务才可导出；旧版应用不能导入版本 2 包。</w:t>
      </w:r>
    </w:p>
    <w:p w14:paraId="5FD73417">
      <w:pPr>
        <w:pStyle w:val="166"/>
      </w:pPr>
      <w:r>
        <w:t>任务导出和导入会移除 Cookie、Authorization、Proxy-Authorization 请求头。访问配置只保留本机标识，不包含会话；普通自定义请求头不能代替 Cookie 导入入口。</w:t>
      </w:r>
    </w:p>
    <w:p w14:paraId="7C8D59B4">
      <w:pPr>
        <w:pStyle w:val="166"/>
      </w:pPr>
      <w:r>
        <w:t>导入任务配置：接受版本 1 和 2。旧包中的任务不分组；新包按名称复用本机同名组，否则创建普通分组。合法任务逐项导入，错误项目按序号和原因跳过。</w:t>
      </w:r>
    </w:p>
    <w:p>
      <w:pPr>
        <w:pStyle w:val="166"/>
      </w:pPr>
      <w:r>
        <w:t>手工调整版本 2 包时，tasks 与 taskGroupIds 必须保持相同长度并按索引对应；归属项为 groups 中的分组 ID 或 null。复制、删除或重排任务对象时，需同步处理归属项；任务配置本身的版本仍为 1。</w:t>
      </w:r>
    </w:p>
    <w:p>
      <w:pPr>
        <w:pStyle w:val="166"/>
      </w:pPr>
      <w:r>
        <w:t>引用不存在的分组时，任务保留为不分组，并在导入结果中提示。分组写入失败时，已经成功导入的任务仍保留，不覆盖本机原有分组。</w:t>
      </w:r>
    </w:p>
    <w:p w14:paraId="4C14A911">
      <w:pPr>
        <w:pStyle w:val="166"/>
      </w:pPr>
      <w:r>
        <w:t>每个导入成功的任务都会生成新的 ID 和时间，不会覆盖已有任务；XML、XLSX/XLS 模板、映射、请求设置、资源规则和目录配置会一并保留。</w:t>
      </w:r>
    </w:p>
    <w:p w14:paraId="2002D293">
      <w:pPr>
        <w:pStyle w:val="166"/>
      </w:pPr>
      <w:r>
        <w:t>配置包不含访问配置内容、Cookie、全局设置、运行记录、检查点、日志及输出资源。换设备后需核对目录，重建并绑定缺失的访问配置；不按名称自动匹配。</w:t>
      </w:r>
    </w:p>
    <w:p>
      <w:pPr>
        <w:pStyle w:val="4"/>
        <w:pageBreakBefore/>
      </w:pPr>
      <w:r>
        <w:rPr>
          <w:color w:val="000000"/>
        </w:rPr>
        <w:t>全局设置与访问保护</w:t>
      </w:r>
    </w:p>
    <w:p>
      <w:pPr/>
      <w:r>
        <w:t>设置页分为常规、运行与并发、访问节奏、退避与保护、网络与隐私、访问配置。全局选项使用“保存设置”；“取消更改”撤销草稿，“恢复默认设置”也需保存。访问配置使用独立的“保存访问配置”。离开未保存的设置页时可继续编辑或丢弃并离开。</w:t>
      </w:r>
    </w:p>
    <w:p>
      <w:pPr/>
      <w:r>
        <w:t>常规页设置默认输出目录和启动检查更新。默认目录用于新建任务，已有任务保持各自目录。设置保存在本机 settings.json，不随任务配置导出。</w:t>
      </w:r>
    </w:p>
    <w:p>
      <w:pPr>
        <w:keepNext/>
      </w:pPr>
      <w:r/>
      <w:r>
        <w:drawing>
          <wp:inline xmlns:a="http://schemas.openxmlformats.org/drawingml/2006/main" xmlns:pic="http://schemas.openxmlformats.org/drawingml/2006/picture">
            <wp:extent cx="5943600" cy="3645408"/>
            <wp:docPr id="22" name="Picture 22" descr="新任务侧栏和访问配置、Cookie 会话管理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settings-concurrency.png" descr="新任务侧栏和访问配置、Cookie 会话管理页面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t>设置界面  访问配置与 Cookie 会话管理</w:t>
      </w:r>
    </w:p>
    <w:p>
      <w:pPr>
        <w:pStyle w:val="166"/>
      </w:pPr>
      <w:r>
        <w:t>默认并发：同时运行任务数 3、全局网络并发 8、单站点并发上限 1、资源下载并发 3。任务与测试共享网络限制；下载响应体读完或取消后才释放名额。</w:t>
      </w:r>
    </w:p>
    <w:p>
      <w:pPr>
        <w:pStyle w:val="166"/>
      </w:pPr>
      <w:r>
        <w:t>默认访问节奏：同一 hostname 的请求开始间隔至少 1000 毫秒，再增加 0–20% 随机等待。实际间隔取全局与任务延迟中的较大值，列表、详情、重试、重定向和资源共同遵守。</w:t>
      </w:r>
    </w:p>
    <w:p>
      <w:pPr>
        <w:pStyle w:val="166"/>
      </w:pPr>
      <w:r>
        <w:t>动态页面范围：打开、翻页、进入详情和返回列表统一调度；页面内部图片、脚本等请求仍由 Chromium 管理，不保证逐个内部请求限速。</w:t>
      </w:r>
    </w:p>
    <w:p>
      <w:pPr>
        <w:pStyle w:val="4"/>
        <w:pageBreakBefore/>
      </w:pPr>
      <w:r>
        <w:rPr>
          <w:color w:val="000000"/>
        </w:rPr>
        <w:t>退避 冷却与人工处理</w:t>
      </w:r>
    </w:p>
    <w:p>
      <w:pPr>
        <w:pStyle w:val="166"/>
      </w:pPr>
      <w:r>
        <w:t>“最大重试次数”用于列表和详情请求，网络错误及 408、425、429、5xx 默认最多额外重试 3 次。同站点页面请求连续失败 3 次进入 60 秒冷却；动态页面临时错误直接进入冷却。</w:t>
      </w:r>
    </w:p>
    <w:p>
      <w:pPr/>
      <w:r>
        <w:t>在“全局配置 → 退避与保护”设置“资源下载重试次数”，适用于附件、图片、音视频等资源，默认 3，可设为 0–5。次数指首次请求后的额外重试：3 最多请求 4 次，5 最多请求 6 次，0 只请求一次。网络错误、408、425 和 5xx 按此上限重试；400、404、410 等明确错误直接跳过下载。普通资源失败不触发页面请求的连续失败冷却。</w:t>
      </w:r>
    </w:p>
    <w:p>
      <w:pPr/>
      <w:r>
        <w:t>下载地址返回可识别的 404 等错误提示网页时，即使 HTTP 状态是 200 或标为 Word/二进制，也会跳过，不保存为附件。失败写入 CSV 错误日志，计入资源失败数量，文章和计划地址保留并继续输出；本次运行内重复引用不再次下载。</w:t>
      </w:r>
    </w:p>
    <w:p>
      <w:pPr>
        <w:pStyle w:val="166"/>
      </w:pPr>
      <w:r>
        <w:t>页面与资源重试共用随机指数退避，初始 1000 毫秒、普通等待上限 30000 毫秒。资源返回 429 时进入站点冷却；有效的 Retry-After 等待不会被普通上限截短。保存设置不能解除现有冷却；到期先恢复一个任务探测，成功后再恢复其他受影响任务。</w:t>
      </w:r>
    </w:p>
    <w:p>
      <w:pPr>
        <w:pStyle w:val="166"/>
      </w:pPr>
      <w:r>
        <w:t>401、403 和识别出的 HTTP 200 验证/登录页会要求人工处理。识别结合标题、表单与提示，单纯没有列表项不会触发；启发式规则无法覆盖所有网站。检查访问条件后，在运行中心点击“检查后重试”。</w:t>
      </w:r>
    </w:p>
    <w:p>
      <w:pPr>
        <w:pStyle w:val="166"/>
      </w:pPr>
      <w:r>
        <w:t>保护触发后保留安全检查点，未完成的记录和资源不会提前记为完成。“停止自动恢复”保持手动暂停；“全部暂停”也停止已暂停任务的自动恢复，“全部继续”跳过尚未到期的冷却任务。</w:t>
      </w:r>
    </w:p>
    <w:p>
      <w:pPr>
        <w:keepNext/>
      </w:pPr>
      <w:r/>
      <w:r>
        <w:drawing>
          <wp:inline xmlns:a="http://schemas.openxmlformats.org/drawingml/2006/main" xmlns:pic="http://schemas.openxmlformats.org/drawingml/2006/picture">
            <wp:extent cx="5943600" cy="13530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ling-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t>保护提示  站点、原因、倒计时与停止自动恢复操作</w:t>
      </w:r>
    </w:p>
    <w:p>
      <w:pPr>
        <w:pStyle w:val="4"/>
      </w:pPr>
      <w:r>
        <w:rPr>
          <w:color w:val="000000"/>
        </w:rPr>
        <w:t>浏览器身份与隐私</w:t>
      </w:r>
    </w:p>
    <w:p>
      <w:pPr/>
      <w:r>
        <w:t>“自动匹配浏览器 UA”默认开启，采集使用内置 Chromium 的实际版本；关闭后采用任务 UA。全局请求语言可选简体中文、繁体中文或英语优先。访问配置的“User-Agent 覆盖”和“请求语言覆盖”优先；留空时继承全局规则。</w:t>
      </w:r>
    </w:p>
    <w:p>
      <w:pPr/>
      <w:r>
        <w:t>运行诊断和 CSV 错误日志会隐藏常见认证信息及敏感 URL 参数，采集正文不因此改写。绑定同一访问配置的预览与采集共用 Cookie；不同配置相互隔离。未绑定任务保持原有独立会话，预览登录不会自动带入采集。</w:t>
      </w:r>
    </w:p>
    <w:p>
      <w:pPr>
        <w:pStyle w:val="4"/>
      </w:pPr>
      <w:r>
        <w:t>访问配置与登录会话</w:t>
      </w:r>
    </w:p>
    <w:p>
      <w:pPr>
        <w:pStyle w:val="167"/>
      </w:pPr>
      <w:r>
        <w:t>在“设置 → 访问配置”点击“新建访问配置”，填写“配置名称”和“来源”，再点击“保存访问配置”。来源示例为 https://example.com，只包含协议、主机和可选端口，创建后固定；其他来源请新建配置。</w:t>
      </w:r>
    </w:p>
    <w:p>
      <w:pPr>
        <w:pStyle w:val="167"/>
      </w:pPr>
      <w:r>
        <w:t>回到任务“基本信息”，选择“访问配置”并保存草稿。打开预览完成登录后，同一配置的预览、测试采集、静态列表/详情/资源请求及动态采集共用 Cookie。不同配置和未绑定任务不会继承其登录状态。</w:t>
      </w:r>
    </w:p>
    <w:p>
      <w:pPr>
        <w:pStyle w:val="167"/>
      </w:pPr>
      <w:r>
        <w:t>需要手动设置时点击“导入 Cookie”，粘贴 JSON 数组。页面仅显示 Cookie 数量与保存状态，不回显已有值；“刷新会话状态”更新显示。</w:t>
      </w:r>
    </w:p>
    <w:p>
      <w:pPr>
        <w:pStyle w:val="5"/>
      </w:pPr>
      <w:r>
        <w:t>Cookie 导入格式</w:t>
      </w:r>
    </w:p>
    <w:p>
      <w:pPr>
        <w:pStyle w:val="164"/>
      </w:pPr>
      <w:r>
        <w:t>[{"name":"session","value":"填入值","path":"/",</w:t>
        <w:br/>
        <w:t xml:space="preserve">  "httpOnly":true,"secure":true,"sameSite":"lax"}]</w:t>
      </w:r>
    </w:p>
    <w:p>
      <w:pPr/>
      <w:r>
        <w:t>支持 name、value、domain、path、secure、httpOnly、sameSite、expirationDate（Unix 秒）。domain 仅允许当前来源的精确主机，留空为仅该主机。最多 200 项、256 KB；过期值、父域、非法属性和重复名称/路径会整体拒绝。导入更新相同名称与路径的 Cookie，其余保留。</w:t>
      </w:r>
    </w:p>
    <w:p>
      <w:pPr>
        <w:pStyle w:val="5"/>
      </w:pPr>
      <w:r>
        <w:t>配置作用域与修改时点</w:t>
      </w:r>
    </w:p>
    <w:p>
      <w:pPr>
        <w:pStyle w:val="166"/>
      </w:pPr>
      <w:r>
        <w:t>列表入口须匹配来源的协议、主机和端口。绑定配置的预览与动态页面不能导航到其他来源；跨来源资源请求不附加本配置的 Cookie、认证头或自定义请求头。路径、到期、Secure、HttpOnly、SameSite 属性仍由浏览器执行。</w:t>
      </w:r>
    </w:p>
    <w:p>
      <w:pPr>
        <w:pStyle w:val="166"/>
      </w:pPr>
      <w:r>
        <w:t>排队、运行、暂停或测试任务会锁定所用配置，不能编辑、删除或导入/清除 Cookie。结束相关任务后可修改；允许修改时会先关闭相关预览。预览中获得的新 Cookie 可实时供同配置采集使用。</w:t>
      </w:r>
    </w:p>
    <w:p>
      <w:pPr>
        <w:pStyle w:val="166"/>
      </w:pPr>
      <w:r>
        <w:t>“清除登录状态”清除 Cookie 和浏览器存储，之后需要重新登录。删除前须解除全部已保存任务的绑定；在任务中选择“不使用访问配置”并保存，再重新打开预览即可解除绑定。</w:t>
      </w:r>
    </w:p>
    <w:p>
      <w:pPr>
        <w:pStyle w:val="166"/>
      </w:pPr>
      <w:r>
        <w:t>同一 hostname 的限流、冷却与人工保护仍由所有配置共享。切换配置、编辑配置、保存全局设置或清除登录状态都不能提前解除 Retry-After。</w:t>
      </w:r>
    </w:p>
    <w:p>
      <w:pPr>
        <w:pStyle w:val="5"/>
      </w:pPr>
      <w:r>
        <w:t>加密保存与重启</w:t>
      </w:r>
    </w:p>
    <w:p>
      <w:pPr/>
      <w:r>
        <w:t>访问配置元数据单独保存在 access-profiles.json；Cookie 使用系统安全存储加密，写入 access-credentials/&lt;profile-id&gt;.bin。包括未设置到期时间的会话 Cookie，也可在重启后恢复。其他浏览器存储仅在本次启动内保留。</w:t>
      </w:r>
    </w:p>
    <w:p>
      <w:pPr/>
      <w:r>
        <w:t>系统安全存储不可用时显示“仅本次启动有效”，Cookie 不写入明文文件。加密 Cookie 无法读取时阻止复用；检查系统存储，或通过“清除登录状态”重建会话。复制到另一系统账户不保证可解密。</w:t>
      </w:r>
    </w:p>
    <w:p>
      <w:pPr/>
      <w:r>
        <w:t>任务导入后提示访问配置不存在时，需在“基本信息”重新选择或解除绑定；预览、测试和运行不会静默使用其他配置。访问配置和 Cookie 不随普通任务导出。</w:t>
      </w:r>
    </w:p>
    <w:p w14:paraId="79A2B80D">
      <w:pPr>
        <w:pStyle w:val="3"/>
        <w:pageBreakBefore w:val="0"/>
      </w:pPr>
      <w:r>
        <w:rPr>
          <w:color w:val="000000"/>
        </w:rPr>
        <w:t>3 配置列表与分页</w:t>
      </w:r>
    </w:p>
    <w:p w14:paraId="6D932326">
      <w:r>
        <w:t>先选择一条完整列表记录作为“列表项容器”。后续列表字段选择器都相对于这个容器执行，可避免始终只命中页面第一列或第一条记录。分页可选择固定 URL / 数字页码模板，或点击“下一页”的动态渲染模式。</w:t>
      </w:r>
    </w:p>
    <w:p w14:paraId="6BD0D549">
      <w:pPr>
        <w:keepNext/>
        <w:spacing w:before="80" w:after="60"/>
        <w:jc w:val="center"/>
      </w:pPr>
      <w:r>
        <w:drawing>
          <wp:inline distT="0" distB="0" distL="114300" distR="114300">
            <wp:extent cx="4709160" cy="5045529"/>
            <wp:effectExtent l="0" t="0" r="2540" b="9525"/>
            <wp:docPr id="13" name="Picture 13" descr="固定 URL 数字分页与点击下一页动态分页对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固定 URL 数字分页与点击下一页动态分页对照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0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E41F">
      <w:pPr>
        <w:pStyle w:val="15"/>
        <w:keepNext w:val="0"/>
        <w:keepLines/>
      </w:pPr>
      <w:r>
        <w:t>图 2  静态数字分页与动态点击分页</w:t>
      </w:r>
    </w:p>
    <w:p w14:paraId="00C1CA89">
      <w:pPr>
        <w:pStyle w:val="167"/>
        <w:numPr>
          <w:ilvl w:val="0"/>
          <w:numId w:val="10"/>
        </w:numPr>
      </w:pPr>
      <w:r>
        <w:t>在预览中点击一条完整记录外层区域，或手动输入列表项 CSS/XPath。</w:t>
      </w:r>
    </w:p>
    <w:p w14:paraId="5161B5B8">
      <w:pPr>
        <w:pStyle w:val="167"/>
        <w:numPr>
          <w:ilvl w:val="0"/>
          <w:numId w:val="10"/>
        </w:numPr>
      </w:pPr>
      <w:r>
        <w:t>点击放大镜验证匹配数量；数量应接近当前页实际记录数。</w:t>
      </w:r>
    </w:p>
    <w:p w14:paraId="4F8B7883">
      <w:pPr>
        <w:pStyle w:val="167"/>
        <w:numPr>
          <w:ilvl w:val="0"/>
          <w:numId w:val="10"/>
        </w:numPr>
      </w:pPr>
      <w:r>
        <w:t>配置 {page} 参数或下一页按钮，并设置最大采集页数。</w:t>
      </w:r>
    </w:p>
    <w:p w14:paraId="106055F0">
      <w:pPr>
        <w:pStyle w:val="4"/>
        <w:pageBreakBefore w:val="0"/>
      </w:pPr>
      <w:r>
        <w:rPr>
          <w:color w:val="000000"/>
        </w:rPr>
        <w:t>列表 URL 与分页规则</w:t>
      </w:r>
    </w:p>
    <w:p w14:paraId="72BA8487">
      <w:r>
        <w:t>静态模式可以填写多条固定地址，并混合一条数字分页模板。程序按输入顺序采集：固定地址各请求一次，模板再按起始值和步长生成后续地址。</w:t>
      </w:r>
    </w:p>
    <w:p w14:paraId="007A4E50">
      <w:pPr>
        <w:pStyle w:val="5"/>
        <w:pageBreakBefore w:val="0"/>
      </w:pPr>
      <w:r>
        <w:rPr>
          <w:color w:val="000000"/>
        </w:rPr>
        <w:t>只有一页</w:t>
      </w:r>
    </w:p>
    <w:p w14:paraId="270D290D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https://www.example.com/notice/index.html</w:t>
      </w:r>
    </w:p>
    <w:p w14:paraId="3F2C71D6">
      <w:r>
        <w:t>不填写 {page} 模板，固定地址只采集一次。</w:t>
      </w:r>
    </w:p>
    <w:p w14:paraId="49FF3169">
      <w:pPr>
        <w:pStyle w:val="5"/>
        <w:pageBreakBefore w:val="0"/>
      </w:pPr>
      <w:r>
        <w:rPr>
          <w:color w:val="000000"/>
        </w:rPr>
        <w:t>第一页地址特殊，第二页开始递增</w:t>
      </w:r>
    </w:p>
    <w:p w14:paraId="77E09D1E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https://www.example.com/notice/node_101571.htm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https://www.example.com/notice/node_101571_{page}.htm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起始值：2    变化步长：1</w:t>
      </w:r>
    </w:p>
    <w:p w14:paraId="386C0A3D">
      <w:r>
        <w:t>采集顺序为固定第一页，然后生成第 2、3、4……页。</w:t>
      </w:r>
    </w:p>
    <w:p w14:paraId="16D00F6B">
      <w:pPr>
        <w:pStyle w:val="5"/>
        <w:pageBreakBefore w:val="0"/>
      </w:pPr>
      <w:r>
        <w:rPr>
          <w:color w:val="000000"/>
        </w:rPr>
        <w:t>分页递减或跨值变化</w:t>
      </w:r>
    </w:p>
    <w:p w14:paraId="74CAD236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https://www.example.com/archive/list_{page}.html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起始值：100    变化步长：-1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也可以设置为 -2、-10、2 或 10。</w:t>
      </w:r>
    </w:p>
    <w:p w14:paraId="07738D76">
      <w:pPr>
        <w:keepLines/>
        <w:pBdr>
          <w:left w:val="single" w:color="7A5A00" w:sz="20" w:space="8"/>
        </w:pBdr>
        <w:shd w:val="clear" w:fill="FFF8E8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7A5A00"/>
          <w:sz w:val="21"/>
        </w:rPr>
        <w:t>必须设置模板最大采集页数</w:t>
      </w:r>
      <w:r>
        <w:rPr>
          <w:rFonts w:ascii="Calibri" w:hAnsi="Calibri" w:eastAsia="微软雅黑" w:cs="Calibri"/>
          <w:b w:val="0"/>
          <w:color w:val="333A40"/>
          <w:sz w:val="21"/>
        </w:rPr>
        <w:t xml:space="preserve">  它只限制 {page} 模板生成的页数，用于防止错误规则或异常页面导致持续采集。</w:t>
      </w:r>
    </w:p>
    <w:p w14:paraId="5809D643">
      <w:r>
        <w:t>静态模板和动态点击分页遇到以下情况会自动结束：</w:t>
      </w:r>
    </w:p>
    <w:p w14:paraId="5B074151">
      <w:pPr>
        <w:pStyle w:val="166"/>
      </w:pPr>
      <w:r>
        <w:t>当前页找不到列表项，或渲染后仍没有有效记录。</w:t>
      </w:r>
    </w:p>
    <w:p w14:paraId="45587E96">
      <w:pPr>
        <w:pStyle w:val="166"/>
      </w:pPr>
      <w:r>
        <w:t>生成的 URL 与已访问地址重复，或点击后列表内容没有变化、整页记录重复。</w:t>
      </w:r>
    </w:p>
    <w:p w14:paraId="31CC2561">
      <w:pPr>
        <w:pStyle w:val="166"/>
      </w:pPr>
      <w:r>
        <w:t>静态页返回 404/410；动态页的下一页按钮缺失、禁用或无法触发新内容。</w:t>
      </w:r>
    </w:p>
    <w:p w14:paraId="36706EA6">
      <w:pPr>
        <w:pStyle w:val="166"/>
      </w:pPr>
      <w:r>
        <w:t>已达到对应模式的“最大采集页数”。</w:t>
      </w:r>
    </w:p>
    <w:p w14:paraId="4DD1D12D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>动态点击分页</w:t>
      </w:r>
      <w:r>
        <w:rPr>
          <w:rFonts w:ascii="Calibri" w:hAnsi="Calibri" w:eastAsia="微软雅黑" w:cs="Calibri"/>
          <w:b w:val="0"/>
          <w:color w:val="333A40"/>
          <w:sz w:val="21"/>
        </w:rPr>
        <w:t xml:space="preserve">  同一任务只允许一个初始 URL 和一个“下一页”选择器。工具等待列表 DOM 发生变化后再采集下一页；页面内部接口可返回 HTML、JSON 数组或 JSON 对象，但工具只读取最终 DOM，不提供原始 JSON 映射、JSONPath 或接口 POST 配置。</w:t>
      </w:r>
    </w:p>
    <w:p w14:paraId="20333A71">
      <w:pPr>
        <w:pStyle w:val="3"/>
        <w:pageBreakBefore w:val="0"/>
      </w:pPr>
      <w:r>
        <w:rPr>
          <w:color w:val="000000"/>
        </w:rPr>
        <w:t>4 配置详情页和点选</w:t>
      </w:r>
    </w:p>
    <w:p w14:paraId="558AA7F5">
      <w:r>
        <w:t>如果列表页已经包含全部字段，可关闭详情采集。启用后，可选择“读取链接”或“点击元素”进入详情；前者适合标准链接，后者适合前端路由或 JavaScript 事件打开的详情页。</w:t>
      </w:r>
    </w:p>
    <w:p w14:paraId="53065654">
      <w:pPr>
        <w:keepNext/>
        <w:spacing w:before="80" w:after="60"/>
        <w:jc w:val="center"/>
      </w:pPr>
      <w:r>
        <w:drawing>
          <wp:inline distT="0" distB="0" distL="114300" distR="114300">
            <wp:extent cx="5897880" cy="4363228"/>
            <wp:effectExtent l="0" t="0" r="7620" b="8255"/>
            <wp:docPr id="14" name="Picture 14" descr="详情链接、附件识别开关和附件链接回填字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详情链接、附件识别开关和附件链接回填字段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530F">
      <w:pPr>
        <w:pStyle w:val="15"/>
        <w:keepNext w:val="0"/>
        <w:keepLines/>
      </w:pPr>
      <w:r>
        <w:t>图 3  详情页开关、详情链接与附件回填配置</w:t>
      </w:r>
    </w:p>
    <w:p w14:paraId="4476A316">
      <w:pPr>
        <w:pStyle w:val="167"/>
        <w:numPr>
          <w:ilvl w:val="0"/>
          <w:numId w:val="11"/>
        </w:numPr>
      </w:pPr>
      <w:r>
        <w:t>开启“启用详情页采集”。</w:t>
      </w:r>
    </w:p>
    <w:p w14:paraId="1BA01A1C">
      <w:pPr>
        <w:pStyle w:val="167"/>
        <w:numPr>
          <w:ilvl w:val="0"/>
          <w:numId w:val="11"/>
        </w:numPr>
      </w:pPr>
      <w:r>
        <w:t>选择“读取链接”时，在一条列表记录中点选标题链接或输入相对选择器；列表项自身是 &lt;a&gt;，或列表项外层由 &lt;a&gt; 包裹时也能识别。</w:t>
      </w:r>
    </w:p>
    <w:p w14:paraId="578C24E6">
      <w:pPr>
        <w:pStyle w:val="167"/>
        <w:numPr>
          <w:ilvl w:val="0"/>
          <w:numId w:val="11"/>
        </w:numPr>
      </w:pPr>
      <w:r>
        <w:t>将提取属性设置为 href 等链接属性，再打开第一条有效详情检查。开启附件识别后，详情样例会跳过已知文件扩展名链接；纯附件列表可直接使用“执行测试”检查资源计划。</w:t>
      </w:r>
    </w:p>
    <w:p w14:paraId="1258C678">
      <w:pPr>
        <w:pStyle w:val="167"/>
      </w:pPr>
      <w:r>
        <w:t>选择“点击元素”时，点选可触发详情的列表元素。正式采集会按列表顺序逐条打开详情并返回列表，确保详情数据与列表记录对应。</w:t>
      </w:r>
    </w:p>
    <w:p>
      <w:pPr>
        <w:pStyle w:val="4"/>
      </w:pPr>
      <w:r>
        <w:t>详情链接直接指向附件</w:t>
      </w:r>
    </w:p>
    <w:p>
      <w:pPr/>
      <w:r>
        <w:t>列表标题直接链接到 PDF、ZIP 等文件时，在第 3 步“详情页”选择“读取链接”，开启“识别并下载附件链接”（默认关闭）。适用于普通文章与附件混合的列表；“点击元素”触发的浏览器下载事件不在此配置范围内。</w:t>
      </w:r>
    </w:p>
    <w:p>
      <w:pPr>
        <w:pStyle w:val="167"/>
      </w:pPr>
      <w:r>
        <w:t>先导入 XML 或表格模板，再选择“附件链接回填字段”。新选中的未配置字段会设为“输出为空”，已有映射保持原设置；普通文章继续按第 4 步映射取值。切换模板后，若回填字段不再存在，需要重新选择。</w:t>
      </w:r>
    </w:p>
    <w:p>
      <w:pPr>
        <w:pStyle w:val="167"/>
      </w:pPr>
      <w:r>
        <w:t>在第 5 步“资源处理”开启“下载资源”，填写“资源存放根目录”和“输出内容中的资源访问前缀”。附件配置复用这两项，文件按原 URL 路径存放在资源根目录下，不包含 hostname。</w:t>
      </w:r>
    </w:p>
    <w:p>
      <w:pPr>
        <w:pStyle w:val="167"/>
      </w:pPr>
      <w:r>
        <w:t>附件记录保留列表中的标题、日期等字段，跳过详情页提取和仅来自详情页的必填检查；将改写后的纯 URL 覆盖写入所选字段。其他必填规则仍生效，被覆盖字段原有且未被其他输出引用的资源不会下载。</w:t>
      </w:r>
    </w:p>
    <w:p>
      <w:pPr>
        <w:pStyle w:val="167"/>
      </w:pPr>
      <w:r>
        <w:t>执行测试时核对字段值和资源计划；测试采集不下载附件，正式采集才保存文件。普通下载失败会保留计划地址并记入 CSV 错误日志，请同时检查资源失败数量。</w:t>
      </w:r>
    </w:p>
    <w:p>
      <w:pPr/>
      <w:r>
        <w:t>地址示例：原链接为 /zhejiangshengyitizuzhijuanxianzhiyuanshu.pdf，访问前缀为 /cms_files/jcms1/webHlRVQaNGUMr3f7uQMNj83/site/attach/old，回填值如下：</w:t>
      </w:r>
    </w:p>
    <w:p>
      <w:pPr>
        <w:pStyle w:val="164"/>
      </w:pPr>
      <w:r>
        <w:t>/cms_files/jcms1/webHlRVQaNGUMr3f7uQMNj83/site/attach/old/zhejiangshengyitizuzhijuanxianzhiyuanshu.pdf</w:t>
      </w:r>
    </w:p>
    <w:p>
      <w:pPr/>
      <w:r>
        <w:t>识别范围：常见文件扩展名直接进入资源计划；无后缀链接可从正常 GET 响应的附件类型或 Content-Disposition: attachment 识别。站内重定向后的文件使用最终地址；站外链接继续按外链规则处理。查询参数、中文路径和“资源路径 URL 转码”沿用资源处理规则。</w:t>
      </w:r>
    </w:p>
    <w:p w14:paraId="303BEBA1">
      <w:pPr>
        <w:pStyle w:val="4"/>
        <w:pageBreakBefore w:val="0"/>
      </w:pPr>
      <w:r>
        <w:rPr>
          <w:color w:val="000000"/>
        </w:rPr>
        <w:t>点选与选择器验证</w:t>
      </w:r>
    </w:p>
    <w:p w14:paraId="2342BBCE">
      <w:pPr>
        <w:keepNext/>
        <w:spacing w:before="80" w:after="60"/>
        <w:jc w:val="center"/>
      </w:pPr>
      <w:r>
        <w:drawing>
          <wp:inline distT="0" distB="0" distL="114300" distR="114300">
            <wp:extent cx="5989320" cy="4002968"/>
            <wp:effectExtent l="0" t="0" r="5080" b="1270"/>
            <wp:docPr id="15" name="Picture 15" descr="网页预览中点选完整列表项容器的示意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网页预览中点选完整列表项容器的示意界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37FB">
      <w:pPr>
        <w:pStyle w:val="15"/>
        <w:keepNext w:val="0"/>
        <w:keepLines/>
      </w:pPr>
      <w:r>
        <w:t>图 4  网页预览中的列表项点选示意</w:t>
      </w:r>
    </w:p>
    <w:p w14:paraId="37AFF457">
      <w:pPr>
        <w:pStyle w:val="166"/>
      </w:pPr>
      <w:r>
        <w:t>先选列表项外层容器，再为标题、日期、图片等字段选择容器内的相对位置。</w:t>
      </w:r>
    </w:p>
    <w:p w14:paraId="385C8F33">
      <w:pPr>
        <w:pStyle w:val="166"/>
      </w:pPr>
      <w:r>
        <w:t>验证结果应能识别同一列中的多条记录；若只命中第一条，应检查是否选到了页面级元素。</w:t>
      </w:r>
    </w:p>
    <w:p w14:paraId="46ED586C">
      <w:pPr>
        <w:pStyle w:val="166"/>
      </w:pPr>
      <w:r>
        <w:t>点选生成的选择器仍可手工修改，并再次验证数量。</w:t>
      </w:r>
    </w:p>
    <w:p w14:paraId="268B7B3C">
      <w:pPr>
        <w:pStyle w:val="4"/>
        <w:pageBreakBefore/>
      </w:pPr>
      <w:r>
        <w:rPr>
          <w:color w:val="000000"/>
        </w:rPr>
        <w:t>站内与外链处理</w:t>
      </w:r>
    </w:p>
    <w:p w14:paraId="3C725F58">
      <w:r>
        <w:t>站内分类使用完整 URL.hostname。只有 hostname 完全相同才视为站内，例如 www.example.com 与 example.com 仍是不同 hostname。绑定访问配置后，会话还受来源限制：同主机但协议或端口不同的静态详情不携带登录凭据，动态页面不能导航过去。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00"/>
        <w:gridCol w:w="3360"/>
      </w:tblGrid>
      <w:tr w14:paraId="6854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F46C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列表页 hostname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AD5B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详情 hostname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617A">
            <w:pPr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判断</w:t>
            </w:r>
          </w:p>
        </w:tc>
      </w:tr>
      <w:tr w14:paraId="4C80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C0ED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www.example.com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E98D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www.example.com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5CC1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站内，允许采集详情。</w:t>
            </w:r>
          </w:p>
        </w:tc>
      </w:tr>
      <w:tr w14:paraId="0EF2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DCF5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example.com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869E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www.example.com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FA7F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外链，不请求详情。</w:t>
            </w:r>
          </w:p>
        </w:tc>
      </w:tr>
      <w:tr w14:paraId="7C0D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0E43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www.example.com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2322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news.example.com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949A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外链，不请求详情。</w:t>
            </w:r>
          </w:p>
        </w:tc>
      </w:tr>
    </w:tbl>
    <w:p w14:paraId="0FA0CE47">
      <w:pPr>
        <w:spacing w:after="40"/>
      </w:pPr>
    </w:p>
    <w:p w14:paraId="26DFE307">
      <w:pPr>
        <w:pStyle w:val="5"/>
        <w:pageBreakBefore w:val="0"/>
      </w:pPr>
      <w:r>
        <w:rPr>
          <w:color w:val="000000"/>
        </w:rPr>
        <w:t>外链输出方式</w:t>
      </w:r>
    </w:p>
    <w:p w14:paraId="58B184F6">
      <w:pPr>
        <w:pStyle w:val="167"/>
        <w:numPr>
          <w:ilvl w:val="0"/>
          <w:numId w:val="12"/>
        </w:numPr>
      </w:pPr>
      <w:r>
        <w:t>在 XML 字段映射中选择“外链 URL”来源。</w:t>
      </w:r>
    </w:p>
    <w:p w14:paraId="12240327">
      <w:pPr>
        <w:pStyle w:val="167"/>
        <w:numPr>
          <w:ilvl w:val="0"/>
          <w:numId w:val="12"/>
        </w:numPr>
      </w:pPr>
      <w:r>
        <w:t>把列表中的原链接写入模板现有的链接字段，不访问外部详情页。</w:t>
      </w:r>
    </w:p>
    <w:p w14:paraId="53A18867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 xml:space="preserve">没有链接字段时  </w:t>
      </w:r>
      <w:r>
        <w:rPr>
          <w:rFonts w:ascii="Calibri" w:hAnsi="Calibri" w:eastAsia="微软雅黑" w:cs="Calibri"/>
          <w:color w:val="333A40"/>
          <w:sz w:val="21"/>
        </w:rPr>
        <w:t>不必为站内链接额外增加 XML 字段；只映射模板实际存在、确实需要输出的字段。</w:t>
      </w:r>
    </w:p>
    <w:p w14:paraId="6E6903A8">
      <w:pPr>
        <w:pStyle w:val="3"/>
        <w:pageBreakBefore w:val="0"/>
      </w:pPr>
      <w:r>
        <w:rPr>
          <w:color w:val="000000"/>
        </w:rPr>
        <w:t>5 导入 XML 或表格模板并配置输出字段</w:t>
      </w:r>
    </w:p>
    <w:p w14:paraId="5871A080">
      <w:pPr>
        <w:keepNext/>
      </w:pPr>
      <w:r>
        <w:t>模板字段不会按 title、text 等名称自动猜测。XML 模式需要确认单条记录节点；表格模式读取第一个工作表的表头。每个字段都必须明确处理方式；字段很多且大部分无需采集时，可先一键全部设为“输出为空”。</w:t>
      </w:r>
    </w:p>
    <w:p w14:paraId="3089F21C">
      <w:pPr>
        <w:keepNext/>
        <w:spacing w:before="80" w:after="60"/>
        <w:jc w:val="center"/>
      </w:pPr>
      <w:r>
        <w:drawing>
          <wp:inline distT="0" distB="0" distL="114300" distR="114300">
            <wp:extent cx="5166360" cy="4867750"/>
            <wp:effectExtent l="0" t="0" r="2540" b="9525"/>
            <wp:docPr id="16" name="Picture 16" descr="XML 模板树与字段映射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XML 模板树与字段映射总览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8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02A4">
      <w:pPr>
        <w:pStyle w:val="15"/>
        <w:keepNext w:val="0"/>
        <w:keepLines/>
      </w:pPr>
      <w:r>
        <w:t>图 5  模板树与字段映射总览（图示为 XML）</w:t>
      </w:r>
    </w:p>
    <w:p w14:paraId="2557C311">
      <w:pPr>
        <w:pStyle w:val="167"/>
        <w:numPr>
          <w:ilvl w:val="0"/>
          <w:numId w:val="13"/>
        </w:numPr>
      </w:pPr>
      <w:r>
        <w:t>选择输出格式并导入完整模板。XML 会保留声明编码、固定节点、属性、注释、命名空间、示例值和逐字段 CDATA；XLSX/XLS 会保留原工作簿并读取第一个工作表。</w:t>
      </w:r>
    </w:p>
    <w:p w14:paraId="32784FF7">
      <w:pPr>
        <w:pStyle w:val="167"/>
        <w:numPr>
          <w:ilvl w:val="0"/>
          <w:numId w:val="13"/>
        </w:numPr>
      </w:pPr>
      <w:r>
        <w:t>XML 模式在模板树中选择单条示例记录节点，例如 /book/article；支持映射元素属性，并可用唯一 id 区分同一层重复的 field 节点。表格模式以第 1 行非空表头作为字段，重复表头按列字母区分。</w:t>
      </w:r>
    </w:p>
    <w:p w14:paraId="7D76D10D">
      <w:pPr>
        <w:pStyle w:val="167"/>
        <w:numPr>
          <w:ilvl w:val="0"/>
          <w:numId w:val="13"/>
        </w:numPr>
      </w:pPr>
      <w:r>
        <w:t>字段较多时先点击“全部设为输出为空”，再逐个展开需要采集的字段，选择页面采集、合并值、外链 URL、固定值、系统值或保留示例值。XML 会复制记录节点；表格从第 2 行开始写入字符串，并保留其他工作表和可兼容的原有结构。</w:t>
      </w:r>
    </w:p>
    <w:p w14:paraId="307F50B5">
      <w:pPr>
        <w:pStyle w:val="167"/>
      </w:pPr>
      <w:r>
        <w:t>XLS 输出兼容 WPS 生成的模板；导出时会忽略 WPS 写入但旧版 XLS 格式不支持的内部属性。</w:t>
      </w:r>
    </w:p>
    <w:p w14:paraId="3D96875E">
      <w:pPr>
        <w:pStyle w:val="3"/>
        <w:pageBreakBefore w:val="0"/>
      </w:pPr>
      <w:r>
        <w:rPr>
          <w:color w:val="000000"/>
        </w:rPr>
        <w:t>6 配置字段映射和合并值</w:t>
      </w:r>
    </w:p>
    <w:p w14:paraId="2E4EAFE9">
      <w:pPr>
        <w:keepNext/>
      </w:pPr>
      <w:r>
        <w:t>字段编辑器用于决定数据来自列表页还是详情页、使用 CSS、XPath 1.0 或前后标记定位、提取文本还是 HTML，以及多个命中值如何处理。</w:t>
      </w:r>
    </w:p>
    <w:p w14:paraId="0D0CDBD4">
      <w:pPr>
        <w:keepNext/>
        <w:spacing w:before="80" w:after="60"/>
        <w:jc w:val="center"/>
      </w:pPr>
      <w:r>
        <w:drawing>
          <wp:inline distT="0" distB="0" distL="114300" distR="114300">
            <wp:extent cx="4983480" cy="5267574"/>
            <wp:effectExtent l="0" t="0" r="7620" b="3175"/>
            <wp:docPr id="17" name="Picture 17" descr="合并值字段处理方式和子值编辑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合并值字段处理方式和子值编辑器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6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DAE4">
      <w:pPr>
        <w:pStyle w:val="15"/>
        <w:keepNext w:val="0"/>
        <w:keepLines/>
      </w:pPr>
      <w:r>
        <w:t>图 6  字段映射与合并值编辑器</w:t>
      </w:r>
    </w:p>
    <w:p w14:paraId="3B8B7B9B">
      <w:pPr>
        <w:pStyle w:val="4"/>
        <w:pageBreakBefore w:val="0"/>
      </w:pPr>
      <w:r>
        <w:rPr>
          <w:color w:val="000000"/>
        </w:rPr>
        <w:t>常用字段处理方式</w:t>
      </w:r>
    </w:p>
    <w:p w14:paraId="278A4995">
      <w:pPr>
        <w:pStyle w:val="166"/>
      </w:pPr>
      <w:r>
        <w:t>页面采集：从列表页或详情页按 CSS/XPath 1.0 读取文本、HTML 内容 或任意标签属性。</w:t>
      </w:r>
    </w:p>
    <w:p w14:paraId="080A7DF6">
      <w:pPr>
        <w:pStyle w:val="166"/>
      </w:pPr>
      <w:r>
        <w:t>文字标签定位：提取纯文字时可填写标签文字，例如“发布时间”；同一节点含多个“标签：值”时，会按中文或英文冒号后的标签值区分提取。</w:t>
      </w:r>
    </w:p>
    <w:p w14:paraId="26D77317">
      <w:pPr>
        <w:pStyle w:val="166"/>
      </w:pPr>
      <w:r>
        <w:t>前后标记定位：按页面 HTML 原文查找两段边界，可只取第一段或合并全部匹配段，并选择是否连同边界标记保存。匹配区分大小写，空格和缩进需一致，请用测试采集核验。</w:t>
      </w:r>
    </w:p>
    <w:p w14:paraId="3C59C97A">
      <w:pPr>
        <w:pStyle w:val="166"/>
      </w:pPr>
      <w:r>
        <w:t>内容过滤：文字和 HTML 字段可选常用标签，或输入 CSS 选择器；命中节点及其子内容会在取值和资源处理前删除。</w:t>
      </w:r>
    </w:p>
    <w:p w14:paraId="0D06A025">
      <w:pPr>
        <w:pStyle w:val="166"/>
      </w:pPr>
      <w:r>
        <w:t>时间戳转换：页面字段和“采集时间”系统值可独立转为毫秒时间戳。无法识别的日期输出为空，并在运行日志和 CSV 错误日志中说明原值和来源页面。</w:t>
      </w:r>
    </w:p>
    <w:p w14:paraId="51347C8A">
      <w:pPr>
        <w:pStyle w:val="166"/>
      </w:pPr>
      <w:r>
        <w:t>外链 URL：详情链接为外链时直接输出原地址，不请求外部详情。</w:t>
      </w:r>
    </w:p>
    <w:p w14:paraId="35D1C167">
      <w:pPr>
        <w:pStyle w:val="166"/>
      </w:pPr>
      <w:r>
        <w:t>固定值：所有记录写入同一个常量。</w:t>
      </w:r>
    </w:p>
    <w:p w14:paraId="609F7659">
      <w:pPr>
        <w:pStyle w:val="166"/>
      </w:pPr>
      <w:r>
        <w:t>系统值：写入采集时间等工具提供的值。</w:t>
      </w:r>
    </w:p>
    <w:p w14:paraId="17466137">
      <w:pPr>
        <w:pStyle w:val="166"/>
      </w:pPr>
      <w:r>
        <w:t>保留示例值 / 输出为空：沿用模板示例，或明确生成空内容；“全部设为输出为空”会一次性覆盖当前所有字段的处理方式。</w:t>
      </w:r>
    </w:p>
    <w:p w14:paraId="5D3E69FE">
      <w:pPr>
        <w:pStyle w:val="4"/>
        <w:pageBreakBefore w:val="0"/>
      </w:pPr>
      <w:r>
        <w:rPr>
          <w:color w:val="000000"/>
        </w:rPr>
        <w:t>多元素与合并值</w:t>
      </w:r>
    </w:p>
    <w:p w14:paraId="48FD67DC">
      <w:r>
        <w:t>同一选择器命中多个元素时，可以只取第一个，也可以按配置顺序合并。使用“合并值”时，可添加多个页面采集、固定值、系统值或外链 URL 来源，并设置连接符；空子值会自动忽略，不产生多余分隔符。</w:t>
      </w:r>
    </w:p>
    <w:p w14:paraId="35AA9CAD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来源 1：栏目名称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来源 2：新闻标题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连接符： - 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输出：通知公告 - 关于开展示例活动的通知</w:t>
      </w:r>
    </w:p>
    <w:p w14:paraId="27C6E8D7">
      <w:pPr>
        <w:pStyle w:val="4"/>
        <w:pageBreakBefore w:val="0"/>
      </w:pPr>
      <w:r>
        <w:rPr>
          <w:color w:val="000000"/>
        </w:rPr>
        <w:t>把附件保留在 text 正文或表格 HTML 字段中</w:t>
      </w:r>
    </w:p>
    <w:p w14:paraId="4EAC64E7">
      <w:pPr>
        <w:pStyle w:val="167"/>
        <w:keepNext/>
        <w:numPr>
          <w:ilvl w:val="0"/>
          <w:numId w:val="14"/>
        </w:numPr>
      </w:pPr>
      <w:r>
        <w:t>将 text 字段来源设置为详情页正文容器。</w:t>
      </w:r>
    </w:p>
    <w:p w14:paraId="0DA57C87">
      <w:pPr>
        <w:pStyle w:val="167"/>
        <w:keepNext/>
        <w:numPr>
          <w:ilvl w:val="0"/>
          <w:numId w:val="14"/>
        </w:numPr>
      </w:pPr>
      <w:r>
        <w:t>在“提取内容”选择“HTML 内容（保留排版和标签）”，用 CSS 或 XPath 选中完整正文容器，保留附件链接、音视频和可识别的脚本资源。</w:t>
      </w:r>
    </w:p>
    <w:p w14:paraId="41CC4AC9">
      <w:pPr>
        <w:pStyle w:val="167"/>
        <w:keepNext/>
        <w:numPr>
          <w:ilvl w:val="0"/>
          <w:numId w:val="14"/>
        </w:numPr>
      </w:pPr>
      <w:r>
        <w:t>在“资源处理”选择“绝对地址 + 替换规则”或“自定义前缀 + 原路径”；如需保存文件，开启“下载资源”，选择“资源存放根目录”，填写“输出内容中的资源访问前缀”。</w:t>
      </w:r>
    </w:p>
    <w:p w14:paraId="5D20B2C4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>附件规则  正文 HTML 或表格字符串保留 PDF 预览、音视频和普通附件链接；开启下载后，站内资源会下载并改写地址，站外资源保持原地址。</w:t>
      </w:r>
    </w:p>
    <w:p w14:paraId="611AFC29">
      <w:pPr>
        <w:pStyle w:val="3"/>
        <w:pageBreakBefore w:val="0"/>
      </w:pPr>
      <w:r>
        <w:rPr>
          <w:color w:val="000000"/>
        </w:rPr>
        <w:t>7 输出、资源处理与下载</w:t>
      </w:r>
    </w:p>
    <w:p w14:paraId="76818AA0">
      <w:pPr>
        <w:keepNext/>
      </w:pPr>
      <w:r>
        <w:t>最后一步集中设置正文清理、资源地址处理或下载、所选格式分批、覆盖策略和网络参数。字段级内容过滤先于资源处理执行，资源下载只处理最终输出实际引用的站内资源。</w:t>
      </w:r>
    </w:p>
    <w:p w14:paraId="3B50D207">
      <w:pPr>
        <w:keepNext/>
        <w:spacing w:before="80" w:after="60"/>
        <w:jc w:val="center"/>
      </w:pPr>
      <w:r>
        <w:drawing>
          <wp:inline distT="0" distB="0" distL="114300" distR="114300">
            <wp:extent cx="4480560" cy="3286125"/>
            <wp:effectExtent l="0" t="0" r="5080" b="1905"/>
            <wp:docPr id="18" name="Picture 18" descr="资源下载目录和输出内容中的资源访问前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资源下载目录和输出内容中的资源访问前缀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0A5">
      <w:pPr>
        <w:pStyle w:val="15"/>
        <w:keepNext w:val="0"/>
        <w:keepLines/>
      </w:pPr>
      <w:r>
        <w:t>图 7  资源下载目录与输出访问前缀</w:t>
      </w:r>
    </w:p>
    <w:p w14:paraId="786AC828">
      <w:pPr>
        <w:pStyle w:val="4"/>
        <w:pageBreakBefore w:val="0"/>
      </w:pPr>
      <w:r>
        <w:rPr>
          <w:color w:val="000000"/>
        </w:rPr>
        <w:t>资源地址处理与下载</w:t>
      </w:r>
    </w:p>
    <w:p w14:paraId="28D413A2">
      <w:pPr>
        <w:pStyle w:val="166"/>
      </w:pPr>
      <w:r>
        <w:t>绝对地址 + 替换规则：按“资源地址绝对化”设置处理 href、src 等 URL 属性，再依次应用字符串替换。普通网页链接可以绝对化，但不会被当作附件下载。</w:t>
      </w:r>
    </w:p>
    <w:p w14:paraId="00F2C69C">
      <w:pPr>
        <w:pStyle w:val="166"/>
      </w:pPr>
      <w:r>
        <w:t>自定义前缀 + 原路径：不下载文件，把站内资源改写为“自定义前缀 + 原 URL 路径”。</w:t>
      </w:r>
    </w:p>
    <w:p w14:paraId="16487B1B">
      <w:pPr>
        <w:pStyle w:val="166"/>
      </w:pPr>
      <w:r>
        <w:t>内容清理与补充属性：先将可识别的 VSB 脚本资源转为 PDF 预览、视频或音频元素，再删除其余 script、noscript、注释、事件属性、危险脚本协议和旧 DocView 预览。生成的 article-pdf-preview PDF 预览会保留。可补充 data-file、data-url 等资源属性。</w:t>
      </w:r>
    </w:p>
    <w:p w14:paraId="196D9FAC">
      <w:pPr>
        <w:pStyle w:val="166"/>
      </w:pPr>
      <w:r>
        <w:t>“资源路径 URL 转码”默认关闭；开启后仅对已识别资源路径中的中文文件名进行百分号编码，普通网页链接不受影响。资源扩展名识别不区分大小写，但文件名大小写保持原样。</w:t>
      </w:r>
    </w:p>
    <w:p>
      <w:pPr>
        <w:pStyle w:val="166"/>
      </w:pPr>
      <w:r>
        <w:t>VSB 脚本资源：支持 showVsbpdfIframe("文件地址", ...) 的 PDF、showVsbVideo("文件地址", ...) 的媒体，以及 script 标签上 name="_videourl" 对应的 vurl 地址。媒体路径扩展名属于 MP3、M4A、WAV、OGG 等已识别音频类型时生成 audio，其余媒体引用生成 video。常见文件保留原文件名，下载请求保留完整参数。</w:t>
      </w:r>
    </w:p>
    <w:p>
      <w:pPr>
        <w:pStyle w:val="166"/>
      </w:pPr>
      <w:r>
        <w:t>PDF 预览结构：iframe 的 class 为 article-pdf-preview，scrolling="no"、frameborder="0"，style 为 width: 90%;height: 1000px;margin: 0px auto 0;display: block;。只下载原 PDF，不下载脚本数组中的逐页预览图；即使地址没有 .pdf 后缀，生成的预览仍按附件处理。</w:t>
      </w:r>
    </w:p>
    <w:p>
      <w:pPr>
        <w:pStyle w:val="166"/>
      </w:pPr>
      <w:r>
        <w:t>视频结构：video 的 class 为 edui-upload-video  video-js，controls=""、preload="none"、width="640"、height="480"、data-setup="{}"、autoplay="true"。实际自动播放由展示环境决定，采集器不额外引入播放器脚本。</w:t>
      </w:r>
    </w:p>
    <w:p>
      <w:pPr>
        <w:pStyle w:val="166"/>
      </w:pPr>
      <w:r>
        <w:t>音频结构：audio 保留 controls="" 和 src，标签内文字为“音频”。三类元素的 src 均按资源设置改写，开启下载后引用本地资源访问地址。已有附件链接保留，相同资源不会重复生成预览，正式采集时只下载一次。</w:t>
      </w:r>
    </w:p>
    <w:p>
      <w:pPr>
        <w:pStyle w:val="166"/>
      </w:pPr>
      <w:r>
        <w:t>正文配置示例：CSS 选择器填写 #vsb_content，“提取内容”选择“HTML 内容（保留排版和标签）”；开启“下载资源”并填写目录和访问前缀。“清理脚本、事件和 DocView 预览”可保持开启，无需补充 vurl 属性。字段“内容过滤”不要删除 script 或附件所在区块。</w:t>
      </w:r>
    </w:p>
    <w:p>
      <w:pPr>
        <w:pStyle w:val="166"/>
      </w:pPr>
      <w:r>
        <w:t>脚本识别范围：只读取上述直接调用的字符串参数和视频属性，不执行脚本，不解析变量、拼接表达式或任意脚本中的链接。纯文字与“前后标记”取值不经过这项 HTML 资源转换。测试采集只显示计划，正式采集才下载；关闭下载时仍按所选方式改写资源地址。</w:t>
      </w:r>
    </w:p>
    <w:p w14:paraId="36EA7962">
      <w:pPr>
        <w:pStyle w:val="166"/>
      </w:pPr>
      <w:r>
        <w:t>下载资源：支持图片、视频、音频和常见附件；只下载与资源所属页面 hostname 完全相同的地址，站外资源保持原地址。</w:t>
      </w:r>
    </w:p>
    <w:p w14:paraId="13E278F2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资源存放根目录：D:\TapCollect\资源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输出内容中的资源访问前缀：/resources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示例结果：/resources/files/notice.pdf</w:t>
      </w:r>
    </w:p>
    <w:p w14:paraId="1BC0D640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>下载细节  本地目录按原路径建立；常见文件保留原名，无明确文件名的接口按参数区分。测试采集只显示资源计划，不写文件；普通下载失败按全局“资源下载重试次数”处理后记入错误日志，继续保留文章和计划地址。400、404 等明确错误及可识别的错误提示网页直接跳过。已保存的资源处理结果在续采时继续复用；限流和访问验证仍暂停并保留进度。</w:t>
      </w:r>
    </w:p>
    <w:p w14:paraId="08791BFB">
      <w:pPr>
        <w:pStyle w:val="4"/>
        <w:pageBreakBefore w:val="0"/>
      </w:pPr>
      <w:r>
        <w:rPr>
          <w:color w:val="000000"/>
        </w:rPr>
        <w:t>XML 与表格输出</w:t>
      </w:r>
    </w:p>
    <w:p w14:paraId="3D86880C">
      <w:pPr>
        <w:pStyle w:val="166"/>
      </w:pPr>
      <w:r>
        <w:t>每个 XML、XLSX 或 XLS 文件可保存 1–200 条，默认 200 条；超过上限自动新建下一个文件。</w:t>
      </w:r>
    </w:p>
    <w:p w14:paraId="64AD9B78">
      <w:pPr>
        <w:pStyle w:val="166"/>
      </w:pPr>
      <w:r>
        <w:t>“覆盖旧结果”默认开启，同时决定输出文件和同名资源是否覆盖；关闭后输出文件名加入时间戳，已有资源会跳过并计入“资源已存在”。同名资源顺序下载；旧文件和已导出内容不会自动重命名。</w:t>
      </w:r>
    </w:p>
    <w:p w14:paraId="7D03E86B">
      <w:pPr>
        <w:pStyle w:val="166"/>
      </w:pPr>
      <w:r>
        <w:t>输出先写入临时文件并完成格式校验，再原子重命名，降低运行中断导致半个文件或内容截断的风险。</w:t>
      </w:r>
    </w:p>
    <w:p w14:paraId="267D8B4B">
      <w:pPr>
        <w:pStyle w:val="166"/>
      </w:pPr>
      <w:r>
        <w:t>XML 字段可单独开启或关闭 CDATA；内容出现 ]]&gt; 时会安全拆分。字段值中的 XML 1.0 非法控制字符会替换为空格，避免脏数据导致整个文件生成失败。</w:t>
      </w:r>
    </w:p>
    <w:p w14:paraId="67939BFB">
      <w:pPr>
        <w:pStyle w:val="166"/>
      </w:pPr>
      <w:r>
        <w:t>XML 属性字段、重复 field[@id] 字段和模板中的固定结构会按映射保留；属性字段不能使用 CDATA。</w:t>
      </w:r>
    </w:p>
    <w:p w14:paraId="0C00F94A">
      <w:pPr>
        <w:pStyle w:val="166"/>
      </w:pPr>
      <w:r>
        <w:t>XLSX/XLS 模板只读取第一个工作表的表头；输出扩展名与导入模板一致，每一批都从原模板生成。WPS 生成的 XLS 模板也可正常导出。</w:t>
      </w:r>
    </w:p>
    <w:p w14:paraId="7A0F1B0B">
      <w:pPr>
        <w:pStyle w:val="166"/>
      </w:pPr>
      <w:r>
        <w:t>表格单元格按普通字符串写入：HTML 会原样保存，不转换为富文本；以 =、+、-、@ 开头的值也按文本处理，避免被当作公式。</w:t>
      </w:r>
    </w:p>
    <w:p w14:paraId="55079372">
      <w:pPr>
        <w:pStyle w:val="4"/>
        <w:pageBreakBefore w:val="0"/>
      </w:pPr>
      <w:r>
        <w:rPr>
          <w:color w:val="000000"/>
        </w:rPr>
        <w:t>请求与并发</w:t>
      </w:r>
    </w:p>
    <w:p w14:paraId="73981B07">
      <w:pPr>
        <w:pStyle w:val="166"/>
      </w:pPr>
      <w:r>
        <w:t>列表页按顺序处理；详情页并发范围 1–5，最终仍按列表顺序写入。实际网络访问还受全局和单站点并发上限限制。</w:t>
      </w:r>
    </w:p>
    <w:p w14:paraId="25E9D989">
      <w:pPr>
        <w:pStyle w:val="166"/>
      </w:pPr>
      <w:r>
        <w:t>正式任务并发数可在运行中心或“设置 → 运行与并发”调整，范围 1–5、默认 3。任务并发、详情并发和全局网络并发控制不同层级。</w:t>
      </w:r>
    </w:p>
    <w:p w14:paraId="60756C63">
      <w:pPr>
        <w:pStyle w:val="166"/>
      </w:pPr>
      <w:r>
        <w:t>任务可配置超时、请求延迟、编码覆盖、User-Agent 和非认证自定义请求头。访问配置的 UA/请求语言覆盖优先；留空时继承全局自动 UA 或任务 UA，以及全局请求语言。绑定任务入队时确定生效身份。</w:t>
      </w:r>
    </w:p>
    <w:p w14:paraId="5A31A5F6">
      <w:pPr>
        <w:pStyle w:val="166"/>
      </w:pPr>
      <w:r>
        <w:t>遇到乱码时优先尝试编码覆盖；遇到限速时查看运行中心的站点保护提示。可在全局设置提高最小请求间隔、降低单站点并发；保存设置不会清除正在生效的冷却。</w:t>
      </w:r>
    </w:p>
    <w:p w14:paraId="06D263AE">
      <w:pPr>
        <w:pStyle w:val="3"/>
        <w:pageBreakBefore w:val="0"/>
      </w:pPr>
      <w:r>
        <w:rPr>
          <w:color w:val="000000"/>
        </w:rPr>
        <w:t>8 先测试再正式采集</w:t>
      </w:r>
    </w:p>
    <w:p w14:paraId="3F2AEB04">
      <w:pPr>
        <w:keepNext/>
      </w:pPr>
      <w:r>
        <w:t>“执行测试”读取当前列表页并处理前 3 条记录，用于检查选择器、字段映射、输出模板和资源计划。测试不占正式任务并发名额，但与正式任务共享网络限速和站点保护；不下载资源或写入正式输出，完成后可手动导出测试文件。</w:t>
      </w:r>
    </w:p>
    <w:p w14:paraId="2D85AB4C">
      <w:pPr>
        <w:keepNext/>
        <w:spacing w:before="80" w:after="60"/>
        <w:jc w:val="center"/>
      </w:pPr>
      <w:r>
        <w:drawing>
          <wp:inline distT="0" distB="0" distL="114300" distR="114300">
            <wp:extent cx="5029200" cy="2867002"/>
            <wp:effectExtent l="0" t="0" r="10160" b="5080"/>
            <wp:docPr id="19" name="Picture 19" descr="测试采集结果、字段匹配和资源计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测试采集结果、字段匹配和资源计划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189F">
      <w:pPr>
        <w:pStyle w:val="15"/>
        <w:keepNext w:val="0"/>
        <w:keepLines/>
      </w:pPr>
      <w:r>
        <w:t>图 8  测试结果、字段匹配与资源计划</w:t>
      </w:r>
    </w:p>
    <w:p w14:paraId="3763678B">
      <w:pPr>
        <w:pStyle w:val="167"/>
        <w:numPr>
          <w:ilvl w:val="0"/>
          <w:numId w:val="15"/>
        </w:numPr>
      </w:pPr>
      <w:r>
        <w:t>确认“列表项匹配”数量与页面实际记录数接近。</w:t>
      </w:r>
    </w:p>
    <w:p w14:paraId="4A581397">
      <w:pPr>
        <w:pStyle w:val="167"/>
        <w:numPr>
          <w:ilvl w:val="0"/>
          <w:numId w:val="15"/>
        </w:numPr>
      </w:pPr>
      <w:r>
        <w:t>查看每个 XML 字段在 3 条记录中的匹配次数；必填字段不应出现缺失。</w:t>
      </w:r>
    </w:p>
    <w:p w14:paraId="5E415468">
      <w:pPr>
        <w:pStyle w:val="167"/>
        <w:numPr>
          <w:ilvl w:val="0"/>
          <w:numId w:val="15"/>
        </w:numPr>
      </w:pPr>
      <w:r>
        <w:t>核对测试结果中的标题、日期、正文、图片和外链是否来自预期位置；开启下载时，展开“资源计划”确认来源、目标目录和输出访问地址。</w:t>
      </w:r>
    </w:p>
    <w:p w14:paraId="47FB858D">
      <w:pPr>
        <w:pStyle w:val="167"/>
        <w:numPr>
          <w:ilvl w:val="0"/>
          <w:numId w:val="15"/>
        </w:numPr>
      </w:pPr>
      <w:r>
        <w:t>XML 模式展开 XML 预览，确认节点、属性、CDATA 和编码；表格模式核对各列字符串，确认 HTML、附件链接和资源改写结果正确。</w:t>
      </w:r>
    </w:p>
    <w:p w14:paraId="468258C9">
      <w:pPr>
        <w:pStyle w:val="167"/>
        <w:keepNext/>
      </w:pPr>
      <w:r>
        <w:t>需要验证真实文件结构时，点击“导出测试文件”并选择保存位置，再用目标系统或办公软件打开生成的 XML、XLSX 或 XLS 文件。</w:t>
      </w:r>
    </w:p>
    <w:p w14:paraId="18679EC0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>测试通过标准</w:t>
      </w:r>
      <w:r>
        <w:rPr>
          <w:rFonts w:ascii="Calibri" w:hAnsi="Calibri" w:eastAsia="微软雅黑" w:cs="Calibri"/>
          <w:b w:val="0"/>
          <w:color w:val="333A40"/>
          <w:sz w:val="21"/>
        </w:rPr>
        <w:t xml:space="preserve">  列表项、详情链接、必填字段、资源计划和当前格式预览均符合预期后，再点击“开始正式采集”。</w:t>
      </w:r>
    </w:p>
    <w:p w14:paraId="74B5DE26">
      <w:pPr>
        <w:pStyle w:val="3"/>
        <w:pageBreakBefore w:val="0"/>
      </w:pPr>
      <w:r>
        <w:rPr>
          <w:color w:val="000000"/>
        </w:rPr>
        <w:t>9 运行中心、暂停与取消</w:t>
      </w:r>
    </w:p>
    <w:p w14:paraId="669C622F">
      <w:pPr>
        <w:keepNext/>
      </w:pPr>
      <w:r>
        <w:t>从左下角进入运行中心。正式任务最大并发数为 1–5，默认 3；超过上限时排队。每个任务保留独立进度、日志和结果。测试使用独立测试槽，但仍遵守全局网络限制。站点保护会显示“冷却中”或“需要人工处理”。</w:t>
      </w:r>
    </w:p>
    <w:p w14:paraId="7F7B11B4">
      <w:pPr>
        <w:keepNext/>
        <w:spacing w:before="80" w:after="60"/>
        <w:jc w:val="center"/>
      </w:pPr>
      <w:r>
        <w:drawing>
          <wp:inline distT="0" distB="0" distL="114300" distR="114300">
            <wp:extent cx="5303520" cy="3477031"/>
            <wp:effectExtent l="0" t="0" r="5080" b="10795"/>
            <wp:docPr id="20" name="Picture 20" descr="运行中心并发任务与队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运行中心并发任务与队列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07D7">
      <w:pPr>
        <w:pStyle w:val="15"/>
        <w:keepNext w:val="0"/>
        <w:keepLines/>
      </w:pPr>
      <w:r>
        <w:t>图 9  运行中心的并发、队列、任务指标与实时日志</w:t>
      </w:r>
    </w:p>
    <w:p w14:paraId="115781B4">
      <w:pPr>
        <w:keepNext/>
        <w:spacing w:before="80" w:after="60"/>
        <w:jc w:val="center"/>
      </w:pPr>
      <w:r>
        <w:drawing>
          <wp:inline distT="0" distB="0" distL="114300" distR="114300">
            <wp:extent cx="5989320" cy="1112724"/>
            <wp:effectExtent l="0" t="0" r="5080" b="5080"/>
            <wp:docPr id="21" name="Picture 21" descr="详细实时运行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详细实时运行日志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1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90A3">
      <w:pPr>
        <w:pStyle w:val="15"/>
        <w:keepNext w:val="0"/>
        <w:keepLines/>
      </w:pPr>
      <w:r>
        <w:t>图 10  可拖动高度的详细实时日志</w:t>
      </w:r>
    </w:p>
    <w:p w14:paraId="448DB571">
      <w:pPr>
        <w:pStyle w:val="166"/>
      </w:pPr>
      <w:r>
        <w:t>暂停任务：中断排队或未完成请求，保存已提交记录和安全检查点后释放运行名额。未完成页面会在继续时重放，已完成记录不会重复输出。</w:t>
      </w:r>
    </w:p>
    <w:p w14:paraId="61A9639B">
      <w:pPr>
        <w:pStyle w:val="166"/>
      </w:pPr>
      <w:r>
        <w:t>继续任务：从检查点恢复并加入等待队列；尚未到期的冷却不能跳过。“停止自动恢复”使当前冷却任务保持手动暂停。</w:t>
      </w:r>
    </w:p>
    <w:p w14:paraId="70FAE14A">
      <w:pPr>
        <w:pStyle w:val="166"/>
      </w:pPr>
      <w:r>
        <w:t>取消任务：停止等待或运行；已经写入完成的输出文件会保留。</w:t>
      </w:r>
    </w:p>
    <w:p w14:paraId="32AE5549">
      <w:pPr>
        <w:pStyle w:val="166"/>
      </w:pPr>
      <w:r>
        <w:t>运行中心支持全部暂停、全部继续和全部取消。“全部暂停”停止已暂停任务的自动恢复；“全部继续”跳过尚未到期的冷却任务。完成后可打开输出目录或 CSV 错误日志。</w:t>
      </w:r>
    </w:p>
    <w:p w14:paraId="7FC04061">
      <w:pPr>
        <w:pStyle w:val="166"/>
      </w:pPr>
      <w:r>
        <w:t>删除任务：运行、等待、暂停和测试中的任务不可删除。任务行省略号菜单提供“删除任务”，确认后清理配置、分组归属、检查点和运行中心记录；已有输出文件与资源保留。</w:t>
      </w:r>
    </w:p>
    <w:p w14:paraId="2E74FB19">
      <w:pPr>
        <w:pStyle w:val="3"/>
        <w:pageBreakBefore w:val="0"/>
      </w:pPr>
      <w:r>
        <w:rPr>
          <w:color w:val="000000"/>
        </w:rPr>
        <w:t>10 查看输出文件和本地数据</w:t>
      </w:r>
    </w:p>
    <w:p w14:paraId="4423DAE8">
      <w:r>
        <w:t>任务名称决定输出目录和文件名前缀。XML、XLSX、XLS 都默认每 200 条拆分一次，编号从 001 开始；下载资源写入单独选择的资源根目录。</w:t>
      </w:r>
    </w:p>
    <w:p w14:paraId="5CABE5D3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输出根目录/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>└─ 政务新闻/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   ├─ 政务新闻_001.xml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   ├─ 政务新闻_001.xlsx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   ├─ 政务新闻_001.xls</w:t>
      </w:r>
      <w:r>
        <w:rPr>
          <w:rFonts w:ascii="Consolas" w:hAnsi="Consolas" w:eastAsia="微软雅黑" w:cs="Consolas"/>
          <w:color w:val="203748"/>
          <w:sz w:val="19"/>
        </w:rPr>
        <w:br w:type="textWrapping"/>
      </w:r>
      <w:r>
        <w:rPr>
          <w:rFonts w:ascii="Consolas" w:hAnsi="Consolas" w:eastAsia="微软雅黑" w:cs="Consolas"/>
          <w:color w:val="203748"/>
          <w:sz w:val="19"/>
        </w:rPr>
        <w:t xml:space="preserve">   └─ 政务新闻_错误日志.csv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60"/>
      </w:tblGrid>
      <w:tr w14:paraId="78BA5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E474">
            <w:pPr>
              <w:keepNext/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文件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F403">
            <w:pPr>
              <w:keepNext/>
              <w:spacing w:before="0" w:after="4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203748"/>
                <w:sz w:val="20"/>
              </w:rPr>
              <w:t>用途</w:t>
            </w:r>
          </w:p>
        </w:tc>
      </w:tr>
      <w:tr w14:paraId="0BA8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FBDF">
            <w:pPr>
              <w:keepNext/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任务名称_001.xml / .xlsx / .xls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9BA2">
            <w:pPr>
              <w:keepNext/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按当前模板格式写入的第一批记录；一个任务每次只使用一种格式。</w:t>
            </w:r>
          </w:p>
        </w:tc>
      </w:tr>
      <w:tr w14:paraId="16B82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A80F">
            <w:pPr>
              <w:keepNext/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任务名称_002.xml / .xlsx / .xls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4A7F">
            <w:pPr>
              <w:keepNext/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超过单文件上限后自动创建的下一批。</w:t>
            </w:r>
          </w:p>
        </w:tc>
      </w:tr>
      <w:tr w14:paraId="0499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45A6">
            <w:pPr>
              <w:keepNext/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任务名称_错误日志.csv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8A24">
            <w:pPr>
              <w:keepNext/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记录请求失败、解析失败和必填字段缺失等问题。</w:t>
            </w:r>
          </w:p>
        </w:tc>
      </w:tr>
      <w:tr w14:paraId="7E2B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6E38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带时间戳文件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A87E">
            <w:pPr>
              <w:spacing w:before="0" w:after="40" w:line="264" w:lineRule="auto"/>
            </w:pPr>
            <w:r>
              <w:rPr>
                <w:rFonts w:ascii="Calibri" w:hAnsi="Calibri" w:eastAsia="微软雅黑" w:cs="Calibri"/>
                <w:color w:val="333A40"/>
                <w:sz w:val="20"/>
              </w:rPr>
              <w:t>关闭覆盖开关时，用于保留多次运行结果。</w:t>
            </w:r>
          </w:p>
        </w:tc>
      </w:tr>
    </w:tbl>
    <w:p w14:paraId="75D70773">
      <w:pPr>
        <w:spacing w:after="40"/>
      </w:pPr>
    </w:p>
    <w:p w14:paraId="20601C53">
      <w:pPr>
        <w:pStyle w:val="4"/>
        <w:pageBreakBefore w:val="0"/>
      </w:pPr>
      <w:r>
        <w:rPr>
          <w:color w:val="000000"/>
        </w:rPr>
        <w:t>任务配置和检查点</w:t>
      </w:r>
    </w:p>
    <w:p w14:paraId="234050ED">
      <w:pPr>
        <w:pStyle w:val="164"/>
        <w:pBdr>
          <w:left w:val="single" w:color="B7C8CE" w:sz="20" w:space="8"/>
        </w:pBdr>
        <w:shd w:val="clear" w:fill="F4F6F9"/>
      </w:pPr>
      <w:r>
        <w:rPr>
          <w:rFonts w:ascii="Consolas" w:hAnsi="Consolas" w:eastAsia="微软雅黑" w:cs="Consolas"/>
          <w:color w:val="203748"/>
          <w:sz w:val="19"/>
        </w:rPr>
        <w:t>collector-data/</w:t>
        <w:br/>
        <w:t>├─ settings.json</w:t>
        <w:br/>
        <w:t>├─ task-groups.json</w:t>
        <w:br/>
        <w:t>├─ access-profiles.json</w:t>
        <w:br/>
        <w:t>├─ access-credentials/&lt;profile-id&gt;.bin</w:t>
        <w:br/>
        <w:t>├─ tasks/&lt;task-id&gt;/task.json</w:t>
        <w:br/>
        <w:t>├─ checkpoints/&lt;task-id&gt;/checkpoint.json</w:t>
        <w:br/>
        <w:t>├─ checkpoints/&lt;task-id&gt;/pending.ndjson</w:t>
        <w:br/>
        <w:t>└─ manifests/&lt;task-id&gt;.json</w:t>
      </w:r>
      <w:r>
        <w:rPr>
          <w:b w:val="0"/>
          <w:color w:val="333A40"/>
          <w:sz w:val="22"/>
        </w:rPr>
      </w:r>
    </w:p>
    <w:p w14:paraId="21561D1B">
      <w:pPr>
        <w:pStyle w:val="166"/>
      </w:pPr>
      <w:r>
        <w:t>Windows：%APPDATA%\TapCollect\collector-data。</w:t>
      </w:r>
    </w:p>
    <w:p w14:paraId="3317D6A9">
      <w:pPr>
        <w:pStyle w:val="166"/>
      </w:pPr>
      <w:r>
        <w:t>macOS：~/Library/Application Support/TapCollect/collector-data。</w:t>
      </w:r>
    </w:p>
    <w:p w14:paraId="4DB66FE6">
      <w:pPr>
        <w:pStyle w:val="166"/>
      </w:pPr>
      <w:r>
        <w:t>Linux / UOS：~/.config/TapCollect/collector-data。</w:t>
      </w:r>
    </w:p>
    <w:p>
      <w:pPr/>
      <w:r>
        <w:t>分组元数据  task-groups.json 独立保存分组和归属。缺少该文件时按空分组读取，不会为升级自动创建分组或重写旧任务；分组名称不作为文件路径，也不改变任务输出目录。</w:t>
      </w:r>
    </w:p>
    <w:p w14:paraId="164FB5EB">
      <w:pPr>
        <w:keepLines/>
        <w:pBdr>
          <w:left w:val="single" w:color="087A83" w:sz="20" w:space="8"/>
        </w:pBdr>
        <w:shd w:val="clear" w:fill="EAF7F7"/>
        <w:spacing w:before="120" w:after="200" w:line="288" w:lineRule="auto"/>
        <w:ind w:left="173" w:right="115"/>
      </w:pPr>
      <w:r>
        <w:rPr>
          <w:rFonts w:ascii="Calibri" w:hAnsi="Calibri" w:eastAsia="微软雅黑" w:cs="Calibri"/>
          <w:b/>
          <w:color w:val="075E68"/>
          <w:sz w:val="21"/>
        </w:rPr>
        <w:t>旧版 data 目录</w:t>
      </w:r>
      <w:r>
        <w:rPr>
          <w:rFonts w:ascii="Calibri" w:hAnsi="Calibri" w:eastAsia="微软雅黑" w:cs="Calibri"/>
          <w:b w:val="0"/>
          <w:color w:val="333A40"/>
          <w:sz w:val="21"/>
        </w:rPr>
        <w:t xml:space="preserve">  应用或项目同级的旧 data/ 不会被自动读取、迁移或删除。需要继续使用其中的任务时，可从旧版本导出全部任务配置，再在当前版本导入。删除任务会删除配置、检查点和运行中心记录，但不会删除已生成的 XML、表格、资源和错误日志。</w:t>
      </w:r>
    </w:p>
    <w:p w14:paraId="629F7D68">
      <w:pPr>
        <w:pStyle w:val="3"/>
        <w:pageBreakBefore w:val="0"/>
      </w:pPr>
      <w:r>
        <w:rPr>
          <w:color w:val="000000"/>
        </w:rPr>
        <w:t>11 常见问题</w:t>
      </w:r>
    </w:p>
    <w:p w14:paraId="2BAD0A59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预览已登录，为什么采集仍没有数据</w:t>
      </w:r>
      <w:r>
        <w:rPr>
          <w:b w:val="0"/>
          <w:color w:val="333A40"/>
          <w:sz w:val="22"/>
        </w:rPr>
        <w:br/>
        <w:t>先确认任务绑定了与预览相同的访问配置，且列表地址匹配配置来源；切换绑定后保存任务并重新打开预览。未绑定任务仍使用独立会话。仅依赖其他浏览器存储的登录状态不会跨重启保存。异步渲染可选动态模式；显示“需要人工处理”时检查访问条件后重试，工具不会自动解验证码。</w:t>
      </w:r>
    </w:p>
    <w:p w14:paraId="5A072ECD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点选后总是识别第一条，或验证不到其他列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先把“列表项容器”选到一整条记录的外层节点，再在字段映射里选择该记录内部的标题、日期或图片。字段选择器应相对于列表项执行。</w:t>
      </w:r>
    </w:p>
    <w:p w14:paraId="54256755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页面只有一页，没有分页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只填写固定 URL，不添加 {page} 模板；程序会采集一次后结束。</w:t>
      </w:r>
    </w:p>
    <w:p w14:paraId="106B6E38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分页地址不是查询参数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只要数字位置可替换，就可使用 {page}，例如 node_101571_{page}.htm；第一页特殊时，把第一页作为固定地址单独放在前面。</w:t>
      </w:r>
    </w:p>
    <w:p w14:paraId="516DA2B1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担心分页无限循环</w:t>
      </w:r>
      <w:r>
        <w:rPr>
          <w:b w:val="0"/>
          <w:color w:val="333A40"/>
          <w:sz w:val="22"/>
        </w:rPr>
        <w:br/>
        <w:t>设置最大采集页数。普通空列表、URL 重复、列表不变、下一页缺失/禁用、404/410 或达到页数上限时结束。识别出的验证页会保留进度并暂停，不当作普通空列表。</w:t>
      </w:r>
    </w:p>
    <w:p w14:paraId="2BC241AD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中文乱码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先保持“自动识别”；若结果仍乱码，在请求设置中选择目标页面实际编码后重新测试。</w:t>
      </w:r>
    </w:p>
    <w:p w14:paraId="03629CB7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图片、音视频或附件没有下载</w:t>
      </w:r>
      <w:r>
        <w:rPr>
          <w:rFonts w:ascii="Calibri" w:hAnsi="Calibri" w:eastAsia="微软雅黑" w:cs="Calibri"/>
          <w:b/>
          <w:color w:val="1F4D78"/>
          <w:sz w:val="23"/>
        </w:rPr>
      </w:r>
      <w:r>
        <w:rPr>
          <w:rFonts w:ascii="Calibri" w:hAnsi="Calibri" w:eastAsia="微软雅黑" w:cs="Calibri"/>
          <w:b w:val="0"/>
          <w:color w:val="333A40"/>
          <w:sz w:val="22"/>
        </w:rPr>
      </w:r>
      <w:r>
        <w:br/>
        <w:t>确认已开启“下载资源”，并设置“资源存放根目录”和“输出内容中的资源访问前缀”。列表详情链接直接指向文件时，应在“读取链接”下开启“识别并下载附件链接”并选择“附件链接回填字段”。正文脚本中的 PDF 或音视频应以 CSS/XPath 选中完整正文并提取 HTML 内容，且不能被内容过滤删除。测试采集不会写文件；只下载与所属页面 hostname 完全相同的资源。400、404 等明确错误及可识别的错误提示网页会直接跳过；普通临时故障按“全局配置 → 退避与保护 → 资源下载重试次数”处理，默认重试 3 次、最多可设为 5 次。文章和计划地址继续输出，请核对资源失败数量和 CSV 错误日志。</w:t>
      </w:r>
    </w:p>
    <w:p w14:paraId="39461270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外链为什么没有进入详情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工具按完整 hostname 判断站内。hostname 不同即视为外链，不发起详情请求，可把原链接映射到 XML 的外链字段。</w:t>
      </w:r>
    </w:p>
    <w:p w14:paraId="382072EB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macOS 提示无法验证开发者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当前 macOS 包未签名、未公证，首次打开可能触发 Gatekeeper 提示。正式对外分发前应配置 Apple Developer 签名和公证。</w:t>
      </w:r>
    </w:p>
    <w:p w14:paraId="63EA99F1">
      <w:pPr>
        <w:keepLines/>
        <w:spacing w:before="80" w:after="100" w:line="276" w:lineRule="auto"/>
      </w:pPr>
      <w:r>
        <w:rPr>
          <w:b/>
          <w:color w:val="1F4D78"/>
          <w:sz w:val="23"/>
        </w:rPr>
        <w:t>如何导出或批量导入任务配置</w:t>
      </w:r>
      <w:r>
        <w:rPr>
          <w:b w:val="0"/>
          <w:color w:val="333A40"/>
          <w:sz w:val="22"/>
        </w:rPr>
        <w:br/>
        <w:t>点击“任务管理”右侧省略号，使用“导出全部任务配置”或“导入任务配置”。版本 2 包含分组；修改 tasks 数组时，须同步调整 taskGroupIds 的对应项。导入任务始终创建新 ID，不覆盖本地任务；旧版应用不能读取版本 2 包。</w:t>
      </w:r>
    </w:p>
    <w:p w14:paraId="48F21445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为什么任务等待或暂停</w:t>
      </w:r>
      <w:r>
        <w:rPr>
          <w:b w:val="0"/>
          <w:color w:val="333A40"/>
          <w:sz w:val="22"/>
        </w:rPr>
        <w:br/>
        <w:t>任务并发已满或输出目录被占用时会排队。显示“冷却中”时等待倒计时结束，先恢复一个任务探测；显示“需要人工处理”时，检查后点击“检查后重试”。其他站点可继续运行。</w:t>
      </w:r>
    </w:p>
    <w:p w14:paraId="5729643A">
      <w:pPr>
        <w:keepLines/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表格中的 HTML 会如何写入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XLSX/XLS 单元格按普通字符串写入，HTML 标签会原样保留，不转换为富文本。输出后工具会重新读取并校验单元格，避免长文本被截断。</w:t>
      </w:r>
    </w:p>
    <w:p w14:paraId="132C2ABD">
      <w:pPr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模板字段太多，如何快速跳过不采集的字段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在模板映射顶部点击“全部设为输出为空”，再只展开并配置需要采集的字段。该操作会覆盖当前所有字段的处理方式。</w:t>
      </w:r>
    </w:p>
    <w:p w14:paraId="7FA86E28">
      <w:pPr>
        <w:spacing w:before="80" w:after="100" w:line="276" w:lineRule="auto"/>
      </w:pPr>
      <w:r>
        <w:rPr>
          <w:rFonts w:ascii="Calibri" w:hAnsi="Calibri" w:eastAsia="微软雅黑" w:cs="Calibri"/>
          <w:b/>
          <w:color w:val="1F4D78"/>
          <w:sz w:val="23"/>
        </w:rPr>
        <w:t>页面没有稳定的 CSS/XPath，如何取值</w:t>
      </w:r>
      <w:r>
        <w:rPr>
          <w:rFonts w:ascii="Calibri" w:hAnsi="Calibri" w:eastAsia="微软雅黑" w:cs="Calibri"/>
          <w:color w:val="333A40"/>
          <w:sz w:val="22"/>
        </w:rPr>
        <w:br w:type="textWrapping"/>
      </w:r>
      <w:r>
        <w:rPr>
          <w:rFonts w:ascii="Calibri" w:hAnsi="Calibri" w:eastAsia="微软雅黑" w:cs="Calibri"/>
          <w:color w:val="333A40"/>
          <w:sz w:val="22"/>
        </w:rPr>
        <w:t>将字段的“定位方式”改为“前后标记”，按页面 HTML 原文填写内容前、后标记，再用测试采集核验。原文匹配区分大小写，空格和缩进需一致。</w:t>
      </w:r>
    </w:p>
    <w:p>
      <w:pPr>
        <w:spacing w:after="100"/>
      </w:pPr>
      <w:r>
        <w:rPr>
          <w:b/>
          <w:color w:val="1F4D78"/>
          <w:sz w:val="23"/>
        </w:rPr>
        <w:t>升级后为什么没有默认分组</w:t>
      </w:r>
      <w:r>
        <w:rPr>
          <w:b w:val="0"/>
          <w:color w:val="333A40"/>
          <w:sz w:val="22"/>
        </w:rPr>
        <w:br/>
        <w:t>这是正常行为。原任务仍直接显示在“任务管理”下；按需新建分组，再单个移动或使用“批量整理”。可以始终不创建分组。</w:t>
      </w:r>
    </w:p>
    <w:p>
      <w:pPr>
        <w:spacing w:after="100"/>
      </w:pPr>
      <w:r>
        <w:rPr>
          <w:b/>
          <w:color w:val="1F4D78"/>
          <w:sz w:val="23"/>
        </w:rPr>
        <w:t>运行 复制 删除按钮在哪里</w:t>
      </w:r>
      <w:r>
        <w:rPr>
          <w:b w:val="0"/>
          <w:color w:val="333A40"/>
          <w:sz w:val="22"/>
        </w:rPr>
        <w:br/>
        <w:t>打开任务行的省略号菜单，依次可见“移动到分组”“运行任务”“复制任务”“删除任务”；暂停任务显示“继续任务”。配置区顶部仍有“运行任务”。</w:t>
      </w:r>
    </w:p>
    <w:p w14:paraId="14E56D5E">
      <w:pPr>
        <w:pStyle w:val="3"/>
        <w:pageBreakBefore w:val="0"/>
      </w:pPr>
      <w:r>
        <w:rPr>
          <w:color w:val="000000"/>
        </w:rPr>
        <w:t>12 当前限制与运行前检查</w:t>
      </w:r>
    </w:p>
    <w:p w14:paraId="05590EBF">
      <w:pPr>
        <w:spacing w:line="320" w:lineRule="exact" w:after="40"/>
        <w:snapToGrid w:val="0"/>
      </w:pPr>
      <w:r>
        <w:t>当前开发版支持单层任务分组、用户配置网页采集及 Cookie 登录复用。以下能力暂不提供：</w:t>
      </w:r>
    </w:p>
    <w:p w14:paraId="0014C50D">
      <w:pPr>
        <w:pStyle w:val="166"/>
        <w:spacing w:line="320" w:lineRule="exact" w:after="40"/>
        <w:snapToGrid w:val="0"/>
      </w:pPr>
      <w:r>
        <w:t>人工验证窗口、自动解验证码、POST 采集、代理和自动切换采集方式。已支持同配置 Cookie 复用，但其他浏览器存储仅在本次启动内保留；不读取其他浏览器的个人账户数据。</w:t>
      </w:r>
    </w:p>
    <w:p w14:paraId="362733E9">
      <w:pPr>
        <w:pStyle w:val="166"/>
        <w:spacing w:line="320" w:lineRule="exact" w:after="40"/>
        <w:snapToGrid w:val="0"/>
      </w:pPr>
      <w:r>
        <w:t>直接把接口地址作为数据源、原始 JSON 字段映射、JSONPath 或通用 API 请求配置。</w:t>
      </w:r>
    </w:p>
    <w:p w14:paraId="502394BF">
      <w:pPr>
        <w:pStyle w:val="166"/>
        <w:spacing w:line="320" w:lineRule="exact" w:after="40"/>
        <w:snapToGrid w:val="0"/>
      </w:pPr>
      <w:r>
        <w:t>多条 {page} 模板、多个分页变量、游标分页；动态模式仅支持一个初始 URL 和一个下一页按钮。</w:t>
      </w:r>
    </w:p>
    <w:p w14:paraId="5BC24BF5">
      <w:pPr>
        <w:pStyle w:val="166"/>
        <w:spacing w:line="320" w:lineRule="exact" w:after="40"/>
        <w:snapToGrid w:val="0"/>
      </w:pPr>
      <w:r>
        <w:t>正则、用户脚本、自定义日期格式化、动态重复 XML 子结构。</w:t>
      </w:r>
    </w:p>
    <w:p w14:paraId="3CC35442">
      <w:pPr>
        <w:pStyle w:val="166"/>
        <w:spacing w:line="320" w:lineRule="exact" w:after="40"/>
        <w:snapToGrid w:val="0"/>
      </w:pPr>
      <w:r>
        <w:t>定时任务、托盘后台，以及关闭应用后长期保留运行中心日志。</w:t>
      </w:r>
    </w:p>
    <w:p w14:paraId="2B0EF6DB">
      <w:pPr>
        <w:pStyle w:val="166"/>
        <w:spacing w:line="320" w:lineRule="exact" w:after="40"/>
        <w:snapToGrid w:val="0"/>
      </w:pPr>
      <w:r>
        <w:t>XSD/业务 DTD 校验，以及任务配置包加密、压缩、云同步或按 ID 覆盖导入。</w:t>
      </w:r>
    </w:p>
    <w:p>
      <w:pPr>
        <w:pStyle w:val="166"/>
      </w:pPr>
      <w:r>
        <w:t>嵌套分组、拖拽排序、按网站自动分组、继承分组配置或整组运行。</w:t>
      </w:r>
    </w:p>
    <w:p w14:paraId="19C70B5D">
      <w:pPr>
        <w:pStyle w:val="4"/>
        <w:pageBreakBefore w:val="0"/>
        <w:spacing w:line="320" w:lineRule="exact" w:after="40"/>
        <w:snapToGrid w:val="0"/>
      </w:pPr>
      <w:r>
        <w:rPr>
          <w:color w:val="000000"/>
        </w:rPr>
        <w:t>运行前检查</w:t>
      </w:r>
    </w:p>
    <w:p w14:paraId="0B447037">
      <w:pPr>
        <w:pStyle w:val="167"/>
        <w:numPr>
          <w:ilvl w:val="0"/>
          <w:numId w:val="16"/>
        </w:numPr>
        <w:spacing w:line="320" w:lineRule="exact" w:after="40"/>
        <w:snapToGrid w:val="0"/>
      </w:pPr>
      <w:r>
        <w:t>列表 URL 可访问；需要登录时已绑定正确的访问配置。静态或动态模式选择正确，列表项容器匹配数量正确。</w:t>
      </w:r>
    </w:p>
    <w:p w14:paraId="2C01E0E8">
      <w:pPr>
        <w:pStyle w:val="167"/>
        <w:numPr>
          <w:ilvl w:val="0"/>
          <w:numId w:val="16"/>
        </w:numPr>
        <w:spacing w:line="320" w:lineRule="exact" w:after="40"/>
        <w:snapToGrid w:val="0"/>
      </w:pPr>
      <w:r>
        <w:t>静态模式最多一条 {page} 模板；动态模式只有一个初始 URL 和下一页按钮；两种模式都已设置最大采集页数。</w:t>
      </w:r>
    </w:p>
    <w:p w14:paraId="5781AD55">
      <w:pPr>
        <w:pStyle w:val="167"/>
        <w:numPr>
          <w:ilvl w:val="0"/>
          <w:numId w:val="16"/>
        </w:numPr>
        <w:spacing w:line="320" w:lineRule="exact" w:after="40"/>
        <w:snapToGrid w:val="0"/>
      </w:pPr>
      <w:r>
        <w:t>详情链接和 hostname 规则符合预期，外链字段已按模板映射；包含附件直链时已确认“识别并下载附件链接”、回填字段及第 5 步的下载目录和访问前缀。</w:t>
      </w:r>
    </w:p>
    <w:p w14:paraId="3BC85D4D">
      <w:pPr>
        <w:pStyle w:val="167"/>
        <w:numPr>
          <w:ilvl w:val="0"/>
          <w:numId w:val="16"/>
        </w:numPr>
        <w:spacing w:line="320" w:lineRule="exact" w:after="40"/>
        <w:snapToGrid w:val="0"/>
      </w:pPr>
      <w:r>
        <w:t>XML 记录节点、属性、CDATA，或表格第一个工作表的表头，以及每个字段处理方式已确认；无需采集的字段已明确设为输出为空。</w:t>
      </w:r>
    </w:p>
    <w:p w14:paraId="54DB66EF">
      <w:pPr>
        <w:pStyle w:val="167"/>
        <w:numPr>
          <w:ilvl w:val="0"/>
          <w:numId w:val="16"/>
        </w:numPr>
        <w:spacing w:line="320" w:lineRule="exact" w:after="40"/>
        <w:snapToGrid w:val="0"/>
      </w:pPr>
      <w:r>
        <w:t>正文使用 HTML 内容，确认 PDF 预览、视频、音频和附件链接的输出结构及资源地址正确；脚本资源应选中完整正文容器。如需下载，资源计划中的原地址、类型和目标目录应符合预期。</w:t>
      </w:r>
    </w:p>
    <w:p w14:paraId="0E12F98E">
      <w:pPr>
        <w:pStyle w:val="167"/>
        <w:numPr>
          <w:ilvl w:val="0"/>
          <w:numId w:val="16"/>
        </w:numPr>
        <w:spacing w:line="320" w:lineRule="exact" w:after="40"/>
        <w:snapToGrid w:val="0"/>
      </w:pPr>
      <w:r>
        <w:t>当前输出格式、资源地址模式或下载目录/前缀、输出目录、每文件条数和覆盖开关已确认。</w:t>
      </w:r>
    </w:p>
    <w:p w14:paraId="4E6405B4">
      <w:pPr>
        <w:pStyle w:val="167"/>
        <w:numPr>
          <w:ilvl w:val="0"/>
          <w:numId w:val="16"/>
        </w:numPr>
        <w:spacing w:line="320" w:lineRule="exact" w:after="40"/>
        <w:snapToGrid w:val="0"/>
      </w:pPr>
      <w:r>
        <w:t>测试前 3 条记录、字段匹配、资源计划和当前格式预览通过；必要时先导出测试文件，用目标系统核验后再开始正式运行。</w:t>
      </w:r>
    </w:p>
    <w:p w14:paraId="6BBBC4A6">
      <w:pPr>
        <w:keepLines/>
        <w:pBdr>
          <w:left w:val="single" w:color="7A5A00" w:sz="20" w:space="8"/>
        </w:pBdr>
        <w:shd w:val="clear" w:fill="FFF8E8"/>
        <w:spacing w:before="120" w:after="40" w:line="320" w:lineRule="exact"/>
        <w:ind w:left="173" w:right="115"/>
        <w:snapToGrid w:val="0"/>
      </w:pPr>
      <w:r>
        <w:rPr>
          <w:rFonts w:ascii="Calibri" w:hAnsi="Calibri" w:eastAsia="微软雅黑" w:cs="Calibri"/>
          <w:b/>
          <w:color w:val="7A5A00"/>
          <w:sz w:val="21"/>
        </w:rPr>
        <w:t xml:space="preserve">使用提醒  </w:t>
      </w:r>
      <w:r>
        <w:rPr>
          <w:rFonts w:ascii="Calibri" w:hAnsi="Calibri" w:eastAsia="微软雅黑" w:cs="Calibri"/>
          <w:color w:val="333A40"/>
          <w:sz w:val="21"/>
        </w:rPr>
        <w:t>请仅采集有权访问和使用的公开信息，并遵守目标网站的使用规则。</w:t>
      </w:r>
    </w:p>
    <w:sectPr>
      <w:footerReference r:id="rId7" w:type="first"/>
      <w:headerReference r:id="rId5" w:type="default"/>
      <w:footerReference r:id="rId6" w:type="default"/>
      <w:footerReference w:type="even" r:id="rId25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1C464">
    <w:pPr>
      <w:pStyle w:val="24"/>
      <w:spacing w:before="0"/>
      <w:jc w:val="right"/>
    </w:pPr>
    <w:r>
      <w:rPr>
        <w:rFonts w:ascii="Calibri" w:hAnsi="Calibri" w:eastAsia="微软雅黑" w:cs="Calibri"/>
        <w:color w:val="68767A"/>
        <w:sz w:val="18"/>
      </w:rPr>
      <w:t xml:space="preserve">TapCollect 开发版  ·  第 </w:t>
    </w:r>
    <w:r>
      <w:rPr>
        <w:rFonts w:ascii="Calibri" w:hAnsi="Calibri" w:eastAsia="微软雅黑" w:cs="Calibri"/>
        <w:color w:val="68767A"/>
        <w:sz w:val="18"/>
      </w:rPr>
      <w:fldChar w:fldCharType="begin"/>
    </w:r>
    <w:r>
      <w:rPr>
        <w:rFonts w:ascii="Calibri" w:hAnsi="Calibri" w:eastAsia="微软雅黑" w:cs="Calibri"/>
        <w:color w:val="68767A"/>
        <w:sz w:val="18"/>
      </w:rPr>
      <w:instrText xml:space="preserve"> PAGE </w:instrText>
    </w:r>
    <w:r>
      <w:rPr>
        <w:rFonts w:ascii="Calibri" w:hAnsi="Calibri" w:eastAsia="微软雅黑" w:cs="Calibri"/>
        <w:color w:val="68767A"/>
        <w:sz w:val="18"/>
      </w:rPr>
      <w:fldChar w:fldCharType="separate"/>
    </w:r>
    <w:r>
      <w:rPr>
        <w:rFonts w:ascii="Calibri" w:hAnsi="Calibri" w:eastAsia="微软雅黑" w:cs="Calibri"/>
        <w:color w:val="68767A"/>
        <w:sz w:val="18"/>
      </w:rPr>
      <w:t>1</w:t>
    </w:r>
    <w:r>
      <w:rPr>
        <w:rFonts w:ascii="Calibri" w:hAnsi="Calibri" w:eastAsia="微软雅黑" w:cs="Calibri"/>
        <w:color w:val="68767A"/>
        <w:sz w:val="18"/>
      </w:rPr>
      <w:fldChar w:fldCharType="end"/>
    </w:r>
    <w:r>
      <w:rPr>
        <w:rFonts w:ascii="Calibri" w:hAnsi="Calibri" w:eastAsia="微软雅黑" w:cs="Calibri"/>
        <w:color w:val="68767A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284E7">
    <w:pPr>
      <w:pStyle w:val="24"/>
      <w:jc w:val="center"/>
    </w:pPr>
    <w:r>
      <w:rPr>
        <w:rFonts w:ascii="Calibri" w:hAnsi="Calibri" w:eastAsia="微软雅黑" w:cs="Calibri"/>
        <w:color w:val="68767A"/>
        <w:sz w:val="18"/>
      </w:rPr>
      <w:t>TapCollect 开发版  |  2026 年 9 月 10 日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97BC4">
    <w:pPr>
      <w:pStyle w:val="25"/>
      <w:spacing w:after="0"/>
      <w:jc w:val="right"/>
    </w:pPr>
    <w:r>
      <w:rPr>
        <w:rFonts w:ascii="Calibri" w:hAnsi="Calibri" w:eastAsia="微软雅黑" w:cs="Calibri"/>
        <w:color w:val="68767A"/>
        <w:sz w:val="18"/>
      </w:rPr>
      <w:t>TapCollect  |  网页信息采集工具使用说明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3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bullet"/>
      <w:pStyle w:val="166"/>
      <w:lvlText w:val="•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5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0"/>
  </w:num>
  <w:num w:numId="8">
    <w:abstractNumId w:val="3"/>
  </w:num>
  <w:num w:numId="9">
    <w:abstractNumId w:val="14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8A67AE"/>
    <w:rsid w:val="7943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微软雅黑" w:cs="Calibri"/>
      <w:color w:val="333A4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60" w:after="160" w:line="240" w:lineRule="auto"/>
      <w:jc w:val="center"/>
    </w:pPr>
    <w:rPr>
      <w:rFonts w:ascii="Calibri" w:hAnsi="Calibri" w:eastAsia="微软雅黑" w:cs="Calibri"/>
      <w:b/>
      <w:bCs/>
      <w:color w:val="68767A"/>
      <w:sz w:val="19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  <w:u w:val="none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C Code"/>
    <w:qFormat/>
    <w:uiPriority w:val="0"/>
    <w:pPr>
      <w:keepLines/>
      <w:spacing w:before="80" w:after="160" w:line="252" w:lineRule="auto"/>
      <w:ind w:left="230" w:right="230"/>
    </w:pPr>
    <w:rPr>
      <w:rFonts w:ascii="Consolas" w:hAnsi="Consolas" w:eastAsia="微软雅黑" w:cs="Consolas"/>
      <w:color w:val="203748"/>
      <w:sz w:val="19"/>
      <w:szCs w:val="22"/>
      <w:lang w:val="en-US" w:eastAsia="en-US" w:bidi="ar-SA"/>
    </w:rPr>
  </w:style>
  <w:style w:type="paragraph" w:customStyle="1" w:styleId="165">
    <w:name w:val="TC Small"/>
    <w:qFormat/>
    <w:uiPriority w:val="0"/>
    <w:pPr>
      <w:spacing w:after="80" w:line="276" w:lineRule="auto"/>
    </w:pPr>
    <w:rPr>
      <w:rFonts w:ascii="Calibri" w:hAnsi="Calibri" w:eastAsia="微软雅黑" w:cs="Calibri"/>
      <w:color w:val="68767A"/>
      <w:sz w:val="19"/>
      <w:szCs w:val="22"/>
      <w:lang w:val="en-US" w:eastAsia="en-US" w:bidi="ar-SA"/>
    </w:rPr>
  </w:style>
  <w:style w:type="paragraph" w:customStyle="1" w:styleId="166">
    <w:name w:val="TC Bullet"/>
    <w:basedOn w:val="1"/>
    <w:qFormat/>
    <w:uiPriority w:val="0"/>
    <w:pPr>
      <w:numPr>
        <w:ilvl w:val="0"/>
        <w:numId w:val="7"/>
      </w:numPr>
      <w:spacing w:before="0" w:after="80" w:line="300" w:lineRule="auto"/>
    </w:pPr>
    <w:rPr>
      <w:rFonts w:ascii="Calibri" w:hAnsi="Calibri" w:eastAsia="微软雅黑" w:cs="Calibri"/>
      <w:color w:val="333A40"/>
      <w:sz w:val="22"/>
    </w:rPr>
  </w:style>
  <w:style w:type="paragraph" w:customStyle="1" w:styleId="167">
    <w:name w:val="TC Number"/>
    <w:basedOn w:val="1"/>
    <w:qFormat/>
    <w:uiPriority w:val="0"/>
    <w:pPr>
      <w:spacing w:before="0" w:after="80" w:line="300" w:lineRule="auto"/>
    </w:pPr>
    <w:rPr>
      <w:rFonts w:ascii="Calibri" w:hAnsi="Calibri" w:eastAsia="微软雅黑" w:cs="Calibri"/>
      <w:color w:val="333A40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1514</Words>
  <Characters>1881</Characters>
  <Lines>0</Lines>
  <Paragraphs>0</Paragraphs>
  <TotalTime>1</TotalTime>
  <ScaleCrop>false</ScaleCrop>
  <LinksUpToDate>false</LinksUpToDate>
  <CharactersWithSpaces>1996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风雨阳光</dc:creator>
  <dc:description>依据 TapCollect v0.5.1 当前功能同步更新</dc:description>
  <cp:keywords>TapCollect, 网页采集, XML, 使用说明</cp:keywords>
  <cp:lastModifiedBy>风雨阳光</cp:lastModifiedBy>
  <dcterms:modified xsi:type="dcterms:W3CDTF">2026-09-07T00:00:00Z</dcterms:modified>
  <dc:subject>公开网页采集与 XML / XLSX / XLS 模板输出</dc:subject>
  <dc:title>TapCollect v0.5.1 使用说明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eyJoZGlkIjoiMjA2ZDhjYmVlZTQzZjQ4ZjIxNzNjNTZiODJhNGE3MWIiLCJ1c2VySWQiOiIyNTE2NTA1NTYifQ==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21CB4F90DF6B4891ABB19FEFB2A8F012_12</vt:lpwstr>
  </property>
</Properties>
</file>