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v0.5.2  |  文档更新 2026 年 9 月 8 日</w:t>
      </w:r>
    </w:p>
    <w:p>
      <w:pPr>
        <w:pStyle w:val="4"/>
      </w:pPr>
      <w:r>
        <w:t>v0.5.2 更新说明</w:t>
      </w:r>
    </w:p>
    <w:p>
      <w:pPr>
        <w:pStyle w:val="166"/>
      </w:pPr>
      <w:r>
        <w:t>支持列表详情附件直链下载和字段回填，复用第 5 步的资源目录与访问前缀，普通文章仍按原映射采集。</w:t>
      </w:r>
    </w:p>
    <w:p>
      <w:pPr>
        <w:pStyle w:val="166"/>
      </w:pPr>
      <w:r>
        <w:t>新增全局“资源下载重试次数”，默认 3 次、最多可设为 5 次，表示首次请求后的额外重试。</w:t>
      </w:r>
    </w:p>
    <w:p>
      <w:pPr>
        <w:pStyle w:val="166"/>
      </w:pPr>
      <w:r>
        <w:t>400、404、410 及可识别的错误提示网页直接跳过，HTTP 200 或 Word 类型的错误页也不会保存为附件。普通资源失败不再阻断文章输出，限流和访问验证仍保留保护。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363228"/>
            <wp:effectExtent l="0" t="0" r="7620" b="8255"/>
            <wp:docPr id="14" name="Picture 14" descr="详情链接、附件识别开关和附件链接回填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链接、附件识别开关和附件链接回填字段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3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详情页开关、详情链接与附件回填配置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TapCollect v0.5.2 支持用户配置网页采集及 Cookie 登录复用。以下能力暂不提供：</w:t>
      </w:r>
    </w:p>
    <w:p w14:paraId="0014C50D">
      <w:pPr>
        <w:pStyle w:val="166"/>
        <w:spacing w:line="320" w:lineRule="exact" w:after="4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详情链接和 hostname 规则符合预期，外链字段已按模板映射；包含附件直链时已确认“识别并下载附件链接”、回填字段及第 5 步的下载目录和访问前缀。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v0.5.2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v0.5.2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