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v0.5.0  |  文档更新 2026 年 9 月 8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读取文本、innerHTML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keepNext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替换规则：先把已识别资源属性中的相对地址转为绝对地址，再按顺序执行字面替换。普通链接、表单地址和其他非资源属性保持原值，不会被误改写。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 script、noscript、注释、事件属性、危险脚本协议和 DocView 预览，并可补充 data-src、data-file、data-url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XML 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80"/>
        <w:snapToGrid w:val="0"/>
      </w:pPr>
      <w:r>
        <w:t>TapCollect v0.5.0 支持用户配置网页采集及 Cookie 登录复用。以下能力暂不提供：</w:t>
      </w:r>
    </w:p>
    <w:p w14:paraId="0014C50D">
      <w:pPr>
        <w:pStyle w:val="166"/>
        <w:spacing w:line="320" w:lineRule="exact" w:after="8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8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8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8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8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8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8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8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v0.5.0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v0.5.0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v0.5.0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v0.5.0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