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Castodia Deployment &amp; Operations Guide</w:t>
      </w:r>
    </w:p>
    <w:p>
      <w:pPr>
        <w:pStyle w:val="Subtitle"/>
      </w:pPr>
      <w:r>
        <w:t>Environment, deployment and operational controls for the current Vercel/Supabase stack.</w:t>
      </w:r>
    </w:p>
    <w:p>
      <w:r>
        <w:t>Castodia | Technical documentation | August 2026</w:t>
      </w:r>
    </w:p>
    <w:p>
      <w:pPr>
        <w:pStyle w:val="Heading1"/>
      </w:pPr>
      <w:r>
        <w:t>1. Production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F766E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5083"/>
            <w:shd w:fill="0F766E"/>
          </w:tcPr>
          <w:p>
            <w:r>
              <w:rPr>
                <w:b/>
                <w:color w:val="FFFFFF"/>
              </w:rPr>
              <w:t>Current role</w:t>
            </w:r>
          </w:p>
        </w:tc>
      </w:tr>
      <w:tr>
        <w:tc>
          <w:tcPr>
            <w:tcW w:type="dxa" w:w="5083"/>
            <w:vAlign w:val="top"/>
          </w:tcPr>
          <w:p>
            <w:r>
              <w:t>Vercel</w:t>
            </w:r>
          </w:p>
        </w:tc>
        <w:tc>
          <w:tcPr>
            <w:tcW w:type="dxa" w:w="5083"/>
            <w:vAlign w:val="top"/>
          </w:tcPr>
          <w:p>
            <w:r>
              <w:t>Next.js application hosting and build/deployment environment.</w:t>
            </w:r>
          </w:p>
        </w:tc>
      </w:tr>
      <w:tr>
        <w:tc>
          <w:tcPr>
            <w:tcW w:type="dxa" w:w="5083"/>
            <w:vAlign w:val="top"/>
          </w:tcPr>
          <w:p>
            <w:r>
              <w:t>Supabase Auth</w:t>
            </w:r>
          </w:p>
        </w:tc>
        <w:tc>
          <w:tcPr>
            <w:tcW w:type="dxa" w:w="5083"/>
            <w:vAlign w:val="top"/>
          </w:tcPr>
          <w:p>
            <w:r>
              <w:t>Identity/session management.</w:t>
            </w:r>
          </w:p>
        </w:tc>
      </w:tr>
      <w:tr>
        <w:tc>
          <w:tcPr>
            <w:tcW w:type="dxa" w:w="5083"/>
            <w:vAlign w:val="top"/>
          </w:tcPr>
          <w:p>
            <w:r>
              <w:t>Supabase PostgreSQL</w:t>
            </w:r>
          </w:p>
        </w:tc>
        <w:tc>
          <w:tcPr>
            <w:tcW w:type="dxa" w:w="5083"/>
            <w:vAlign w:val="top"/>
          </w:tcPr>
          <w:p>
            <w:r>
              <w:t>Application data and RLS enforcement.</w:t>
            </w:r>
          </w:p>
        </w:tc>
      </w:tr>
      <w:tr>
        <w:tc>
          <w:tcPr>
            <w:tcW w:type="dxa" w:w="5083"/>
            <w:vAlign w:val="top"/>
          </w:tcPr>
          <w:p>
            <w:r>
              <w:t>Supabase Storage</w:t>
            </w:r>
          </w:p>
        </w:tc>
        <w:tc>
          <w:tcPr>
            <w:tcW w:type="dxa" w:w="5083"/>
            <w:vAlign w:val="top"/>
          </w:tcPr>
          <w:p>
            <w:r>
              <w:t>Application object/photo storage.</w:t>
            </w:r>
          </w:p>
        </w:tc>
      </w:tr>
    </w:tbl>
    <w:p>
      <w:pPr>
        <w:pStyle w:val="Heading1"/>
      </w:pPr>
      <w:r>
        <w:t>2. Build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F766E"/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083"/>
            <w:shd w:fill="0F766E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5083"/>
            <w:vAlign w:val="top"/>
          </w:tcPr>
          <w:p>
            <w:r>
              <w:t>npm run dev</w:t>
            </w:r>
          </w:p>
        </w:tc>
        <w:tc>
          <w:tcPr>
            <w:tcW w:type="dxa" w:w="5083"/>
            <w:vAlign w:val="top"/>
          </w:tcPr>
          <w:p>
            <w:r>
              <w:t>Local development server.</w:t>
            </w:r>
          </w:p>
        </w:tc>
      </w:tr>
      <w:tr>
        <w:tc>
          <w:tcPr>
            <w:tcW w:type="dxa" w:w="5083"/>
            <w:vAlign w:val="top"/>
          </w:tcPr>
          <w:p>
            <w:r>
              <w:t>npm run lint</w:t>
            </w:r>
          </w:p>
        </w:tc>
        <w:tc>
          <w:tcPr>
            <w:tcW w:type="dxa" w:w="5083"/>
            <w:vAlign w:val="top"/>
          </w:tcPr>
          <w:p>
            <w:r>
              <w:t>ESLint static checks.</w:t>
            </w:r>
          </w:p>
        </w:tc>
      </w:tr>
      <w:tr>
        <w:tc>
          <w:tcPr>
            <w:tcW w:type="dxa" w:w="5083"/>
            <w:vAlign w:val="top"/>
          </w:tcPr>
          <w:p>
            <w:r>
              <w:t>npm run build</w:t>
            </w:r>
          </w:p>
        </w:tc>
        <w:tc>
          <w:tcPr>
            <w:tcW w:type="dxa" w:w="5083"/>
            <w:vAlign w:val="top"/>
          </w:tcPr>
          <w:p>
            <w:r>
              <w:t>Production Next.js build.</w:t>
            </w:r>
          </w:p>
        </w:tc>
      </w:tr>
      <w:tr>
        <w:tc>
          <w:tcPr>
            <w:tcW w:type="dxa" w:w="5083"/>
            <w:vAlign w:val="top"/>
          </w:tcPr>
          <w:p>
            <w:r>
              <w:t>npm run start</w:t>
            </w:r>
          </w:p>
        </w:tc>
        <w:tc>
          <w:tcPr>
            <w:tcW w:type="dxa" w:w="5083"/>
            <w:vAlign w:val="top"/>
          </w:tcPr>
          <w:p>
            <w:r>
              <w:t>Run built application.</w:t>
            </w:r>
          </w:p>
        </w:tc>
      </w:tr>
    </w:tbl>
    <w:p>
      <w:pPr>
        <w:pStyle w:val="Heading1"/>
      </w:pPr>
      <w:r>
        <w:t>3. Environment separation</w:t>
      </w:r>
    </w:p>
    <w:p>
      <w:r>
        <w:t>Production and Preview are separate Vercel environments, but the reviewed configuration currently makes the same Supabase service-role variable available to Production and Preview. Before broader team/investor access, create a staging Supabase project or otherwise ensure preview deployments cannot exercise production service-role authority.</w:t>
      </w:r>
    </w:p>
    <w:p>
      <w:pPr>
        <w:pStyle w:val="Heading1"/>
      </w:pPr>
      <w:r>
        <w:t>4. Release checklist</w:t>
      </w:r>
    </w:p>
    <w:p>
      <w:pPr>
        <w:pStyle w:val="ListBullet"/>
      </w:pPr>
      <w:r>
        <w:t>Review changed authentication, RLS, Storage and privileged API code.</w:t>
      </w:r>
    </w:p>
    <w:p>
      <w:pPr>
        <w:pStyle w:val="ListBullet"/>
      </w:pPr>
      <w:r>
        <w:t>Run npm run lint.</w:t>
      </w:r>
    </w:p>
    <w:p>
      <w:pPr>
        <w:pStyle w:val="ListBullet"/>
      </w:pPr>
      <w:r>
        <w:t>Run npm run build.</w:t>
      </w:r>
    </w:p>
    <w:p>
      <w:pPr>
        <w:pStyle w:val="ListBullet"/>
      </w:pPr>
      <w:r>
        <w:t>Run security regression tests once introduced.</w:t>
      </w:r>
    </w:p>
    <w:p>
      <w:pPr>
        <w:pStyle w:val="ListBullet"/>
      </w:pPr>
      <w:r>
        <w:t>Confirm database migrations have been applied to the intended environment.</w:t>
      </w:r>
    </w:p>
    <w:p>
      <w:pPr>
        <w:pStyle w:val="ListBullet"/>
      </w:pPr>
      <w:r>
        <w:t>Confirm environment variables point to the intended Supabase project.</w:t>
      </w:r>
    </w:p>
    <w:p>
      <w:pPr>
        <w:pStyle w:val="ListBullet"/>
      </w:pPr>
      <w:r>
        <w:t>Perform a manager/support smoke test of affected workflows.</w:t>
      </w:r>
    </w:p>
    <w:p>
      <w:pPr>
        <w:pStyle w:val="ListBullet"/>
      </w:pPr>
      <w:r>
        <w:t>Check deployment logs for errors without exposing sensitive record data.</w:t>
      </w:r>
    </w:p>
    <w:p>
      <w:pPr>
        <w:pStyle w:val="Heading1"/>
      </w:pPr>
      <w:r>
        <w:t>5. Database change process</w:t>
      </w:r>
    </w:p>
    <w:p>
      <w:r>
        <w:t>Database changes should move toward migration-first operation. Each schema/RLS change should be captured in supabase/migrations, reviewed, applied to non-production first where available, then promoted to production. The current repository has Supabase CLI configuration, but the reviewed DD package did not yet provide a complete migration history.</w:t>
      </w:r>
    </w:p>
    <w:p>
      <w:pPr>
        <w:pStyle w:val="Heading1"/>
      </w:pPr>
      <w:r>
        <w:t>6. Incident / rollback considerations</w:t>
      </w:r>
    </w:p>
    <w:p>
      <w:pPr>
        <w:pStyle w:val="ListBullet"/>
      </w:pPr>
      <w:r>
        <w:t>Application rollback: redeploy a known-good Vercel deployment/commit.</w:t>
      </w:r>
    </w:p>
    <w:p>
      <w:pPr>
        <w:pStyle w:val="ListBullet"/>
      </w:pPr>
      <w:r>
        <w:t>Database rollback: prefer forward-fix migrations for production; keep explicit rollback SQL for high-risk RLS/schema changes where practical.</w:t>
      </w:r>
    </w:p>
    <w:p>
      <w:pPr>
        <w:pStyle w:val="ListBullet"/>
      </w:pPr>
      <w:r>
        <w:t>Credential exposure: rotate affected Supabase/Vercel secrets immediately and invalidate compromised access.</w:t>
      </w:r>
    </w:p>
    <w:p>
      <w:pPr>
        <w:pStyle w:val="ListBullet"/>
      </w:pPr>
      <w:r>
        <w:t>Tenant-isolation concern: disable the affected feature/route if necessary, preserve logs, test cross-tenant access, then remediate before re-enabling.</w:t>
      </w:r>
    </w:p>
    <w:p>
      <w:pPr>
        <w:pStyle w:val="Heading1"/>
      </w:pPr>
      <w:r>
        <w:t>7. Operational ownership</w:t>
      </w:r>
    </w:p>
    <w:p>
      <w:r>
        <w:t>As Castodia grows beyond a solo-founder engineering model, define named ownership for deployments, database migrations, security review, incident response and dependency updates. This reduces technical bus-factor and improves investor/customer assurance.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Castodia - Confidential technical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766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