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Castodia Developer &amp; Repository Guide</w:t>
      </w:r>
    </w:p>
    <w:p>
      <w:pPr>
        <w:pStyle w:val="Subtitle"/>
      </w:pPr>
      <w:r>
        <w:t>A concise onboarding guide for developers, technical reviewers and due-diligence teams.</w:t>
      </w:r>
    </w:p>
    <w:p>
      <w:r>
        <w:t>Castodia | Technical documentation | August 2026</w:t>
      </w:r>
    </w:p>
    <w:p>
      <w:pPr>
        <w:pStyle w:val="Heading1"/>
      </w:pPr>
      <w:r>
        <w:t>1. Product overview</w:t>
      </w:r>
    </w:p>
    <w:p>
      <w:r>
        <w:t>Castodia is a multi-role care-management SaaS application built with Next.js, React, TypeScript and Supabase. The supplied repository separates platform administration, organisation management, support-worker workflows and family-facing functionality.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5083"/>
            <w:vAlign w:val="top"/>
          </w:tcPr>
          <w:p>
            <w:r>
              <w:t>Web application</w:t>
            </w:r>
          </w:p>
        </w:tc>
        <w:tc>
          <w:tcPr>
            <w:tcW w:type="dxa" w:w="5083"/>
            <w:vAlign w:val="top"/>
          </w:tcPr>
          <w:p>
            <w:r>
              <w:t>Next.js 16.2.6, React 19.2.4, TypeScript 5</w:t>
            </w:r>
          </w:p>
        </w:tc>
      </w:tr>
      <w:tr>
        <w:tc>
          <w:tcPr>
            <w:tcW w:type="dxa" w:w="5083"/>
            <w:vAlign w:val="top"/>
          </w:tcPr>
          <w:p>
            <w:r>
              <w:t>Database / authentication / storage</w:t>
            </w:r>
          </w:p>
        </w:tc>
        <w:tc>
          <w:tcPr>
            <w:tcW w:type="dxa" w:w="5083"/>
            <w:vAlign w:val="top"/>
          </w:tcPr>
          <w:p>
            <w:r>
              <w:t>Supabase</w:t>
            </w:r>
          </w:p>
        </w:tc>
      </w:tr>
      <w:tr>
        <w:tc>
          <w:tcPr>
            <w:tcW w:type="dxa" w:w="5083"/>
            <w:vAlign w:val="top"/>
          </w:tcPr>
          <w:p>
            <w:r>
              <w:t>UI</w:t>
            </w:r>
          </w:p>
        </w:tc>
        <w:tc>
          <w:tcPr>
            <w:tcW w:type="dxa" w:w="5083"/>
            <w:vAlign w:val="top"/>
          </w:tcPr>
          <w:p>
            <w:r>
              <w:t>Tailwind CSS 4 with reusable Castodia components</w:t>
            </w:r>
          </w:p>
        </w:tc>
      </w:tr>
      <w:tr>
        <w:tc>
          <w:tcPr>
            <w:tcW w:type="dxa" w:w="5083"/>
            <w:vAlign w:val="top"/>
          </w:tcPr>
          <w:p>
            <w:r>
              <w:t>Charts</w:t>
            </w:r>
          </w:p>
        </w:tc>
        <w:tc>
          <w:tcPr>
            <w:tcW w:type="dxa" w:w="5083"/>
            <w:vAlign w:val="top"/>
          </w:tcPr>
          <w:p>
            <w:r>
              <w:t>Recharts</w:t>
            </w:r>
          </w:p>
        </w:tc>
      </w:tr>
      <w:tr>
        <w:tc>
          <w:tcPr>
            <w:tcW w:type="dxa" w:w="5083"/>
            <w:vAlign w:val="top"/>
          </w:tcPr>
          <w:p>
            <w:r>
              <w:t>Deployment</w:t>
            </w:r>
          </w:p>
        </w:tc>
        <w:tc>
          <w:tcPr>
            <w:tcW w:type="dxa" w:w="5083"/>
            <w:vAlign w:val="top"/>
          </w:tcPr>
          <w:p>
            <w:r>
              <w:t>Vercel (production deployment configuration managed in Vercel)</w:t>
            </w:r>
          </w:p>
        </w:tc>
      </w:tr>
    </w:tbl>
    <w:p>
      <w:pPr>
        <w:pStyle w:val="Heading1"/>
      </w:pPr>
      <w:r>
        <w:t>2. Repository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>
              <w:t>app/</w:t>
            </w:r>
          </w:p>
        </w:tc>
        <w:tc>
          <w:tcPr>
            <w:tcW w:type="dxa" w:w="5083"/>
            <w:vAlign w:val="top"/>
          </w:tcPr>
          <w:p>
            <w:r>
              <w:t>Next.js routes, layouts and server API routes.</w:t>
            </w:r>
          </w:p>
        </w:tc>
      </w:tr>
      <w:tr>
        <w:tc>
          <w:tcPr>
            <w:tcW w:type="dxa" w:w="5083"/>
            <w:vAlign w:val="top"/>
          </w:tcPr>
          <w:p>
            <w:r>
              <w:t>features/manager/</w:t>
            </w:r>
          </w:p>
        </w:tc>
        <w:tc>
          <w:tcPr>
            <w:tcW w:type="dxa" w:w="5083"/>
            <w:vAlign w:val="top"/>
          </w:tcPr>
          <w:p>
            <w:r>
              <w:t>Manager-facing domain modules including care plans, eMAR, safeguarding, staff and compliance.</w:t>
            </w:r>
          </w:p>
        </w:tc>
      </w:tr>
      <w:tr>
        <w:tc>
          <w:tcPr>
            <w:tcW w:type="dxa" w:w="5083"/>
            <w:vAlign w:val="top"/>
          </w:tcPr>
          <w:p>
            <w:r>
              <w:t>features/support/</w:t>
            </w:r>
          </w:p>
        </w:tc>
        <w:tc>
          <w:tcPr>
            <w:tcW w:type="dxa" w:w="5083"/>
            <w:vAlign w:val="top"/>
          </w:tcPr>
          <w:p>
            <w:r>
              <w:t>Support-worker workflows including handovers, timelines and service-user access.</w:t>
            </w:r>
          </w:p>
        </w:tc>
      </w:tr>
      <w:tr>
        <w:tc>
          <w:tcPr>
            <w:tcW w:type="dxa" w:w="5083"/>
            <w:vAlign w:val="top"/>
          </w:tcPr>
          <w:p>
            <w:r>
              <w:t>features/platform/</w:t>
            </w:r>
          </w:p>
        </w:tc>
        <w:tc>
          <w:tcPr>
            <w:tcW w:type="dxa" w:w="5083"/>
            <w:vAlign w:val="top"/>
          </w:tcPr>
          <w:p>
            <w:r>
              <w:t>Castodia platform administration.</w:t>
            </w:r>
          </w:p>
        </w:tc>
      </w:tr>
      <w:tr>
        <w:tc>
          <w:tcPr>
            <w:tcW w:type="dxa" w:w="5083"/>
            <w:vAlign w:val="top"/>
          </w:tcPr>
          <w:p>
            <w:r>
              <w:t>features/shared/</w:t>
            </w:r>
          </w:p>
        </w:tc>
        <w:tc>
          <w:tcPr>
            <w:tcW w:type="dxa" w:w="5083"/>
            <w:vAlign w:val="top"/>
          </w:tcPr>
          <w:p>
            <w:r>
              <w:t>Shared domain components and logic.</w:t>
            </w:r>
          </w:p>
        </w:tc>
      </w:tr>
      <w:tr>
        <w:tc>
          <w:tcPr>
            <w:tcW w:type="dxa" w:w="5083"/>
            <w:vAlign w:val="top"/>
          </w:tcPr>
          <w:p>
            <w:r>
              <w:t>components/</w:t>
            </w:r>
          </w:p>
        </w:tc>
        <w:tc>
          <w:tcPr>
            <w:tcW w:type="dxa" w:w="5083"/>
            <w:vAlign w:val="top"/>
          </w:tcPr>
          <w:p>
            <w:r>
              <w:t>Reusable application UI components.</w:t>
            </w:r>
          </w:p>
        </w:tc>
      </w:tr>
      <w:tr>
        <w:tc>
          <w:tcPr>
            <w:tcW w:type="dxa" w:w="5083"/>
            <w:vAlign w:val="top"/>
          </w:tcPr>
          <w:p>
            <w:r>
              <w:t>lib/supabase/</w:t>
            </w:r>
          </w:p>
        </w:tc>
        <w:tc>
          <w:tcPr>
            <w:tcW w:type="dxa" w:w="5083"/>
            <w:vAlign w:val="top"/>
          </w:tcPr>
          <w:p>
            <w:r>
              <w:t>Browser, server, privileged admin and request/session Supabase clients.</w:t>
            </w:r>
          </w:p>
        </w:tc>
      </w:tr>
      <w:tr>
        <w:tc>
          <w:tcPr>
            <w:tcW w:type="dxa" w:w="5083"/>
            <w:vAlign w:val="top"/>
          </w:tcPr>
          <w:p>
            <w:r>
              <w:t>supabase/</w:t>
            </w:r>
          </w:p>
        </w:tc>
        <w:tc>
          <w:tcPr>
            <w:tcW w:type="dxa" w:w="5083"/>
            <w:vAlign w:val="top"/>
          </w:tcPr>
          <w:p>
            <w:r>
              <w:t>Supabase local configuration; migrations should be committed here as the schema workflow matures.</w:t>
            </w:r>
          </w:p>
        </w:tc>
      </w:tr>
    </w:tbl>
    <w:p>
      <w:pPr>
        <w:pStyle w:val="Heading1"/>
      </w:pPr>
      <w:r>
        <w:t>3. Local development</w:t>
      </w:r>
    </w:p>
    <w:p>
      <w:r>
        <w:t>Prerequisites: a supported Node.js release, npm, and access to the appropriate Supabase project/environment.</w:t>
      </w:r>
    </w:p>
    <w:p>
      <w:r>
        <w:t>Install and run:</w:t>
      </w:r>
    </w:p>
    <w:p>
      <w:r>
        <w:rPr>
          <w:rFonts w:ascii="Consolas" w:hAnsi="Consolas"/>
          <w:b/>
        </w:rPr>
        <w:t>npm install</w:t>
      </w:r>
    </w:p>
    <w:p>
      <w:r>
        <w:rPr>
          <w:rFonts w:ascii="Consolas" w:hAnsi="Consolas"/>
          <w:b/>
        </w:rPr>
        <w:t>npm run dev</w:t>
      </w:r>
    </w:p>
    <w:p>
      <w:r>
        <w:rPr>
          <w:rFonts w:ascii="Consolas" w:hAnsi="Consolas"/>
          <w:b/>
        </w:rPr>
        <w:t>npm run lint</w:t>
      </w:r>
    </w:p>
    <w:p>
      <w:r>
        <w:rPr>
          <w:rFonts w:ascii="Consolas" w:hAnsi="Consolas"/>
          <w:b/>
        </w:rPr>
        <w:t>npm run build</w:t>
      </w:r>
    </w:p>
    <w:p>
      <w:r>
        <w:t>The repository currently has no automated test script. A security-focused regression suite is recommended before external technical due diligence.</w:t>
      </w:r>
    </w:p>
    <w:p>
      <w:pPr>
        <w:pStyle w:val="Heading1"/>
      </w:pPr>
      <w:r>
        <w:t>4. Environment variables</w:t>
      </w:r>
    </w:p>
    <w:p>
      <w:r>
        <w:t>Do not commit secret values. The repository .gitignore excludes .env* files. Use environment-specific secret management in Vercel and local .env.local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Exposure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89"/>
            <w:vAlign w:val="top"/>
          </w:tcPr>
          <w:p>
            <w:r>
              <w:t>NEXT_PUBLIC_SUPABASE_URL</w:t>
            </w:r>
          </w:p>
        </w:tc>
        <w:tc>
          <w:tcPr>
            <w:tcW w:type="dxa" w:w="3389"/>
            <w:vAlign w:val="top"/>
          </w:tcPr>
          <w:p>
            <w:r>
              <w:t>Browser-safe configuration</w:t>
            </w:r>
          </w:p>
        </w:tc>
        <w:tc>
          <w:tcPr>
            <w:tcW w:type="dxa" w:w="3389"/>
            <w:vAlign w:val="top"/>
          </w:tcPr>
          <w:p>
            <w:r>
              <w:t>Supabase project URL.</w:t>
            </w:r>
          </w:p>
        </w:tc>
      </w:tr>
      <w:tr>
        <w:tc>
          <w:tcPr>
            <w:tcW w:type="dxa" w:w="3389"/>
            <w:vAlign w:val="top"/>
          </w:tcPr>
          <w:p>
            <w:r>
              <w:t>NEXT_PUBLIC_SUPABASE_ANON_KEY</w:t>
            </w:r>
          </w:p>
        </w:tc>
        <w:tc>
          <w:tcPr>
            <w:tcW w:type="dxa" w:w="3389"/>
            <w:vAlign w:val="top"/>
          </w:tcPr>
          <w:p>
            <w:r>
              <w:t>Browser-safe credential</w:t>
            </w:r>
          </w:p>
        </w:tc>
        <w:tc>
          <w:tcPr>
            <w:tcW w:type="dxa" w:w="3389"/>
            <w:vAlign w:val="top"/>
          </w:tcPr>
          <w:p>
            <w:r>
              <w:t>Client access governed by Supabase RLS.</w:t>
            </w:r>
          </w:p>
        </w:tc>
      </w:tr>
      <w:tr>
        <w:tc>
          <w:tcPr>
            <w:tcW w:type="dxa" w:w="3389"/>
            <w:vAlign w:val="top"/>
          </w:tcPr>
          <w:p>
            <w:r>
              <w:t>SUPABASE_SERVICE_ROLE_KEY</w:t>
            </w:r>
          </w:p>
        </w:tc>
        <w:tc>
          <w:tcPr>
            <w:tcW w:type="dxa" w:w="3389"/>
            <w:vAlign w:val="top"/>
          </w:tcPr>
          <w:p>
            <w:r>
              <w:t>SERVER ONLY - secret</w:t>
            </w:r>
          </w:p>
        </w:tc>
        <w:tc>
          <w:tcPr>
            <w:tcW w:type="dxa" w:w="3389"/>
            <w:vAlign w:val="top"/>
          </w:tcPr>
          <w:p>
            <w:r>
              <w:t>Privileged operations that bypass RLS. Never expose to browser code.</w:t>
            </w:r>
          </w:p>
        </w:tc>
      </w:tr>
    </w:tbl>
    <w:p>
      <w:pPr>
        <w:pStyle w:val="Heading1"/>
      </w:pPr>
      <w:r>
        <w:t>5. Authentication and portal routing</w:t>
      </w:r>
    </w:p>
    <w:p>
      <w:r>
        <w:t>Request middleware refreshes/validates the Supabase user, reads the profile role and gates the /support, /manager and /platform route families. Known roles in the supplied code are support, manager, castodia_admin and castodia_owner.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Portal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Allowed roles</w:t>
            </w:r>
          </w:p>
        </w:tc>
      </w:tr>
      <w:tr>
        <w:tc>
          <w:tcPr>
            <w:tcW w:type="dxa" w:w="5083"/>
            <w:vAlign w:val="top"/>
          </w:tcPr>
          <w:p>
            <w:r>
              <w:t>/support/*</w:t>
            </w:r>
          </w:p>
        </w:tc>
        <w:tc>
          <w:tcPr>
            <w:tcW w:type="dxa" w:w="5083"/>
            <w:vAlign w:val="top"/>
          </w:tcPr>
          <w:p>
            <w:r>
              <w:t>support, manager</w:t>
            </w:r>
          </w:p>
        </w:tc>
      </w:tr>
      <w:tr>
        <w:tc>
          <w:tcPr>
            <w:tcW w:type="dxa" w:w="5083"/>
            <w:vAlign w:val="top"/>
          </w:tcPr>
          <w:p>
            <w:r>
              <w:t>/manager/*</w:t>
            </w:r>
          </w:p>
        </w:tc>
        <w:tc>
          <w:tcPr>
            <w:tcW w:type="dxa" w:w="5083"/>
            <w:vAlign w:val="top"/>
          </w:tcPr>
          <w:p>
            <w:r>
              <w:t>manager</w:t>
            </w:r>
          </w:p>
        </w:tc>
      </w:tr>
      <w:tr>
        <w:tc>
          <w:tcPr>
            <w:tcW w:type="dxa" w:w="5083"/>
            <w:vAlign w:val="top"/>
          </w:tcPr>
          <w:p>
            <w:r>
              <w:t>/platform/*</w:t>
            </w:r>
          </w:p>
        </w:tc>
        <w:tc>
          <w:tcPr>
            <w:tcW w:type="dxa" w:w="5083"/>
            <w:vAlign w:val="top"/>
          </w:tcPr>
          <w:p>
            <w:r>
              <w:t>castodia_admin, castodia_owner</w:t>
            </w:r>
          </w:p>
        </w:tc>
      </w:tr>
    </w:tbl>
    <w:p>
      <w:pPr>
        <w:pStyle w:val="Heading1"/>
      </w:pPr>
      <w:r>
        <w:t>6. Privileged operations</w:t>
      </w:r>
    </w:p>
    <w:p>
      <w:r>
        <w:t>Code using SUPABASE_SERVICE_ROLE_KEY must authenticate and authorise the caller before performing any operation. The create-staff endpoint has been hardened during the current review to derive caller identity from a verified Supabase access token and to restrict organisation-created roles to manager/support.</w:t>
      </w:r>
    </w:p>
    <w:p>
      <w:pPr>
        <w:pStyle w:val="Heading1"/>
      </w:pPr>
      <w:r>
        <w:t>7. Contribution checklist</w:t>
      </w:r>
    </w:p>
    <w:p>
      <w:pPr>
        <w:pStyle w:val="ListBullet"/>
      </w:pPr>
      <w:r>
        <w:t>Do not add service-role credentials to client components or NEXT_PUBLIC_* variables.</w:t>
      </w:r>
    </w:p>
    <w:p>
      <w:pPr>
        <w:pStyle w:val="ListBullet"/>
      </w:pPr>
      <w:r>
        <w:t>Preserve organisation isolation in every table, API route and Storage policy.</w:t>
      </w:r>
    </w:p>
    <w:p>
      <w:pPr>
        <w:pStyle w:val="ListBullet"/>
      </w:pPr>
      <w:r>
        <w:t>Add database changes as reviewed migrations rather than dashboard-only changes where practical.</w:t>
      </w:r>
    </w:p>
    <w:p>
      <w:pPr>
        <w:pStyle w:val="ListBullet"/>
      </w:pPr>
      <w:r>
        <w:t>Run lint and production build before merge/deployment.</w:t>
      </w:r>
    </w:p>
    <w:p>
      <w:pPr>
        <w:pStyle w:val="ListBullet"/>
      </w:pPr>
      <w:r>
        <w:t>Add or update security regression tests when changing authentication, roles, RLS or privileged APIs.</w:t>
      </w:r>
    </w:p>
    <w:p>
      <w:pPr>
        <w:pStyle w:val="ListBullet"/>
      </w:pPr>
      <w:r>
        <w:t>Avoid logging care, medication, safeguarding or employment records to browser/server logs.</w:t>
      </w:r>
    </w:p>
    <w:p>
      <w:pPr>
        <w:pStyle w:val="Heading1"/>
      </w:pPr>
      <w:r>
        <w:t>8. Current engineering priorities</w:t>
      </w:r>
    </w:p>
    <w:p>
      <w:pPr>
        <w:pStyle w:val="ListBullet"/>
      </w:pPr>
      <w:r>
        <w:t>Complete organisation-aware Storage policies for staff and service-user photos.</w:t>
      </w:r>
    </w:p>
    <w:p>
      <w:pPr>
        <w:pStyle w:val="ListBullet"/>
      </w:pPr>
      <w:r>
        <w:t>Add automated cross-tenant and privileged-API tests.</w:t>
      </w:r>
    </w:p>
    <w:p>
      <w:pPr>
        <w:pStyle w:val="ListBullet"/>
      </w:pPr>
      <w:r>
        <w:t>Capture the hardened RLS state as a migration/schema baseline.</w:t>
      </w:r>
    </w:p>
    <w:p>
      <w:pPr>
        <w:pStyle w:val="ListBullet"/>
      </w:pPr>
      <w:r>
        <w:t>Reduce oversized UI/domain components incrementally; no wholesale rewrite is indicated.</w:t>
      </w:r>
    </w:p>
    <w:p>
      <w:pPr>
        <w:pStyle w:val="ListBullet"/>
      </w:pPr>
      <w:r>
        <w:t>Replace debug logging with deliberate, privacy-aware production logging.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Castodia - Confidential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