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Castodia Security &amp; Tenant Isolation</w:t>
      </w:r>
    </w:p>
    <w:p>
      <w:pPr>
        <w:pStyle w:val="Subtitle"/>
      </w:pPr>
      <w:r>
        <w:t>Security model and due-diligence evidence for a multi-tenant care-management platform.</w:t>
      </w:r>
    </w:p>
    <w:p>
      <w:r>
        <w:t>Castodia | Technical documentation | August 2026</w:t>
      </w:r>
    </w:p>
    <w:p>
      <w:pPr>
        <w:pStyle w:val="Heading1"/>
      </w:pPr>
      <w:r>
        <w:t>1. Security objective</w:t>
      </w:r>
    </w:p>
    <w:p>
      <w:r>
        <w:t>Castodia must prevent users from reading or modifying data outside their authorised organisation and role, while keeping platform-level privileges and server secrets outside the browser.</w:t>
      </w:r>
    </w:p>
    <w:p>
      <w:pPr>
        <w:pStyle w:val="Heading1"/>
      </w:pPr>
      <w:r>
        <w:t>2. Defence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083"/>
            <w:shd w:fill="0F766E"/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5083"/>
            <w:vAlign w:val="top"/>
          </w:tcPr>
          <w:p>
            <w:r>
              <w:t>Authentication</w:t>
            </w:r>
          </w:p>
        </w:tc>
        <w:tc>
          <w:tcPr>
            <w:tcW w:type="dxa" w:w="5083"/>
            <w:vAlign w:val="top"/>
          </w:tcPr>
          <w:p>
            <w:r>
              <w:t>Supabase Auth verifies user identity and session.</w:t>
            </w:r>
          </w:p>
        </w:tc>
      </w:tr>
      <w:tr>
        <w:tc>
          <w:tcPr>
            <w:tcW w:type="dxa" w:w="5083"/>
            <w:vAlign w:val="top"/>
          </w:tcPr>
          <w:p>
            <w:r>
              <w:t>Portal authorisation</w:t>
            </w:r>
          </w:p>
        </w:tc>
        <w:tc>
          <w:tcPr>
            <w:tcW w:type="dxa" w:w="5083"/>
            <w:vAlign w:val="top"/>
          </w:tcPr>
          <w:p>
            <w:r>
              <w:t>Next.js request proxy gates support, manager and platform route families by profile role.</w:t>
            </w:r>
          </w:p>
        </w:tc>
      </w:tr>
      <w:tr>
        <w:tc>
          <w:tcPr>
            <w:tcW w:type="dxa" w:w="5083"/>
            <w:vAlign w:val="top"/>
          </w:tcPr>
          <w:p>
            <w:r>
              <w:t>Database</w:t>
            </w:r>
          </w:p>
        </w:tc>
        <w:tc>
          <w:tcPr>
            <w:tcW w:type="dxa" w:w="5083"/>
            <w:vAlign w:val="top"/>
          </w:tcPr>
          <w:p>
            <w:r>
              <w:t>PostgreSQL RLS is enabled across all 51 public tables in the reviewed export.</w:t>
            </w:r>
          </w:p>
        </w:tc>
      </w:tr>
      <w:tr>
        <w:tc>
          <w:tcPr>
            <w:tcW w:type="dxa" w:w="5083"/>
            <w:vAlign w:val="top"/>
          </w:tcPr>
          <w:p>
            <w:r>
              <w:t>API</w:t>
            </w:r>
          </w:p>
        </w:tc>
        <w:tc>
          <w:tcPr>
            <w:tcW w:type="dxa" w:w="5083"/>
            <w:vAlign w:val="top"/>
          </w:tcPr>
          <w:p>
            <w:r>
              <w:t>Privileged routes must verify bearer/session identity and authorise role before service-role operations.</w:t>
            </w:r>
          </w:p>
        </w:tc>
      </w:tr>
      <w:tr>
        <w:tc>
          <w:tcPr>
            <w:tcW w:type="dxa" w:w="5083"/>
            <w:vAlign w:val="top"/>
          </w:tcPr>
          <w:p>
            <w:r>
              <w:t>Secrets</w:t>
            </w:r>
          </w:p>
        </w:tc>
        <w:tc>
          <w:tcPr>
            <w:tcW w:type="dxa" w:w="5083"/>
            <w:vAlign w:val="top"/>
          </w:tcPr>
          <w:p>
            <w:r>
              <w:t>Service-role key is server-only and not prefixed NEXT_PUBLIC_*.</w:t>
            </w:r>
          </w:p>
        </w:tc>
      </w:tr>
      <w:tr>
        <w:tc>
          <w:tcPr>
            <w:tcW w:type="dxa" w:w="5083"/>
            <w:vAlign w:val="top"/>
          </w:tcPr>
          <w:p>
            <w:r>
              <w:t>Repository</w:t>
            </w:r>
          </w:p>
        </w:tc>
        <w:tc>
          <w:tcPr>
            <w:tcW w:type="dxa" w:w="5083"/>
            <w:vAlign w:val="top"/>
          </w:tcPr>
          <w:p>
            <w:r>
              <w:t>.env* is ignored; secret values should never be included in external DD packages.</w:t>
            </w:r>
          </w:p>
        </w:tc>
      </w:tr>
    </w:tbl>
    <w:p>
      <w:pPr>
        <w:pStyle w:val="Heading1"/>
      </w:pPr>
      <w:r>
        <w:t>3. RLS review status</w:t>
      </w:r>
    </w:p>
    <w:p>
      <w:r>
        <w:t>The initial review found legacy permissive policies that could undermine newer organisation-aware policies. A hardening migration was applied and a post-change policy export was reviewed. Key service-user, medication and handover policies are now organisation-scoped. The supplied row-security export reports rowsecurity=true for all 51 public tables.</w:t>
      </w:r>
    </w:p>
    <w:p>
      <w:pPr>
        <w:pStyle w:val="Heading1"/>
      </w:pPr>
      <w:r>
        <w:t>4. Privileged create-staff endpoint</w:t>
      </w:r>
    </w:p>
    <w:p>
      <w:r>
        <w:t>The initial endpoint trusted a caller-supplied creatorId while using the Supabase service role. This was a privilege-escalation risk. The route has been changed to require a bearer token, verify the user with Supabase Auth, read the verified profile, require role=manager, derive organisation_id from that profile, and restrict creatable roles to manager/support.</w:t>
      </w:r>
    </w:p>
    <w:p>
      <w:pPr>
        <w:pStyle w:val="Heading1"/>
      </w:pPr>
      <w:r>
        <w:t>5. Remaining security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Required outcome</w:t>
            </w:r>
          </w:p>
        </w:tc>
      </w:tr>
      <w:tr>
        <w:tc>
          <w:tcPr>
            <w:tcW w:type="dxa" w:w="3389"/>
            <w:vAlign w:val="top"/>
          </w:tcPr>
          <w:p>
            <w:r>
              <w:t>High</w:t>
            </w:r>
          </w:p>
        </w:tc>
        <w:tc>
          <w:tcPr>
            <w:tcW w:type="dxa" w:w="3389"/>
            <w:vAlign w:val="top"/>
          </w:tcPr>
          <w:p>
            <w:r>
              <w:t>Storage RLS</w:t>
            </w:r>
          </w:p>
        </w:tc>
        <w:tc>
          <w:tcPr>
            <w:tcW w:type="dxa" w:w="3389"/>
            <w:vAlign w:val="top"/>
          </w:tcPr>
          <w:p>
            <w:r>
              <w:t>Organisation-aware policies for staff-photos and service-user-photos; verify public/private bucket design.</w:t>
            </w:r>
          </w:p>
        </w:tc>
      </w:tr>
      <w:tr>
        <w:tc>
          <w:tcPr>
            <w:tcW w:type="dxa" w:w="3389"/>
            <w:vAlign w:val="top"/>
          </w:tcPr>
          <w:p>
            <w:r>
              <w:t>High</w:t>
            </w:r>
          </w:p>
        </w:tc>
        <w:tc>
          <w:tcPr>
            <w:tcW w:type="dxa" w:w="3389"/>
            <w:vAlign w:val="top"/>
          </w:tcPr>
          <w:p>
            <w:r>
              <w:t>Cross-tenant tests</w:t>
            </w:r>
          </w:p>
        </w:tc>
        <w:tc>
          <w:tcPr>
            <w:tcW w:type="dxa" w:w="3389"/>
            <w:vAlign w:val="top"/>
          </w:tcPr>
          <w:p>
            <w:r>
              <w:t>Prove Organisation A cannot read/write Organisation B data across critical domains.</w:t>
            </w:r>
          </w:p>
        </w:tc>
      </w:tr>
      <w:tr>
        <w:tc>
          <w:tcPr>
            <w:tcW w:type="dxa" w:w="3389"/>
            <w:vAlign w:val="top"/>
          </w:tcPr>
          <w:p>
            <w:r>
              <w:t>Medium</w:t>
            </w:r>
          </w:p>
        </w:tc>
        <w:tc>
          <w:tcPr>
            <w:tcW w:type="dxa" w:w="3389"/>
            <w:vAlign w:val="top"/>
          </w:tcPr>
          <w:p>
            <w:r>
              <w:t>Preview secrets</w:t>
            </w:r>
          </w:p>
        </w:tc>
        <w:tc>
          <w:tcPr>
            <w:tcW w:type="dxa" w:w="3389"/>
            <w:vAlign w:val="top"/>
          </w:tcPr>
          <w:p>
            <w:r>
              <w:t>Separate preview/staging Supabase credentials from production service-role credentials.</w:t>
            </w:r>
          </w:p>
        </w:tc>
      </w:tr>
      <w:tr>
        <w:tc>
          <w:tcPr>
            <w:tcW w:type="dxa" w:w="3389"/>
            <w:vAlign w:val="top"/>
          </w:tcPr>
          <w:p>
            <w:r>
              <w:t>Medium</w:t>
            </w:r>
          </w:p>
        </w:tc>
        <w:tc>
          <w:tcPr>
            <w:tcW w:type="dxa" w:w="3389"/>
            <w:vAlign w:val="top"/>
          </w:tcPr>
          <w:p>
            <w:r>
              <w:t>Logging</w:t>
            </w:r>
          </w:p>
        </w:tc>
        <w:tc>
          <w:tcPr>
            <w:tcW w:type="dxa" w:w="3389"/>
            <w:vAlign w:val="top"/>
          </w:tcPr>
          <w:p>
            <w:r>
              <w:t>Remove/debug-gate logs that may expose sensitive domain records.</w:t>
            </w:r>
          </w:p>
        </w:tc>
      </w:tr>
      <w:tr>
        <w:tc>
          <w:tcPr>
            <w:tcW w:type="dxa" w:w="3389"/>
            <w:vAlign w:val="top"/>
          </w:tcPr>
          <w:p>
            <w:r>
              <w:t>Medium</w:t>
            </w:r>
          </w:p>
        </w:tc>
        <w:tc>
          <w:tcPr>
            <w:tcW w:type="dxa" w:w="3389"/>
            <w:vAlign w:val="top"/>
          </w:tcPr>
          <w:p>
            <w:r>
              <w:t>Database migration baseline</w:t>
            </w:r>
          </w:p>
        </w:tc>
        <w:tc>
          <w:tcPr>
            <w:tcW w:type="dxa" w:w="3389"/>
            <w:vAlign w:val="top"/>
          </w:tcPr>
          <w:p>
            <w:r>
              <w:t>Commit reviewed RLS/schema changes so security state is reproducible.</w:t>
            </w:r>
          </w:p>
        </w:tc>
      </w:tr>
    </w:tbl>
    <w:p>
      <w:pPr>
        <w:pStyle w:val="Heading1"/>
      </w:pPr>
      <w:r>
        <w:t>6. Minimum security regression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Attempt</w:t>
            </w:r>
          </w:p>
        </w:tc>
        <w:tc>
          <w:tcPr>
            <w:tcW w:type="dxa" w:w="3389"/>
            <w:shd w:fill="0F766E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389"/>
            <w:vAlign w:val="top"/>
          </w:tcPr>
          <w:p>
            <w:r>
              <w:t>Unauthenticated</w:t>
            </w:r>
          </w:p>
        </w:tc>
        <w:tc>
          <w:tcPr>
            <w:tcW w:type="dxa" w:w="3389"/>
            <w:vAlign w:val="top"/>
          </w:tcPr>
          <w:p>
            <w:r>
              <w:t>Call privileged create-staff API</w:t>
            </w:r>
          </w:p>
        </w:tc>
        <w:tc>
          <w:tcPr>
            <w:tcW w:type="dxa" w:w="3389"/>
            <w:vAlign w:val="top"/>
          </w:tcPr>
          <w:p>
            <w:r>
              <w:t>401 / denied</w:t>
            </w:r>
          </w:p>
        </w:tc>
      </w:tr>
      <w:tr>
        <w:tc>
          <w:tcPr>
            <w:tcW w:type="dxa" w:w="3389"/>
            <w:vAlign w:val="top"/>
          </w:tcPr>
          <w:p>
            <w:r>
              <w:t>Support A</w:t>
            </w:r>
          </w:p>
        </w:tc>
        <w:tc>
          <w:tcPr>
            <w:tcW w:type="dxa" w:w="3389"/>
            <w:vAlign w:val="top"/>
          </w:tcPr>
          <w:p>
            <w:r>
              <w:t>Create staff account</w:t>
            </w:r>
          </w:p>
        </w:tc>
        <w:tc>
          <w:tcPr>
            <w:tcW w:type="dxa" w:w="3389"/>
            <w:vAlign w:val="top"/>
          </w:tcPr>
          <w:p>
            <w:r>
              <w:t>403 / denied</w:t>
            </w:r>
          </w:p>
        </w:tc>
      </w:tr>
      <w:tr>
        <w:tc>
          <w:tcPr>
            <w:tcW w:type="dxa" w:w="3389"/>
            <w:vAlign w:val="top"/>
          </w:tcPr>
          <w:p>
            <w:r>
              <w:t>Manager A</w:t>
            </w:r>
          </w:p>
        </w:tc>
        <w:tc>
          <w:tcPr>
            <w:tcW w:type="dxa" w:w="3389"/>
            <w:vAlign w:val="top"/>
          </w:tcPr>
          <w:p>
            <w:r>
              <w:t>Create manager/support in Organisation A</w:t>
            </w:r>
          </w:p>
        </w:tc>
        <w:tc>
          <w:tcPr>
            <w:tcW w:type="dxa" w:w="3389"/>
            <w:vAlign w:val="top"/>
          </w:tcPr>
          <w:p>
            <w:r>
              <w:t>Allowed</w:t>
            </w:r>
          </w:p>
        </w:tc>
      </w:tr>
      <w:tr>
        <w:tc>
          <w:tcPr>
            <w:tcW w:type="dxa" w:w="3389"/>
            <w:vAlign w:val="top"/>
          </w:tcPr>
          <w:p>
            <w:r>
              <w:t>Manager A</w:t>
            </w:r>
          </w:p>
        </w:tc>
        <w:tc>
          <w:tcPr>
            <w:tcW w:type="dxa" w:w="3389"/>
            <w:vAlign w:val="top"/>
          </w:tcPr>
          <w:p>
            <w:r>
              <w:t>Create platform admin/owner</w:t>
            </w:r>
          </w:p>
        </w:tc>
        <w:tc>
          <w:tcPr>
            <w:tcW w:type="dxa" w:w="3389"/>
            <w:vAlign w:val="top"/>
          </w:tcPr>
          <w:p>
            <w:r>
              <w:t>Denied</w:t>
            </w:r>
          </w:p>
        </w:tc>
      </w:tr>
      <w:tr>
        <w:tc>
          <w:tcPr>
            <w:tcW w:type="dxa" w:w="3389"/>
            <w:vAlign w:val="top"/>
          </w:tcPr>
          <w:p>
            <w:r>
              <w:t>Manager A</w:t>
            </w:r>
          </w:p>
        </w:tc>
        <w:tc>
          <w:tcPr>
            <w:tcW w:type="dxa" w:w="3389"/>
            <w:vAlign w:val="top"/>
          </w:tcPr>
          <w:p>
            <w:r>
              <w:t>Read/write Organisation B service-user data</w:t>
            </w:r>
          </w:p>
        </w:tc>
        <w:tc>
          <w:tcPr>
            <w:tcW w:type="dxa" w:w="3389"/>
            <w:vAlign w:val="top"/>
          </w:tcPr>
          <w:p>
            <w:r>
              <w:t>Denied</w:t>
            </w:r>
          </w:p>
        </w:tc>
      </w:tr>
      <w:tr>
        <w:tc>
          <w:tcPr>
            <w:tcW w:type="dxa" w:w="3389"/>
            <w:vAlign w:val="top"/>
          </w:tcPr>
          <w:p>
            <w:r>
              <w:t>Support A</w:t>
            </w:r>
          </w:p>
        </w:tc>
        <w:tc>
          <w:tcPr>
            <w:tcW w:type="dxa" w:w="3389"/>
            <w:vAlign w:val="top"/>
          </w:tcPr>
          <w:p>
            <w:r>
              <w:t>Read Organisation B timeline/medication/care data</w:t>
            </w:r>
          </w:p>
        </w:tc>
        <w:tc>
          <w:tcPr>
            <w:tcW w:type="dxa" w:w="3389"/>
            <w:vAlign w:val="top"/>
          </w:tcPr>
          <w:p>
            <w:r>
              <w:t>Denied</w:t>
            </w:r>
          </w:p>
        </w:tc>
      </w:tr>
      <w:tr>
        <w:tc>
          <w:tcPr>
            <w:tcW w:type="dxa" w:w="3389"/>
            <w:vAlign w:val="top"/>
          </w:tcPr>
          <w:p>
            <w:r>
              <w:t>Family A</w:t>
            </w:r>
          </w:p>
        </w:tc>
        <w:tc>
          <w:tcPr>
            <w:tcW w:type="dxa" w:w="3389"/>
            <w:vAlign w:val="top"/>
          </w:tcPr>
          <w:p>
            <w:r>
              <w:t>Read unrelated service-user data</w:t>
            </w:r>
          </w:p>
        </w:tc>
        <w:tc>
          <w:tcPr>
            <w:tcW w:type="dxa" w:w="3389"/>
            <w:vAlign w:val="top"/>
          </w:tcPr>
          <w:p>
            <w:r>
              <w:t>Denied</w:t>
            </w:r>
          </w:p>
        </w:tc>
      </w:tr>
      <w:tr>
        <w:tc>
          <w:tcPr>
            <w:tcW w:type="dxa" w:w="3389"/>
            <w:vAlign w:val="top"/>
          </w:tcPr>
          <w:p>
            <w:r>
              <w:t>Manager A</w:t>
            </w:r>
          </w:p>
        </w:tc>
        <w:tc>
          <w:tcPr>
            <w:tcW w:type="dxa" w:w="3389"/>
            <w:vAlign w:val="top"/>
          </w:tcPr>
          <w:p>
            <w:r>
              <w:t>Read Organisation B HR/employment records</w:t>
            </w:r>
          </w:p>
        </w:tc>
        <w:tc>
          <w:tcPr>
            <w:tcW w:type="dxa" w:w="3389"/>
            <w:vAlign w:val="top"/>
          </w:tcPr>
          <w:p>
            <w:r>
              <w:t>Denied</w:t>
            </w:r>
          </w:p>
        </w:tc>
      </w:tr>
    </w:tbl>
    <w:p>
      <w:pPr>
        <w:pStyle w:val="Heading1"/>
      </w:pPr>
      <w:r>
        <w:t>7. Handling care data</w:t>
      </w:r>
    </w:p>
    <w:p>
      <w:pPr>
        <w:pStyle w:val="ListBullet"/>
      </w:pPr>
      <w:r>
        <w:t>Treat care, medication, safeguarding, employment and identifying data as sensitive.</w:t>
      </w:r>
    </w:p>
    <w:p>
      <w:pPr>
        <w:pStyle w:val="ListBullet"/>
      </w:pPr>
      <w:r>
        <w:t>Do not place real service-user data in demo/test fixtures used outside production.</w:t>
      </w:r>
    </w:p>
    <w:p>
      <w:pPr>
        <w:pStyle w:val="ListBullet"/>
      </w:pPr>
      <w:r>
        <w:t>Do not log record payloads unless deliberately redacted.</w:t>
      </w:r>
    </w:p>
    <w:p>
      <w:pPr>
        <w:pStyle w:val="ListBullet"/>
      </w:pPr>
      <w:r>
        <w:t>Use least privilege for service-role operations and isolate them to server-only modules/routes.</w:t>
      </w:r>
    </w:p>
    <w:p>
      <w:pPr>
        <w:pStyle w:val="ListBullet"/>
      </w:pPr>
      <w:r>
        <w:t>Review every new table and Storage bucket for tenant isolation before release.</w:t>
      </w:r>
    </w:p>
    <w:p>
      <w:pPr>
        <w:pStyle w:val="Heading1"/>
      </w:pPr>
      <w:r>
        <w:t>8. DD statement</w:t>
      </w:r>
    </w:p>
    <w:p>
      <w:r>
        <w:t>Current evidence supports a security model built around Supabase authentication and database-level RLS, with a recent focused hardening pass. Final assurance should be based on automated cross-tenant tests and completed Storage-policy hardening rather than policy inspection alone.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Castodia - Confidential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76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