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Castodia Technical Architecture</w:t>
      </w:r>
    </w:p>
    <w:p>
      <w:pPr>
        <w:pStyle w:val="Subtitle"/>
      </w:pPr>
      <w:r>
        <w:t>System structure, trust boundaries and principal application components.</w:t>
      </w:r>
    </w:p>
    <w:p>
      <w:r>
        <w:t>Castodia | Technical documentation | August 2026</w:t>
      </w:r>
    </w:p>
    <w:p>
      <w:pPr>
        <w:pStyle w:val="Heading1"/>
      </w:pPr>
      <w:r>
        <w:t>1. Architecture summary</w:t>
      </w:r>
    </w:p>
    <w:p>
      <w:r>
        <w:t>Castodia is a server-rendered/client-interactive Next.js application using Supabase for authentication, PostgreSQL data access and object storage. Vercel hosts the application. The central security boundary is organisation-level tenancy enforced through PostgreSQL Row Level Security (RLS), complemented by route/API authorisation.</w:t>
      </w:r>
    </w:p>
    <w:p>
      <w:pPr>
        <w:pStyle w:val="Heading1"/>
      </w:pPr>
      <w:r>
        <w:t>2. Logical architecture</w:t>
      </w:r>
    </w:p>
    <w:p>
      <w:r>
        <w:rPr>
          <w:b/>
        </w:rPr>
        <w:t>Users → Next.js application on Vercel → Supabase Auth / PostgreSQL / Storage</w:t>
      </w:r>
    </w:p>
    <w:p>
      <w:r>
        <w:t>Four application personas are represented in code: support workers, organisation managers, Castodia platform administrators and Castodia owners. Family-facing routes also exist and use dedicated family-user data structures.</w:t>
      </w:r>
    </w:p>
    <w:p>
      <w:pPr>
        <w:pStyle w:val="Heading1"/>
      </w:pPr>
      <w:r>
        <w:t>3. Supabase client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Trust level / use</w:t>
            </w:r>
          </w:p>
        </w:tc>
      </w:tr>
      <w:tr>
        <w:tc>
          <w:tcPr>
            <w:tcW w:type="dxa" w:w="3389"/>
            <w:vAlign w:val="top"/>
          </w:tcPr>
          <w:p>
            <w:r>
              <w:t>Browser client</w:t>
            </w:r>
          </w:p>
        </w:tc>
        <w:tc>
          <w:tcPr>
            <w:tcW w:type="dxa" w:w="3389"/>
            <w:vAlign w:val="top"/>
          </w:tcPr>
          <w:p>
            <w:r>
              <w:t>lib/supabase/client.ts</w:t>
            </w:r>
          </w:p>
        </w:tc>
        <w:tc>
          <w:tcPr>
            <w:tcW w:type="dxa" w:w="3389"/>
            <w:vAlign w:val="top"/>
          </w:tcPr>
          <w:p>
            <w:r>
              <w:t>Anon key; user-scoped browser access subject to RLS.</w:t>
            </w:r>
          </w:p>
        </w:tc>
      </w:tr>
      <w:tr>
        <w:tc>
          <w:tcPr>
            <w:tcW w:type="dxa" w:w="3389"/>
            <w:vAlign w:val="top"/>
          </w:tcPr>
          <w:p>
            <w:r>
              <w:t>Server client</w:t>
            </w:r>
          </w:p>
        </w:tc>
        <w:tc>
          <w:tcPr>
            <w:tcW w:type="dxa" w:w="3389"/>
            <w:vAlign w:val="top"/>
          </w:tcPr>
          <w:p>
            <w:r>
              <w:t>lib/supabase/server.ts</w:t>
            </w:r>
          </w:p>
        </w:tc>
        <w:tc>
          <w:tcPr>
            <w:tcW w:type="dxa" w:w="3389"/>
            <w:vAlign w:val="top"/>
          </w:tcPr>
          <w:p>
            <w:r>
              <w:t>Anon key plus server cookies; authenticated server-side access subject to RLS.</w:t>
            </w:r>
          </w:p>
        </w:tc>
      </w:tr>
      <w:tr>
        <w:tc>
          <w:tcPr>
            <w:tcW w:type="dxa" w:w="3389"/>
            <w:vAlign w:val="top"/>
          </w:tcPr>
          <w:p>
            <w:r>
              <w:t>Admin client</w:t>
            </w:r>
          </w:p>
        </w:tc>
        <w:tc>
          <w:tcPr>
            <w:tcW w:type="dxa" w:w="3389"/>
            <w:vAlign w:val="top"/>
          </w:tcPr>
          <w:p>
            <w:r>
              <w:t>lib/supabase/admin.ts</w:t>
            </w:r>
          </w:p>
        </w:tc>
        <w:tc>
          <w:tcPr>
            <w:tcW w:type="dxa" w:w="3389"/>
            <w:vAlign w:val="top"/>
          </w:tcPr>
          <w:p>
            <w:r>
              <w:t>Service-role key; privileged and bypasses RLS. Server-only.</w:t>
            </w:r>
          </w:p>
        </w:tc>
      </w:tr>
      <w:tr>
        <w:tc>
          <w:tcPr>
            <w:tcW w:type="dxa" w:w="3389"/>
            <w:vAlign w:val="top"/>
          </w:tcPr>
          <w:p>
            <w:r>
              <w:t>Session proxy</w:t>
            </w:r>
          </w:p>
        </w:tc>
        <w:tc>
          <w:tcPr>
            <w:tcW w:type="dxa" w:w="3389"/>
            <w:vAlign w:val="top"/>
          </w:tcPr>
          <w:p>
            <w:r>
              <w:t>lib/supabase/proxy.ts</w:t>
            </w:r>
          </w:p>
        </w:tc>
        <w:tc>
          <w:tcPr>
            <w:tcW w:type="dxa" w:w="3389"/>
            <w:vAlign w:val="top"/>
          </w:tcPr>
          <w:p>
            <w:r>
              <w:t>Refreshes/validates session and applies portal role routing.</w:t>
            </w:r>
          </w:p>
        </w:tc>
      </w:tr>
    </w:tbl>
    <w:p>
      <w:pPr>
        <w:pStyle w:val="Heading1"/>
      </w:pPr>
      <w:r>
        <w:t>4. Application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Boundary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083"/>
            <w:vAlign w:val="top"/>
          </w:tcPr>
          <w:p>
            <w:r>
              <w:t>Platform</w:t>
            </w:r>
          </w:p>
        </w:tc>
        <w:tc>
          <w:tcPr>
            <w:tcW w:type="dxa" w:w="5083"/>
            <w:vAlign w:val="top"/>
          </w:tcPr>
          <w:p>
            <w:r>
              <w:t>Cross-organisation platform administration; restricted to castodia_admin / castodia_owner.</w:t>
            </w:r>
          </w:p>
        </w:tc>
      </w:tr>
      <w:tr>
        <w:tc>
          <w:tcPr>
            <w:tcW w:type="dxa" w:w="5083"/>
            <w:vAlign w:val="top"/>
          </w:tcPr>
          <w:p>
            <w:r>
              <w:t>Manager</w:t>
            </w:r>
          </w:p>
        </w:tc>
        <w:tc>
          <w:tcPr>
            <w:tcW w:type="dxa" w:w="5083"/>
            <w:vAlign w:val="top"/>
          </w:tcPr>
          <w:p>
            <w:r>
              <w:t>Organisation administration and higher-privilege care/staff workflows.</w:t>
            </w:r>
          </w:p>
        </w:tc>
      </w:tr>
      <w:tr>
        <w:tc>
          <w:tcPr>
            <w:tcW w:type="dxa" w:w="5083"/>
            <w:vAlign w:val="top"/>
          </w:tcPr>
          <w:p>
            <w:r>
              <w:t>Support</w:t>
            </w:r>
          </w:p>
        </w:tc>
        <w:tc>
          <w:tcPr>
            <w:tcW w:type="dxa" w:w="5083"/>
            <w:vAlign w:val="top"/>
          </w:tcPr>
          <w:p>
            <w:r>
              <w:t>Operational care workflows for authorised service users.</w:t>
            </w:r>
          </w:p>
        </w:tc>
      </w:tr>
      <w:tr>
        <w:tc>
          <w:tcPr>
            <w:tcW w:type="dxa" w:w="5083"/>
            <w:vAlign w:val="top"/>
          </w:tcPr>
          <w:p>
            <w:r>
              <w:t>Family</w:t>
            </w:r>
          </w:p>
        </w:tc>
        <w:tc>
          <w:tcPr>
            <w:tcW w:type="dxa" w:w="5083"/>
            <w:vAlign w:val="top"/>
          </w:tcPr>
          <w:p>
            <w:r>
              <w:t>Family-specific access paths and relationships.</w:t>
            </w:r>
          </w:p>
        </w:tc>
      </w:tr>
    </w:tbl>
    <w:p>
      <w:pPr>
        <w:pStyle w:val="Heading1"/>
      </w:pPr>
      <w:r>
        <w:t>5. Data domains visible in the reviewed schema</w:t>
      </w:r>
    </w:p>
    <w:p>
      <w:pPr>
        <w:pStyle w:val="ListBullet"/>
      </w:pPr>
      <w:r>
        <w:t>Service users, About Me information and wellbeing indicators.</w:t>
      </w:r>
    </w:p>
    <w:p>
      <w:pPr>
        <w:pStyle w:val="ListBullet"/>
      </w:pPr>
      <w:r>
        <w:t>Care plans, risk assessments, body maps and personal-care records.</w:t>
      </w:r>
    </w:p>
    <w:p>
      <w:pPr>
        <w:pStyle w:val="ListBullet"/>
      </w:pPr>
      <w:r>
        <w:t>Timelines, handovers and toileting records.</w:t>
      </w:r>
    </w:p>
    <w:p>
      <w:pPr>
        <w:pStyle w:val="ListBullet"/>
      </w:pPr>
      <w:r>
        <w:t>Medication profiles, dose plans/protocols, rounds, administrations, stock and review/event records.</w:t>
      </w:r>
    </w:p>
    <w:p>
      <w:pPr>
        <w:pStyle w:val="ListBullet"/>
      </w:pPr>
      <w:r>
        <w:t>Safeguarding cases, chronology, actions, referrals, documents and audit records.</w:t>
      </w:r>
    </w:p>
    <w:p>
      <w:pPr>
        <w:pStyle w:val="ListBullet"/>
      </w:pPr>
      <w:r>
        <w:t>Staff profiles, employment, documents, training, competencies and supervisions.</w:t>
      </w:r>
    </w:p>
    <w:p>
      <w:pPr>
        <w:pStyle w:val="ListBullet"/>
      </w:pPr>
      <w:r>
        <w:t>Organisation configuration, modules, houses, timeline categories/options and platform issues.</w:t>
      </w:r>
    </w:p>
    <w:p>
      <w:pPr>
        <w:pStyle w:val="ListBullet"/>
      </w:pPr>
      <w:r>
        <w:t>Memories and memory photos.</w:t>
      </w:r>
    </w:p>
    <w:p>
      <w:pPr>
        <w:pStyle w:val="Heading1"/>
      </w:pPr>
      <w:r>
        <w:t>6. Request and authorisation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5083"/>
            <w:vAlign w:val="top"/>
          </w:tcPr>
          <w:p>
            <w:r>
              <w:t>1. Sign-in/session</w:t>
            </w:r>
          </w:p>
        </w:tc>
        <w:tc>
          <w:tcPr>
            <w:tcW w:type="dxa" w:w="5083"/>
            <w:vAlign w:val="top"/>
          </w:tcPr>
          <w:p>
            <w:r>
              <w:t>Supabase Auth establishes user identity.</w:t>
            </w:r>
          </w:p>
        </w:tc>
      </w:tr>
      <w:tr>
        <w:tc>
          <w:tcPr>
            <w:tcW w:type="dxa" w:w="5083"/>
            <w:vAlign w:val="top"/>
          </w:tcPr>
          <w:p>
            <w:r>
              <w:t>2. Portal request</w:t>
            </w:r>
          </w:p>
        </w:tc>
        <w:tc>
          <w:tcPr>
            <w:tcW w:type="dxa" w:w="5083"/>
            <w:vAlign w:val="top"/>
          </w:tcPr>
          <w:p>
            <w:r>
              <w:t>Next.js proxy obtains authenticated user and profile role.</w:t>
            </w:r>
          </w:p>
        </w:tc>
      </w:tr>
      <w:tr>
        <w:tc>
          <w:tcPr>
            <w:tcW w:type="dxa" w:w="5083"/>
            <w:vAlign w:val="top"/>
          </w:tcPr>
          <w:p>
            <w:r>
              <w:t>3. Route family</w:t>
            </w:r>
          </w:p>
        </w:tc>
        <w:tc>
          <w:tcPr>
            <w:tcW w:type="dxa" w:w="5083"/>
            <w:vAlign w:val="top"/>
          </w:tcPr>
          <w:p>
            <w:r>
              <w:t>Support/manager/platform routes are role-gated.</w:t>
            </w:r>
          </w:p>
        </w:tc>
      </w:tr>
      <w:tr>
        <w:tc>
          <w:tcPr>
            <w:tcW w:type="dxa" w:w="5083"/>
            <w:vAlign w:val="top"/>
          </w:tcPr>
          <w:p>
            <w:r>
              <w:t>4. Data request</w:t>
            </w:r>
          </w:p>
        </w:tc>
        <w:tc>
          <w:tcPr>
            <w:tcW w:type="dxa" w:w="5083"/>
            <w:vAlign w:val="top"/>
          </w:tcPr>
          <w:p>
            <w:r>
              <w:t>Anon-authenticated queries are constrained by PostgreSQL RLS.</w:t>
            </w:r>
          </w:p>
        </w:tc>
      </w:tr>
      <w:tr>
        <w:tc>
          <w:tcPr>
            <w:tcW w:type="dxa" w:w="5083"/>
            <w:vAlign w:val="top"/>
          </w:tcPr>
          <w:p>
            <w:r>
              <w:t>5. Privileged API</w:t>
            </w:r>
          </w:p>
        </w:tc>
        <w:tc>
          <w:tcPr>
            <w:tcW w:type="dxa" w:w="5083"/>
            <w:vAlign w:val="top"/>
          </w:tcPr>
          <w:p>
            <w:r>
              <w:t>Server verifies caller identity/role before admin client use.</w:t>
            </w:r>
          </w:p>
        </w:tc>
      </w:tr>
    </w:tbl>
    <w:p>
      <w:pPr>
        <w:pStyle w:val="Heading1"/>
      </w:pPr>
      <w:r>
        <w:t>7. Deployment</w:t>
      </w:r>
    </w:p>
    <w:p>
      <w:r>
        <w:t>The reviewed deployment is Vercel-managed with production tracking the main branch. Environment values are managed in Vercel. A future staging Supabase project with separate preview credentials is recommended so preview deployments never hold production service-role authority.</w:t>
      </w:r>
    </w:p>
    <w:p>
      <w:pPr>
        <w:pStyle w:val="Heading1"/>
      </w:pPr>
      <w:r>
        <w:t>8. Architectural risks / planned improvements</w:t>
      </w:r>
    </w:p>
    <w:p>
      <w:pPr>
        <w:pStyle w:val="ListBullet"/>
      </w:pPr>
      <w:r>
        <w:t>Storage object policies require the same organisation-level isolation standard as PostgreSQL data.</w:t>
      </w:r>
    </w:p>
    <w:p>
      <w:pPr>
        <w:pStyle w:val="ListBullet"/>
      </w:pPr>
      <w:r>
        <w:t>Service-role endpoints require explicit server-side authentication/authorisation and regression tests.</w:t>
      </w:r>
    </w:p>
    <w:p>
      <w:pPr>
        <w:pStyle w:val="ListBullet"/>
      </w:pPr>
      <w:r>
        <w:t>Some large TSX modules should be decomposed over time into smaller domain services, hooks and components.</w:t>
      </w:r>
    </w:p>
    <w:p>
      <w:pPr>
        <w:pStyle w:val="ListBullet"/>
      </w:pPr>
      <w:r>
        <w:t>Database migrations/schema history should become the canonical source of database change history.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Castodia - Confidential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